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保定市徐水安肃镇人民政府</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bookmarkStart w:id="0" w:name="_GoBack"/>
      <w:r>
        <w:rPr>
          <w:rFonts w:hint="eastAsia" w:ascii="仿宋" w:hAnsi="仿宋" w:eastAsia="仿宋"/>
          <w:sz w:val="32"/>
          <w:szCs w:val="32"/>
          <w:lang w:eastAsia="zh-CN"/>
        </w:rPr>
        <w:t>《中华人民共和国预算法》</w:t>
      </w:r>
      <w:bookmarkEnd w:id="0"/>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发展农村经济增加农民收入。推进农业结构调整，努力提高农业产业化和农民进入市场的组织化水平，促进粮食生产稳定发展，农民持续增收</w:t>
      </w:r>
      <w:r>
        <w:rPr>
          <w:rFonts w:ascii="仿宋" w:hAnsi="仿宋" w:eastAsia="仿宋"/>
          <w:sz w:val="32"/>
          <w:szCs w:val="32"/>
        </w:rPr>
        <w:t>；</w:t>
      </w:r>
      <w:r>
        <w:rPr>
          <w:rFonts w:hint="eastAsia" w:ascii="仿宋" w:hAnsi="仿宋" w:eastAsia="仿宋"/>
          <w:sz w:val="32"/>
          <w:szCs w:val="32"/>
        </w:rPr>
        <w:t>增强农村集体组织经济实力，大力发展民营经济，促进中小企业相对集中，培育和发展农民专业合作自治和中介组织，壮大第二、第三产业；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强化社会管理和公共服务职能，为农村、农民提供社会管理和公共服务，如乡村财政资金监管、义务教育、文化卫生、计划生育、乡村建设、农田水利基本建设、养老保险、医疗保险、社会救助和社会保障等社会事务的行政管理。加强农村市场体系建设，搞好科技、信息服务，加强对农村劳动力的职业培训，扩大农村富余劳动力就业</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加强综合治理，维护农村社会稳定。建立完善协调联动防范机制，完善镇村两级组织，充分发挥村民自治和司法调解的作用，搞好农村矛盾的纠纷排查调处，调查社情民意，扶持弱势群体，加强重点监管，妥善处理突发性、集体性事件，维护社会安全秩序。</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安肃镇（行政）</w:t>
            </w:r>
          </w:p>
        </w:tc>
        <w:tc>
          <w:tcPr>
            <w:tcW w:w="1701" w:type="dxa"/>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行政</w:t>
            </w:r>
          </w:p>
        </w:tc>
        <w:tc>
          <w:tcPr>
            <w:tcW w:w="1418" w:type="dxa"/>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正科级</w:t>
            </w:r>
          </w:p>
        </w:tc>
        <w:tc>
          <w:tcPr>
            <w:tcW w:w="3260" w:type="dxa"/>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安肃镇（事业）</w:t>
            </w:r>
          </w:p>
        </w:tc>
        <w:tc>
          <w:tcPr>
            <w:tcW w:w="1701" w:type="dxa"/>
            <w:vAlign w:val="center"/>
          </w:tcPr>
          <w:p>
            <w:pPr>
              <w:widowControl/>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事业</w:t>
            </w:r>
          </w:p>
        </w:tc>
        <w:tc>
          <w:tcPr>
            <w:tcW w:w="1418" w:type="dxa"/>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正科级</w:t>
            </w:r>
          </w:p>
        </w:tc>
        <w:tc>
          <w:tcPr>
            <w:tcW w:w="3260" w:type="dxa"/>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widowControl/>
              <w:jc w:val="center"/>
              <w:rPr>
                <w:rFonts w:ascii="仿宋_GB2312" w:hAnsi="仿宋" w:eastAsia="仿宋_GB2312" w:cs="宋体"/>
                <w:kern w:val="0"/>
                <w:sz w:val="24"/>
                <w:szCs w:val="24"/>
              </w:rPr>
            </w:pPr>
          </w:p>
        </w:tc>
        <w:tc>
          <w:tcPr>
            <w:tcW w:w="1701" w:type="dxa"/>
            <w:vAlign w:val="center"/>
          </w:tcPr>
          <w:p>
            <w:pPr>
              <w:widowControl/>
              <w:jc w:val="center"/>
              <w:rPr>
                <w:rFonts w:ascii="仿宋_GB2312" w:hAnsi="仿宋" w:eastAsia="仿宋_GB2312" w:cs="宋体"/>
                <w:kern w:val="0"/>
                <w:sz w:val="24"/>
                <w:szCs w:val="24"/>
              </w:rPr>
            </w:pPr>
          </w:p>
        </w:tc>
        <w:tc>
          <w:tcPr>
            <w:tcW w:w="1418" w:type="dxa"/>
            <w:vAlign w:val="center"/>
          </w:tcPr>
          <w:p>
            <w:pPr>
              <w:widowControl/>
              <w:jc w:val="center"/>
              <w:rPr>
                <w:rFonts w:ascii="仿宋_GB2312" w:hAnsi="仿宋" w:eastAsia="仿宋_GB2312" w:cs="宋体"/>
                <w:kern w:val="0"/>
                <w:sz w:val="24"/>
                <w:szCs w:val="24"/>
              </w:rPr>
            </w:pPr>
          </w:p>
        </w:tc>
        <w:tc>
          <w:tcPr>
            <w:tcW w:w="3260" w:type="dxa"/>
            <w:vAlign w:val="center"/>
          </w:tcPr>
          <w:p>
            <w:pPr>
              <w:widowControl/>
              <w:jc w:val="center"/>
              <w:rPr>
                <w:rFonts w:ascii="仿宋_GB2312" w:hAnsi="仿宋"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widowControl/>
              <w:jc w:val="center"/>
              <w:rPr>
                <w:rFonts w:ascii="仿宋_GB2312" w:hAnsi="仿宋" w:eastAsia="仿宋_GB2312" w:cs="宋体"/>
                <w:kern w:val="0"/>
                <w:sz w:val="24"/>
                <w:szCs w:val="24"/>
              </w:rPr>
            </w:pPr>
          </w:p>
        </w:tc>
        <w:tc>
          <w:tcPr>
            <w:tcW w:w="1701" w:type="dxa"/>
            <w:vAlign w:val="center"/>
          </w:tcPr>
          <w:p>
            <w:pPr>
              <w:widowControl/>
              <w:jc w:val="center"/>
              <w:rPr>
                <w:rFonts w:ascii="仿宋_GB2312" w:hAnsi="仿宋" w:eastAsia="仿宋_GB2312" w:cs="宋体"/>
                <w:kern w:val="0"/>
                <w:sz w:val="24"/>
                <w:szCs w:val="24"/>
              </w:rPr>
            </w:pPr>
          </w:p>
        </w:tc>
        <w:tc>
          <w:tcPr>
            <w:tcW w:w="1418" w:type="dxa"/>
            <w:vAlign w:val="center"/>
          </w:tcPr>
          <w:p>
            <w:pPr>
              <w:widowControl/>
              <w:jc w:val="center"/>
              <w:rPr>
                <w:rFonts w:ascii="仿宋_GB2312" w:hAnsi="仿宋" w:eastAsia="仿宋_GB2312" w:cs="宋体"/>
                <w:kern w:val="0"/>
                <w:sz w:val="24"/>
                <w:szCs w:val="24"/>
              </w:rPr>
            </w:pPr>
          </w:p>
        </w:tc>
        <w:tc>
          <w:tcPr>
            <w:tcW w:w="3260" w:type="dxa"/>
            <w:vAlign w:val="center"/>
          </w:tcPr>
          <w:p>
            <w:pPr>
              <w:widowControl/>
              <w:jc w:val="center"/>
              <w:rPr>
                <w:rFonts w:ascii="仿宋_GB2312" w:hAnsi="仿宋" w:eastAsia="仿宋_GB2312" w:cs="宋体"/>
                <w:kern w:val="0"/>
                <w:sz w:val="24"/>
                <w:szCs w:val="24"/>
              </w:rPr>
            </w:pP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2462.66</w:t>
      </w:r>
      <w:r>
        <w:rPr>
          <w:rFonts w:ascii="仿宋" w:hAnsi="仿宋" w:eastAsia="仿宋"/>
          <w:sz w:val="32"/>
          <w:szCs w:val="32"/>
        </w:rPr>
        <w:t>万元,其中：一般公共预算收入</w:t>
      </w:r>
      <w:r>
        <w:rPr>
          <w:rFonts w:hint="eastAsia" w:ascii="仿宋" w:hAnsi="仿宋" w:eastAsia="仿宋"/>
          <w:sz w:val="32"/>
          <w:szCs w:val="32"/>
        </w:rPr>
        <w:t>2318.81</w:t>
      </w:r>
      <w:r>
        <w:rPr>
          <w:rFonts w:ascii="仿宋" w:hAnsi="仿宋" w:eastAsia="仿宋"/>
          <w:sz w:val="32"/>
          <w:szCs w:val="32"/>
        </w:rPr>
        <w:t>万元，基金预算收入</w:t>
      </w:r>
      <w:r>
        <w:rPr>
          <w:rFonts w:hint="eastAsia" w:ascii="仿宋" w:hAnsi="仿宋" w:eastAsia="仿宋"/>
          <w:sz w:val="32"/>
          <w:szCs w:val="32"/>
        </w:rPr>
        <w:t>143.85</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2462.66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基本支出1784.17万元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1625.22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158.95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678.49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678.49</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本年度预算收支安排2462.66万元，较上年增加739.76</w:t>
      </w:r>
      <w:r>
        <w:rPr>
          <w:rFonts w:ascii="仿宋" w:hAnsi="仿宋" w:eastAsia="仿宋"/>
          <w:sz w:val="32"/>
          <w:szCs w:val="32"/>
        </w:rPr>
        <w:t>万元。其中:基本支出增加</w:t>
      </w:r>
      <w:r>
        <w:rPr>
          <w:rFonts w:hint="eastAsia" w:ascii="仿宋" w:hAnsi="仿宋" w:eastAsia="仿宋"/>
          <w:sz w:val="32"/>
          <w:szCs w:val="32"/>
        </w:rPr>
        <w:t>293.31</w:t>
      </w:r>
      <w:r>
        <w:rPr>
          <w:rFonts w:ascii="仿宋" w:hAnsi="仿宋" w:eastAsia="仿宋"/>
          <w:sz w:val="32"/>
          <w:szCs w:val="32"/>
        </w:rPr>
        <w:t>万元，主要原因是</w:t>
      </w:r>
      <w:r>
        <w:rPr>
          <w:rFonts w:hint="eastAsia" w:ascii="仿宋" w:hAnsi="仿宋" w:eastAsia="仿宋"/>
          <w:sz w:val="32"/>
          <w:szCs w:val="32"/>
        </w:rPr>
        <w:t>工资调整，人员经费增加</w:t>
      </w:r>
      <w:r>
        <w:rPr>
          <w:rFonts w:ascii="仿宋" w:hAnsi="仿宋" w:eastAsia="仿宋"/>
          <w:sz w:val="32"/>
          <w:szCs w:val="32"/>
        </w:rPr>
        <w:t>；项目支出增加</w:t>
      </w:r>
      <w:r>
        <w:rPr>
          <w:rFonts w:hint="eastAsia" w:ascii="仿宋" w:hAnsi="仿宋" w:eastAsia="仿宋"/>
          <w:sz w:val="32"/>
          <w:szCs w:val="32"/>
        </w:rPr>
        <w:t>287.5</w:t>
      </w:r>
      <w:r>
        <w:rPr>
          <w:rFonts w:ascii="仿宋" w:hAnsi="仿宋" w:eastAsia="仿宋"/>
          <w:sz w:val="32"/>
          <w:szCs w:val="32"/>
        </w:rPr>
        <w:t>万元，主要原因是</w:t>
      </w:r>
      <w:r>
        <w:rPr>
          <w:rFonts w:hint="eastAsia" w:ascii="仿宋" w:hAnsi="仿宋" w:eastAsia="仿宋"/>
          <w:sz w:val="32"/>
          <w:szCs w:val="32"/>
        </w:rPr>
        <w:t>扶贫资金、村级组织经费、退役军人公益性岗位补贴等项目增加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158.95</w:t>
      </w:r>
      <w:r>
        <w:rPr>
          <w:rFonts w:ascii="仿宋" w:hAnsi="仿宋" w:eastAsia="仿宋"/>
          <w:sz w:val="32"/>
          <w:szCs w:val="32"/>
        </w:rPr>
        <w:t>万元，其中办公费</w:t>
      </w:r>
      <w:r>
        <w:rPr>
          <w:rFonts w:hint="eastAsia" w:ascii="仿宋" w:hAnsi="仿宋" w:eastAsia="仿宋"/>
          <w:sz w:val="32"/>
          <w:szCs w:val="32"/>
        </w:rPr>
        <w:t>26.79</w:t>
      </w:r>
      <w:r>
        <w:rPr>
          <w:rFonts w:ascii="仿宋" w:hAnsi="仿宋" w:eastAsia="仿宋"/>
          <w:sz w:val="32"/>
          <w:szCs w:val="32"/>
        </w:rPr>
        <w:t>万元，邮电费</w:t>
      </w:r>
      <w:r>
        <w:rPr>
          <w:rFonts w:hint="eastAsia" w:ascii="仿宋" w:hAnsi="仿宋" w:eastAsia="仿宋"/>
          <w:sz w:val="32"/>
          <w:szCs w:val="32"/>
        </w:rPr>
        <w:t>16.5</w:t>
      </w:r>
      <w:r>
        <w:rPr>
          <w:rFonts w:ascii="仿宋" w:hAnsi="仿宋" w:eastAsia="仿宋"/>
          <w:sz w:val="32"/>
          <w:szCs w:val="32"/>
        </w:rPr>
        <w:t>万元，工会经费、福利费</w:t>
      </w:r>
      <w:r>
        <w:rPr>
          <w:rFonts w:hint="eastAsia" w:ascii="仿宋" w:hAnsi="仿宋" w:eastAsia="仿宋"/>
          <w:sz w:val="32"/>
          <w:szCs w:val="32"/>
        </w:rPr>
        <w:t>24.42</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，公务交通补贴16.32万元，公务接待费8万元，取暖费26.03万元，离退休干部经费7.33万元，</w:t>
      </w:r>
      <w:r>
        <w:rPr>
          <w:rFonts w:ascii="仿宋" w:hAnsi="仿宋" w:eastAsia="仿宋"/>
          <w:sz w:val="32"/>
          <w:szCs w:val="32"/>
        </w:rPr>
        <w:t>其他支出</w:t>
      </w:r>
      <w:r>
        <w:rPr>
          <w:rFonts w:hint="eastAsia" w:ascii="仿宋" w:hAnsi="仿宋" w:eastAsia="仿宋"/>
          <w:sz w:val="32"/>
          <w:szCs w:val="32"/>
        </w:rPr>
        <w:t>21.56</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10083"/>
      </w:tblGrid>
      <w:tr>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国土资源所车辆转入，经费增加。</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从总量来讲，我单位的三公经费与上年相比增加了3万元，原因为国土资源所车辆转入，公务用车运行经费增加。</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360" w:lineRule="auto"/>
        <w:ind w:firstLine="640" w:firstLineChars="200"/>
        <w:rPr>
          <w:rFonts w:hint="eastAsia" w:ascii="仿宋" w:hAnsi="仿宋" w:eastAsia="仿宋"/>
          <w:sz w:val="32"/>
          <w:szCs w:val="32"/>
        </w:rPr>
      </w:pPr>
      <w:r>
        <w:rPr>
          <w:rFonts w:ascii="仿宋" w:hAnsi="仿宋" w:eastAsia="仿宋"/>
          <w:sz w:val="32"/>
          <w:szCs w:val="32"/>
        </w:rPr>
        <w:t>紧紧围绕全区中心工作和区委重要部署，民主表决，科学决策，坚持以人为本，把维护群众利益、落实精准扶贫政策，改善民生作为乡镇工作的着力点。</w:t>
      </w:r>
      <w:r>
        <w:rPr>
          <w:rFonts w:hint="eastAsia" w:ascii="仿宋" w:hAnsi="仿宋" w:eastAsia="仿宋"/>
          <w:sz w:val="32"/>
          <w:szCs w:val="32"/>
          <w:lang w:eastAsia="zh-CN"/>
        </w:rPr>
        <w:t>制定</w:t>
      </w:r>
      <w:r>
        <w:rPr>
          <w:rFonts w:ascii="仿宋" w:hAnsi="仿宋" w:eastAsia="仿宋"/>
          <w:sz w:val="32"/>
          <w:szCs w:val="32"/>
        </w:rPr>
        <w:t>、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sectPr>
          <w:pgSz w:w="11907" w:h="16839"/>
          <w:pgMar w:top="1361" w:right="1020" w:bottom="1361" w:left="1020" w:header="851" w:footer="992" w:gutter="0"/>
          <w:cols w:space="425" w:num="1"/>
          <w:docGrid w:type="lines" w:linePitch="312" w:charSpace="0"/>
        </w:sect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jc w:val="center"/>
        <w:outlineLvl w:val="0"/>
        <w:rPr>
          <w:rFonts w:ascii="方正小标宋_GBK" w:eastAsia="方正小标宋_GBK"/>
          <w:color w:val="FFFFFF"/>
          <w:sz w:val="32"/>
        </w:rPr>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901</w:t>
            </w:r>
            <w:r>
              <w:rPr>
                <w:rFonts w:hint="eastAsia" w:ascii="方正小标宋_GBK" w:eastAsia="方正小标宋_GBK"/>
                <w:sz w:val="24"/>
              </w:rPr>
              <w:t>保定市徐水区安肃镇人民政府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一、选举和任免</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二、民族宗教事务管理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、民族宗教综合治理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三、政法综治稳定和国家安全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、涉法涉诉信访工作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、矛盾纠纷排查化解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排查率、化解率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、铁路护路联防工作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保障铁路运输安全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保障安全畅通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344.95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、基层政权和社区建设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344.95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五、政府专项工作服务与管理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、政府债务管理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六、水利水电项目建设与管理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、水利工程运行与维护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、农田水利建设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、水库移民安置及后期管理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、保障农村饮水安全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保障农村供水安全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七、水利科技支撑和公共服务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八、城乡建设管理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、公用设施建设与管理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加强乡镇基础设施建设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基础设施建设工作目标完成率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九、交通运输基础设施建设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、开展交通基础设施建设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交通基础设施建设重点项目完成率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十、交通运输基础设施养护、维护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合格</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十一、农村文化建设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19.97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19.97</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群众文化体育活动组织覆盖率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农村公益电影放映完成率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民间交流次数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对外交流次数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老放映员补助到位率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应急广播体系建设任务完成率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十二、医疗保障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91.92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91.92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十五、环境污染综合防治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十六、自然生态保护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十七、信访问题处理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、办理正常信访业务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十八、民兵训练和专武干部培训</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、民兵训练和专武干部培训</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根据上级要求，认真</w:t>
            </w:r>
            <w:r>
              <w:rPr>
                <w:rFonts w:hint="eastAsia" w:ascii="方正书宋_GBK" w:eastAsia="方正书宋_GBK"/>
                <w:lang w:eastAsia="zh-CN"/>
              </w:rPr>
              <w:t>制订</w:t>
            </w:r>
            <w:r>
              <w:rPr>
                <w:rFonts w:hint="eastAsia" w:ascii="方正书宋_GBK" w:eastAsia="方正书宋_GBK"/>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十九、义务教育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、改善薄弱学校办学条件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中小学生均校舍面积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二十、食品药品安全管理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检验监测能力与检测需求比率相适应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二十一、安全生产综合监督管理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承担全县安全生产综合监督管理责任，依法行使综合监督管理职权；根据</w:t>
            </w:r>
            <w:r>
              <w:rPr>
                <w:rFonts w:hint="eastAsia" w:ascii="方正书宋_GBK" w:eastAsia="方正书宋_GBK"/>
                <w:lang w:eastAsia="zh-CN"/>
              </w:rPr>
              <w:t>《中华人民共和国安全生产法》</w:t>
            </w:r>
            <w:r>
              <w:rPr>
                <w:rFonts w:hint="eastAsia" w:ascii="方正书宋_GBK" w:eastAsia="方正书宋_GBK"/>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、加强重大危险源安全管理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专项检查次数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二十二、防灾减灾救灾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实施分类救助，保障受灾群众基本生活。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、防灾减灾及救灾准备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组织防灾减灾及救灾准备活动次数（次）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、灾民救助</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突发灾害报灾时效性和准确性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二十三、扶持农产品生产</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良种补贴覆盖率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二十四、完善农村经营管理体制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143.85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143.85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二十五、林业生态建设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完成国家下达和省委省政府</w:t>
            </w:r>
            <w:r>
              <w:rPr>
                <w:rFonts w:hint="eastAsia" w:ascii="方正书宋_GBK" w:eastAsia="方正书宋_GBK"/>
                <w:lang w:eastAsia="zh-CN"/>
              </w:rPr>
              <w:t>制定</w:t>
            </w:r>
            <w:r>
              <w:rPr>
                <w:rFonts w:hint="eastAsia" w:ascii="方正书宋_GBK" w:eastAsia="方正书宋_GBK"/>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全乡镇完成年初造林绿化任务。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二十六、推进新农村建设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、美丽乡村建设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美丽乡村建设重点村任务完成率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bl>
    <w:p>
      <w:pPr>
        <w:spacing w:line="300" w:lineRule="exact"/>
        <w:jc w:val="left"/>
        <w:outlineLvl w:val="0"/>
        <w:sectPr>
          <w:pgSz w:w="16839" w:h="11907" w:orient="landscape"/>
          <w:pgMar w:top="1021" w:right="1361" w:bottom="1021" w:left="1361" w:header="851" w:footer="992" w:gutter="0"/>
          <w:cols w:space="425" w:num="1"/>
          <w:docGrid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下附部门政府采购预算表空表。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footerReference r:id="rId3" w:type="default"/>
          <w:pgSz w:w="11907" w:h="16839"/>
          <w:pgMar w:top="1361" w:right="1021" w:bottom="1361" w:left="1021" w:header="851" w:footer="992" w:gutter="0"/>
          <w:cols w:space="425" w:num="1"/>
          <w:docGrid w:linePitch="312" w:charSpace="0"/>
        </w:sectPr>
      </w:pPr>
    </w:p>
    <w:tbl>
      <w:tblPr>
        <w:tblStyle w:val="6"/>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9" w:h="11907" w:orient="landscape"/>
          <w:pgMar w:top="1021" w:right="1361" w:bottom="1021" w:left="1361" w:header="851" w:footer="992" w:gutter="0"/>
          <w:cols w:space="425" w:num="1"/>
          <w:docGrid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上年末我部门固定资产总金额为1567.77万元（详见下表）。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1567.77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9295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1189</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8623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33.64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1967</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345.13</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7" w:h="16839"/>
      <w:pgMar w:top="1361" w:right="1021" w:bottom="1361" w:left="102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77692"/>
      <w:docPartObj>
        <w:docPartGallery w:val="AutoText"/>
      </w:docPartObj>
    </w:sdtPr>
    <w:sdtContent>
      <w:p>
        <w:pPr>
          <w:pStyle w:val="3"/>
          <w:jc w:val="center"/>
        </w:pPr>
        <w:r>
          <w:fldChar w:fldCharType="begin"/>
        </w:r>
        <w:r>
          <w:instrText xml:space="preserve">PAGE   \* MERGEFORMAT</w:instrText>
        </w:r>
        <w:r>
          <w:fldChar w:fldCharType="separate"/>
        </w:r>
        <w:r>
          <w:rPr>
            <w:lang w:val="zh-CN"/>
          </w:rPr>
          <w:t>23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iMDNlYTY3MWViZjQwOWM2YmE5NTZlOTM5MzNkNzMifQ=="/>
  </w:docVars>
  <w:rsids>
    <w:rsidRoot w:val="00055F1F"/>
    <w:rsid w:val="00013B8A"/>
    <w:rsid w:val="00044FBC"/>
    <w:rsid w:val="00055F1F"/>
    <w:rsid w:val="00057F18"/>
    <w:rsid w:val="00094018"/>
    <w:rsid w:val="000A445D"/>
    <w:rsid w:val="000D3C1E"/>
    <w:rsid w:val="000D3FF9"/>
    <w:rsid w:val="00131DEC"/>
    <w:rsid w:val="001462BD"/>
    <w:rsid w:val="00152380"/>
    <w:rsid w:val="001638BE"/>
    <w:rsid w:val="00181777"/>
    <w:rsid w:val="001A2AC8"/>
    <w:rsid w:val="001B4688"/>
    <w:rsid w:val="001F4875"/>
    <w:rsid w:val="00275352"/>
    <w:rsid w:val="002918C6"/>
    <w:rsid w:val="00296524"/>
    <w:rsid w:val="002D76E6"/>
    <w:rsid w:val="002E01F6"/>
    <w:rsid w:val="002F530F"/>
    <w:rsid w:val="00305E97"/>
    <w:rsid w:val="0032782B"/>
    <w:rsid w:val="00340B3D"/>
    <w:rsid w:val="00367A30"/>
    <w:rsid w:val="003969DA"/>
    <w:rsid w:val="003A06D2"/>
    <w:rsid w:val="003C2317"/>
    <w:rsid w:val="003C442E"/>
    <w:rsid w:val="003D1092"/>
    <w:rsid w:val="003D37CD"/>
    <w:rsid w:val="003E5531"/>
    <w:rsid w:val="0040243C"/>
    <w:rsid w:val="00406BD1"/>
    <w:rsid w:val="00426C19"/>
    <w:rsid w:val="00450FD9"/>
    <w:rsid w:val="00453CE0"/>
    <w:rsid w:val="00470BBB"/>
    <w:rsid w:val="0048611E"/>
    <w:rsid w:val="004B6929"/>
    <w:rsid w:val="004F3C52"/>
    <w:rsid w:val="00510A1E"/>
    <w:rsid w:val="00551B6D"/>
    <w:rsid w:val="00565966"/>
    <w:rsid w:val="00570142"/>
    <w:rsid w:val="005B1B6F"/>
    <w:rsid w:val="005B6CCB"/>
    <w:rsid w:val="005C54AA"/>
    <w:rsid w:val="005C7B89"/>
    <w:rsid w:val="006262BD"/>
    <w:rsid w:val="0062788A"/>
    <w:rsid w:val="00641F8A"/>
    <w:rsid w:val="006B5833"/>
    <w:rsid w:val="006C62DF"/>
    <w:rsid w:val="006F5104"/>
    <w:rsid w:val="00735B02"/>
    <w:rsid w:val="007657C8"/>
    <w:rsid w:val="00771E49"/>
    <w:rsid w:val="00782208"/>
    <w:rsid w:val="007C7FD7"/>
    <w:rsid w:val="007F15CB"/>
    <w:rsid w:val="007F3746"/>
    <w:rsid w:val="00833132"/>
    <w:rsid w:val="008672EA"/>
    <w:rsid w:val="00891680"/>
    <w:rsid w:val="008A0B5F"/>
    <w:rsid w:val="008B5402"/>
    <w:rsid w:val="0090527E"/>
    <w:rsid w:val="00905BB7"/>
    <w:rsid w:val="00912DA4"/>
    <w:rsid w:val="009302B8"/>
    <w:rsid w:val="009305C6"/>
    <w:rsid w:val="00982F3D"/>
    <w:rsid w:val="00A8079E"/>
    <w:rsid w:val="00A92D66"/>
    <w:rsid w:val="00AA4262"/>
    <w:rsid w:val="00AB5A90"/>
    <w:rsid w:val="00AD56CC"/>
    <w:rsid w:val="00AE4AA5"/>
    <w:rsid w:val="00AE7FA9"/>
    <w:rsid w:val="00B147EB"/>
    <w:rsid w:val="00B80FAB"/>
    <w:rsid w:val="00B81C88"/>
    <w:rsid w:val="00BA5C83"/>
    <w:rsid w:val="00BC6A7D"/>
    <w:rsid w:val="00BD719F"/>
    <w:rsid w:val="00BE0A7E"/>
    <w:rsid w:val="00C177A5"/>
    <w:rsid w:val="00C6153C"/>
    <w:rsid w:val="00CC7D74"/>
    <w:rsid w:val="00CF5B09"/>
    <w:rsid w:val="00CF5D1E"/>
    <w:rsid w:val="00D02F97"/>
    <w:rsid w:val="00D45530"/>
    <w:rsid w:val="00DA5DA7"/>
    <w:rsid w:val="00DE3935"/>
    <w:rsid w:val="00E2325B"/>
    <w:rsid w:val="00E24075"/>
    <w:rsid w:val="00E35F38"/>
    <w:rsid w:val="00E46F27"/>
    <w:rsid w:val="00E509CC"/>
    <w:rsid w:val="00E52C2F"/>
    <w:rsid w:val="00E71A04"/>
    <w:rsid w:val="00E901A0"/>
    <w:rsid w:val="00E96342"/>
    <w:rsid w:val="00F000B1"/>
    <w:rsid w:val="00F012D3"/>
    <w:rsid w:val="00F10D04"/>
    <w:rsid w:val="00F15556"/>
    <w:rsid w:val="00F572CB"/>
    <w:rsid w:val="00F621AF"/>
    <w:rsid w:val="00F82447"/>
    <w:rsid w:val="00FB2F32"/>
    <w:rsid w:val="00FE0F1F"/>
    <w:rsid w:val="00FF61F3"/>
    <w:rsid w:val="1B662AAD"/>
    <w:rsid w:val="2FE866FA"/>
    <w:rsid w:val="3FCC016E"/>
    <w:rsid w:val="4CFF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uiPriority w:val="99"/>
    <w:pPr>
      <w:snapToGrid w:val="0"/>
      <w:jc w:val="left"/>
    </w:pPr>
    <w:rPr>
      <w:rFonts w:ascii="Calibri" w:hAnsi="Calibri" w:eastAsia="宋体" w:cs="Times New Roman"/>
      <w:sz w:val="18"/>
      <w:szCs w:val="18"/>
    </w:rPr>
  </w:style>
  <w:style w:type="character" w:styleId="8">
    <w:name w:val="footnote reference"/>
    <w:semiHidden/>
    <w:unhideWhenUsed/>
    <w:uiPriority w:val="99"/>
    <w:rPr>
      <w:vertAlign w:val="superscript"/>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3">
    <w:name w:val="脚注文本 Char"/>
    <w:basedOn w:val="7"/>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1D46-FD6A-4F05-B1BA-CE2845EF0B1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11677</Words>
  <Characters>12403</Characters>
  <Lines>97</Lines>
  <Paragraphs>27</Paragraphs>
  <TotalTime>665</TotalTime>
  <ScaleCrop>false</ScaleCrop>
  <LinksUpToDate>false</LinksUpToDate>
  <CharactersWithSpaces>12556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2024-06-04T02:01:30Z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3C5A804083E441FC9C1DA9BDE3D24C88_12</vt:lpwstr>
  </property>
</Properties>
</file>