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bookmarkStart w:id="12" w:name="_GoBack"/>
      <w:r>
        <w:rPr>
          <w:rFonts w:hint="eastAsia" w:ascii="宋体" w:hAnsi="宋体" w:eastAsia="宋体"/>
          <w:b/>
          <w:sz w:val="44"/>
          <w:szCs w:val="44"/>
        </w:rPr>
        <w:t>保定市徐水区医疗</w:t>
      </w:r>
      <w:r>
        <w:rPr>
          <w:rFonts w:ascii="宋体" w:hAnsi="宋体" w:eastAsia="宋体"/>
          <w:b/>
          <w:sz w:val="44"/>
          <w:szCs w:val="44"/>
        </w:rPr>
        <w:t>保障局</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val="en-US" w:eastAsia="zh-CN"/>
        </w:rPr>
        <w:t>部门</w:t>
      </w:r>
      <w:r>
        <w:rPr>
          <w:rFonts w:ascii="宋体" w:hAnsi="宋体" w:eastAsia="宋体"/>
          <w:b/>
          <w:sz w:val="44"/>
          <w:szCs w:val="44"/>
        </w:rPr>
        <w:t>预算公开说明</w:t>
      </w:r>
      <w:bookmarkEnd w:id="12"/>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部门</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部门</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部门</w:t>
      </w:r>
      <w:r>
        <w:rPr>
          <w:rFonts w:hint="eastAsia" w:ascii="仿宋" w:hAnsi="仿宋" w:eastAsia="仿宋"/>
          <w:b/>
          <w:sz w:val="32"/>
          <w:szCs w:val="32"/>
        </w:rPr>
        <w:t>职责</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主要职能。主</w:t>
      </w:r>
      <w:r>
        <w:rPr>
          <w:rFonts w:ascii="仿宋_GB2312" w:hAnsi="仿宋" w:eastAsia="仿宋_GB2312"/>
          <w:sz w:val="32"/>
          <w:szCs w:val="32"/>
        </w:rPr>
        <w:t>要包括：</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（一）落实城镇职工和城乡居民医疗保险、生育保险、医疗救助等医疗保障制度、地方性法规、政策、规划和标准。</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（二）落实完善医疗保障基金监督管理办法，建立健全医疗保障基金安全防控机制，组织建设只能监控平台，推进医疗保障基金支付方式改革，并组织实施。</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（三）落实城镇职工、城乡居民参保筹资和保障待遇政策，统筹城乡医疗保障政策标准，执行与筹资水平相适应的待遇调整机制；组织实施长期护理保险制度方案及政策标准。</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（四）落实城乡统一的药品、医用耗材、医疗服务项目、医疗服务设施等医保目录和支付标准，建立动态调整机制，贯彻落实医保目录准入谈判规则并组织实施。</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（六）落实药品、医用耗材的招标采购政策并监督实施，指导药品、医用耗材招标采购平台建设。</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七）落实定点医药机构协议和支付管理办法，并组织实施；建立健全医疗保障信用评价体系和信息披露制度，监督管理定点医药机构的医疗服务行为、医疗费用和医药价格，依法查处医疗保障领域违法违规行为。</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（八）负责医疗保障经办管理、公共服务体系和信息化建设；组织实施异地就医管理和费用结算政策；落实医疗保障关系转移接续制度。</w:t>
      </w:r>
    </w:p>
    <w:p>
      <w:pPr>
        <w:spacing w:line="360" w:lineRule="auto"/>
        <w:ind w:firstLine="640" w:firstLineChars="200"/>
        <w:rPr>
          <w:rFonts w:ascii="仿宋" w:hAnsi="仿宋" w:eastAsia="仿宋"/>
          <w:sz w:val="32"/>
          <w:szCs w:val="32"/>
        </w:rPr>
      </w:pPr>
      <w:r>
        <w:rPr>
          <w:rFonts w:hint="eastAsia" w:ascii="仿宋_GB2312" w:hAnsi="仿宋" w:eastAsia="仿宋_GB2312"/>
          <w:sz w:val="32"/>
          <w:szCs w:val="32"/>
        </w:rPr>
        <w:t>（九）完成区委、区政府交办的其他任务。</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w:t>
            </w:r>
            <w:r>
              <w:rPr>
                <w:rFonts w:ascii="仿宋_GB2312" w:hAnsi="仿宋" w:eastAsia="仿宋_GB2312"/>
                <w:bCs/>
                <w:sz w:val="24"/>
                <w:szCs w:val="24"/>
              </w:rPr>
              <w:t>医疗保障局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徐水区医疗保险基金管理服务中心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部门</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部门</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部门</w:t>
      </w:r>
      <w:r>
        <w:rPr>
          <w:rFonts w:hint="eastAsia" w:ascii="仿宋" w:hAnsi="仿宋" w:eastAsia="仿宋"/>
          <w:sz w:val="32"/>
          <w:szCs w:val="32"/>
        </w:rPr>
        <w:t>及所属事业</w:t>
      </w:r>
      <w:r>
        <w:rPr>
          <w:rFonts w:hint="eastAsia" w:ascii="仿宋" w:hAnsi="仿宋" w:eastAsia="仿宋"/>
          <w:sz w:val="32"/>
          <w:szCs w:val="32"/>
          <w:lang w:eastAsia="zh-CN"/>
        </w:rPr>
        <w:t>部门</w:t>
      </w:r>
      <w:r>
        <w:rPr>
          <w:rFonts w:hint="eastAsia" w:ascii="仿宋" w:hAnsi="仿宋" w:eastAsia="仿宋"/>
          <w:sz w:val="32"/>
          <w:szCs w:val="32"/>
        </w:rPr>
        <w:t>的收支包含在</w:t>
      </w:r>
      <w:r>
        <w:rPr>
          <w:rFonts w:hint="eastAsia" w:ascii="仿宋" w:hAnsi="仿宋" w:eastAsia="仿宋"/>
          <w:sz w:val="32"/>
          <w:szCs w:val="32"/>
          <w:lang w:eastAsia="zh-CN"/>
        </w:rPr>
        <w:t>部门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年预算收入为</w:t>
      </w:r>
      <w:r>
        <w:rPr>
          <w:rFonts w:hint="eastAsia" w:ascii="仿宋" w:hAnsi="仿宋" w:eastAsia="仿宋"/>
          <w:sz w:val="32"/>
          <w:szCs w:val="32"/>
        </w:rPr>
        <w:t>751.53</w:t>
      </w:r>
      <w:r>
        <w:rPr>
          <w:rFonts w:ascii="仿宋" w:hAnsi="仿宋" w:eastAsia="仿宋"/>
          <w:sz w:val="32"/>
          <w:szCs w:val="32"/>
        </w:rPr>
        <w:t>万元,其中：一般公共预算收入</w:t>
      </w:r>
      <w:r>
        <w:rPr>
          <w:rFonts w:hint="eastAsia" w:ascii="仿宋" w:hAnsi="仿宋" w:eastAsia="仿宋"/>
          <w:sz w:val="32"/>
          <w:szCs w:val="32"/>
        </w:rPr>
        <w:t>751.51</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0.02</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w:t>
      </w:r>
      <w:r>
        <w:rPr>
          <w:rFonts w:hint="eastAsia" w:ascii="仿宋" w:hAnsi="仿宋" w:eastAsia="仿宋"/>
          <w:sz w:val="32"/>
          <w:szCs w:val="32"/>
          <w:lang w:eastAsia="zh-CN"/>
        </w:rPr>
        <w:t>部门</w:t>
      </w:r>
      <w:r>
        <w:rPr>
          <w:rFonts w:ascii="仿宋" w:hAnsi="仿宋" w:eastAsia="仿宋"/>
          <w:sz w:val="32"/>
          <w:szCs w:val="32"/>
        </w:rPr>
        <w:t>支出预算：</w:t>
      </w:r>
      <w:r>
        <w:rPr>
          <w:rFonts w:hint="eastAsia" w:ascii="仿宋" w:hAnsi="仿宋" w:eastAsia="仿宋"/>
          <w:sz w:val="32"/>
          <w:szCs w:val="32"/>
        </w:rPr>
        <w:t>751.53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基本支出425.6万元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362.4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63.21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项目支出325.91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325.91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本年度预算收支安排7</w:t>
      </w:r>
      <w:r>
        <w:rPr>
          <w:rFonts w:ascii="仿宋" w:hAnsi="仿宋" w:eastAsia="仿宋"/>
          <w:sz w:val="32"/>
          <w:szCs w:val="32"/>
        </w:rPr>
        <w:t>51.53</w:t>
      </w:r>
      <w:r>
        <w:rPr>
          <w:rFonts w:hint="eastAsia" w:ascii="仿宋" w:hAnsi="仿宋" w:eastAsia="仿宋"/>
          <w:sz w:val="32"/>
          <w:szCs w:val="32"/>
        </w:rPr>
        <w:t>万元，较上年增加</w:t>
      </w:r>
      <w:r>
        <w:rPr>
          <w:rFonts w:ascii="仿宋" w:hAnsi="仿宋" w:eastAsia="仿宋"/>
          <w:sz w:val="32"/>
          <w:szCs w:val="32"/>
        </w:rPr>
        <w:t>87.82万元。其中:基本支出增加</w:t>
      </w:r>
      <w:r>
        <w:rPr>
          <w:rFonts w:hint="eastAsia" w:ascii="仿宋" w:hAnsi="仿宋" w:eastAsia="仿宋"/>
          <w:sz w:val="32"/>
          <w:szCs w:val="32"/>
        </w:rPr>
        <w:t>169.29</w:t>
      </w:r>
      <w:r>
        <w:rPr>
          <w:rFonts w:ascii="仿宋" w:hAnsi="仿宋" w:eastAsia="仿宋"/>
          <w:sz w:val="32"/>
          <w:szCs w:val="32"/>
        </w:rPr>
        <w:t>万元，主要原因是</w:t>
      </w:r>
      <w:r>
        <w:rPr>
          <w:rFonts w:hint="eastAsia" w:ascii="仿宋" w:hAnsi="仿宋" w:eastAsia="仿宋"/>
          <w:sz w:val="32"/>
          <w:szCs w:val="32"/>
        </w:rPr>
        <w:t>有</w:t>
      </w:r>
      <w:r>
        <w:rPr>
          <w:rFonts w:ascii="仿宋" w:hAnsi="仿宋" w:eastAsia="仿宋"/>
          <w:sz w:val="32"/>
          <w:szCs w:val="32"/>
        </w:rPr>
        <w:t>新招聘人员及调入人员</w:t>
      </w:r>
      <w:r>
        <w:rPr>
          <w:rFonts w:hint="eastAsia" w:ascii="仿宋" w:hAnsi="仿宋" w:eastAsia="仿宋"/>
          <w:sz w:val="32"/>
          <w:szCs w:val="32"/>
        </w:rPr>
        <w:t>，</w:t>
      </w:r>
      <w:r>
        <w:rPr>
          <w:rFonts w:ascii="仿宋" w:hAnsi="仿宋" w:eastAsia="仿宋"/>
          <w:sz w:val="32"/>
          <w:szCs w:val="32"/>
        </w:rPr>
        <w:t>且部分</w:t>
      </w:r>
      <w:r>
        <w:rPr>
          <w:rFonts w:hint="eastAsia" w:ascii="仿宋" w:hAnsi="仿宋" w:eastAsia="仿宋"/>
          <w:sz w:val="32"/>
          <w:szCs w:val="32"/>
        </w:rPr>
        <w:t>人员类</w:t>
      </w:r>
      <w:r>
        <w:rPr>
          <w:rFonts w:ascii="仿宋" w:hAnsi="仿宋" w:eastAsia="仿宋"/>
          <w:sz w:val="32"/>
          <w:szCs w:val="32"/>
        </w:rPr>
        <w:t>，公用类项目由项目支出变为基本支出；项目支出减少81.49万元，主要原因是</w:t>
      </w:r>
      <w:r>
        <w:rPr>
          <w:rFonts w:hint="eastAsia" w:ascii="仿宋" w:hAnsi="仿宋" w:eastAsia="仿宋"/>
          <w:sz w:val="32"/>
          <w:szCs w:val="32"/>
        </w:rPr>
        <w:t>部分人员类</w:t>
      </w:r>
      <w:r>
        <w:rPr>
          <w:rFonts w:ascii="仿宋" w:hAnsi="仿宋" w:eastAsia="仿宋"/>
          <w:sz w:val="32"/>
          <w:szCs w:val="32"/>
        </w:rPr>
        <w:t>，公用类项目</w:t>
      </w:r>
      <w:r>
        <w:rPr>
          <w:rFonts w:hint="eastAsia" w:ascii="仿宋" w:hAnsi="仿宋" w:eastAsia="仿宋"/>
          <w:sz w:val="32"/>
          <w:szCs w:val="32"/>
        </w:rPr>
        <w:t>归</w:t>
      </w:r>
      <w:r>
        <w:rPr>
          <w:rFonts w:ascii="仿宋" w:hAnsi="仿宋" w:eastAsia="仿宋"/>
          <w:sz w:val="32"/>
          <w:szCs w:val="32"/>
        </w:rPr>
        <w:t>入基本支出。</w:t>
      </w:r>
      <w:r>
        <w:rPr>
          <w:rFonts w:ascii="仿宋" w:hAnsi="仿宋" w:eastAsia="仿宋"/>
          <w:sz w:val="32"/>
          <w:szCs w:val="32"/>
        </w:rPr>
        <w:tab/>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部门</w:t>
      </w:r>
      <w:r>
        <w:rPr>
          <w:rFonts w:ascii="仿宋" w:hAnsi="仿宋" w:eastAsia="仿宋"/>
          <w:sz w:val="32"/>
          <w:szCs w:val="32"/>
        </w:rPr>
        <w:t>机关运行经费安排</w:t>
      </w:r>
      <w:r>
        <w:rPr>
          <w:rFonts w:hint="eastAsia" w:ascii="仿宋" w:hAnsi="仿宋" w:eastAsia="仿宋"/>
          <w:sz w:val="32"/>
          <w:szCs w:val="32"/>
          <w:lang w:val="en-US" w:eastAsia="zh-CN"/>
        </w:rPr>
        <w:t>63.21</w:t>
      </w:r>
      <w:r>
        <w:rPr>
          <w:rFonts w:ascii="仿宋" w:hAnsi="仿宋" w:eastAsia="仿宋"/>
          <w:sz w:val="32"/>
          <w:szCs w:val="32"/>
        </w:rPr>
        <w:t>万元，其中办公费</w:t>
      </w:r>
      <w:r>
        <w:rPr>
          <w:rFonts w:hint="eastAsia" w:ascii="仿宋" w:hAnsi="仿宋" w:eastAsia="仿宋"/>
          <w:sz w:val="32"/>
          <w:szCs w:val="32"/>
        </w:rPr>
        <w:t>45.35</w:t>
      </w:r>
      <w:r>
        <w:rPr>
          <w:rFonts w:ascii="仿宋" w:hAnsi="仿宋" w:eastAsia="仿宋"/>
          <w:sz w:val="32"/>
          <w:szCs w:val="32"/>
        </w:rPr>
        <w:t>万元，邮电费3.68万元，工会经费、福利费</w:t>
      </w:r>
      <w:r>
        <w:rPr>
          <w:rFonts w:hint="eastAsia" w:ascii="仿宋" w:hAnsi="仿宋" w:eastAsia="仿宋"/>
          <w:sz w:val="32"/>
          <w:szCs w:val="32"/>
        </w:rPr>
        <w:t>4.97</w:t>
      </w:r>
      <w:r>
        <w:rPr>
          <w:rFonts w:ascii="仿宋" w:hAnsi="仿宋" w:eastAsia="仿宋"/>
          <w:sz w:val="32"/>
          <w:szCs w:val="32"/>
        </w:rPr>
        <w:t>万元，公务用车运行维护费2.43万元</w:t>
      </w:r>
      <w:r>
        <w:rPr>
          <w:rFonts w:hint="eastAsia" w:ascii="仿宋" w:hAnsi="仿宋" w:eastAsia="仿宋"/>
          <w:sz w:val="32"/>
          <w:szCs w:val="32"/>
        </w:rPr>
        <w:t>，</w:t>
      </w:r>
      <w:r>
        <w:rPr>
          <w:rFonts w:ascii="仿宋" w:hAnsi="仿宋" w:eastAsia="仿宋"/>
          <w:sz w:val="32"/>
          <w:szCs w:val="32"/>
        </w:rPr>
        <w:t>其他支出4.77万元。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1268"/>
              <w:gridCol w:w="1965"/>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1268" w:type="dxa"/>
                  <w:tcBorders>
                    <w:top w:val="nil"/>
                    <w:left w:val="nil"/>
                    <w:bottom w:val="nil"/>
                    <w:right w:val="nil"/>
                  </w:tcBorders>
                  <w:vAlign w:val="center"/>
                </w:tcPr>
                <w:p>
                  <w:pPr>
                    <w:widowControl/>
                    <w:jc w:val="left"/>
                    <w:rPr>
                      <w:rFonts w:ascii="宋体" w:hAnsi="宋体" w:cs="宋体"/>
                      <w:kern w:val="0"/>
                      <w:sz w:val="24"/>
                      <w:szCs w:val="24"/>
                    </w:rPr>
                  </w:pPr>
                </w:p>
              </w:tc>
              <w:tc>
                <w:tcPr>
                  <w:tcW w:w="1965"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lang w:eastAsia="zh-CN"/>
                    </w:rPr>
                    <w:t>部门</w:t>
                  </w:r>
                  <w:r>
                    <w:rPr>
                      <w:rFonts w:hint="eastAsia" w:ascii="宋体" w:hAnsi="宋体" w:cs="宋体"/>
                      <w:kern w:val="0"/>
                      <w:sz w:val="24"/>
                      <w:szCs w:val="24"/>
                    </w:rPr>
                    <w:t>：万元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19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9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9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2.43</w:t>
                  </w:r>
                </w:p>
              </w:tc>
              <w:tc>
                <w:tcPr>
                  <w:tcW w:w="1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3.57</w:t>
                  </w:r>
                </w:p>
              </w:tc>
              <w:tc>
                <w:tcPr>
                  <w:tcW w:w="1965"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由于</w:t>
                  </w:r>
                  <w:r>
                    <w:rPr>
                      <w:rFonts w:ascii="仿宋_GB2312" w:hAnsi="宋体" w:eastAsia="仿宋_GB2312" w:cs="宋体"/>
                      <w:kern w:val="0"/>
                      <w:sz w:val="24"/>
                      <w:szCs w:val="24"/>
                    </w:rPr>
                    <w:t>财政困难压减三公经费支出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2.5</w:t>
                  </w:r>
                </w:p>
              </w:tc>
              <w:tc>
                <w:tcPr>
                  <w:tcW w:w="19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由于</w:t>
                  </w:r>
                  <w:r>
                    <w:rPr>
                      <w:rFonts w:ascii="仿宋_GB2312" w:hAnsi="宋体" w:eastAsia="仿宋_GB2312" w:cs="宋体"/>
                      <w:kern w:val="0"/>
                      <w:sz w:val="24"/>
                      <w:szCs w:val="24"/>
                    </w:rPr>
                    <w:t>财政困难压减三公经费支出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8.5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2.43</w:t>
                  </w:r>
                </w:p>
              </w:tc>
              <w:tc>
                <w:tcPr>
                  <w:tcW w:w="1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6.07</w:t>
                  </w:r>
                </w:p>
              </w:tc>
              <w:tc>
                <w:tcPr>
                  <w:tcW w:w="19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1268" w:type="dxa"/>
                  <w:tcBorders>
                    <w:top w:val="nil"/>
                    <w:left w:val="nil"/>
                    <w:bottom w:val="nil"/>
                    <w:right w:val="nil"/>
                  </w:tcBorders>
                  <w:vAlign w:val="center"/>
                </w:tcPr>
                <w:p>
                  <w:pPr>
                    <w:widowControl/>
                    <w:jc w:val="left"/>
                    <w:rPr>
                      <w:rFonts w:ascii="宋体" w:hAnsi="宋体" w:cs="宋体"/>
                      <w:kern w:val="0"/>
                      <w:sz w:val="24"/>
                      <w:szCs w:val="24"/>
                    </w:rPr>
                  </w:pPr>
                </w:p>
              </w:tc>
              <w:tc>
                <w:tcPr>
                  <w:tcW w:w="1965"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部门</w:t>
      </w:r>
      <w:r>
        <w:rPr>
          <w:rFonts w:hint="eastAsia" w:ascii="方正小标宋_GBK" w:eastAsia="方正小标宋_GBK"/>
          <w:sz w:val="44"/>
        </w:rPr>
        <w:t>整体</w:t>
      </w:r>
      <w:r>
        <w:rPr>
          <w:rFonts w:ascii="方正小标宋_GBK" w:eastAsia="方正小标宋_GBK"/>
          <w:sz w:val="44"/>
        </w:rPr>
        <w:t>绩效目标</w:t>
      </w:r>
    </w:p>
    <w:p>
      <w:pPr>
        <w:ind w:firstLine="640" w:firstLineChars="200"/>
        <w:jc w:val="left"/>
        <w:outlineLvl w:val="1"/>
        <w:rPr>
          <w:rFonts w:ascii="仿宋" w:hAnsi="仿宋" w:eastAsia="仿宋"/>
          <w:sz w:val="32"/>
          <w:szCs w:val="32"/>
        </w:rPr>
      </w:pPr>
      <w:r>
        <w:rPr>
          <w:rFonts w:hint="eastAsia" w:ascii="仿宋" w:hAnsi="仿宋" w:eastAsia="仿宋"/>
          <w:sz w:val="32"/>
          <w:szCs w:val="32"/>
        </w:rPr>
        <w:t>一、总体绩效目标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0" w:name="_Toc31364395"/>
      <w:r>
        <w:rPr>
          <w:rFonts w:hint="eastAsia" w:ascii="仿宋" w:hAnsi="仿宋" w:eastAsia="仿宋"/>
          <w:sz w:val="32"/>
          <w:szCs w:val="32"/>
        </w:rPr>
        <w:instrText xml:space="preserve">总体绩效目标</w:instrText>
      </w:r>
      <w:bookmarkEnd w:id="0"/>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习近平新时代中国特色社会主义思想为指导，全面落实区委部署，按照兜底线、织密网、建机制要求，坚持以民为中心的发展思想，不断扩大参保覆盖面，稳定全区城乡居民基本医疗保险参保人数；实现城乡居民基本医疗保险市级统筹，确保城乡居民基本医疗保障体系高效运行；继续扩大药品集中带量采购和使用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二、分项绩效目标</w:t>
      </w:r>
      <w:r>
        <w:rPr>
          <w:rFonts w:ascii="仿宋" w:hAnsi="仿宋" w:eastAsia="仿宋"/>
          <w:sz w:val="32"/>
          <w:szCs w:val="32"/>
        </w:rPr>
        <w:fldChar w:fldCharType="begin"/>
      </w:r>
      <w:r>
        <w:rPr>
          <w:rFonts w:ascii="仿宋" w:hAnsi="仿宋" w:eastAsia="仿宋"/>
          <w:sz w:val="32"/>
          <w:szCs w:val="32"/>
        </w:rPr>
        <w:instrText xml:space="preserve"> TC </w:instrText>
      </w:r>
      <w:bookmarkStart w:id="1" w:name="_Toc31364396"/>
      <w:r>
        <w:rPr>
          <w:rFonts w:ascii="仿宋" w:hAnsi="仿宋" w:eastAsia="仿宋"/>
          <w:sz w:val="32"/>
          <w:szCs w:val="32"/>
        </w:rPr>
        <w:instrText xml:space="preserve">分项绩效目标</w:instrText>
      </w:r>
      <w:bookmarkEnd w:id="1"/>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保障城乡居民和贫困人口基本医疗权益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绩效目标：巩固全区城乡居民基本医疗保险参保人数。稳定参保人数政策范围内住院费用报销比例。高血压、糖尿病门诊用药保障制度全面开展。落实贫困人口政策范围内住院保障政策。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w:t>
      </w:r>
      <w:r>
        <w:rPr>
          <w:rFonts w:hint="eastAsia" w:ascii="仿宋" w:hAnsi="仿宋" w:eastAsia="仿宋"/>
          <w:sz w:val="32"/>
          <w:szCs w:val="32"/>
        </w:rPr>
        <w:t>标：</w:t>
      </w:r>
      <w:r>
        <w:rPr>
          <w:rFonts w:ascii="仿宋" w:hAnsi="仿宋" w:eastAsia="仿宋"/>
          <w:sz w:val="32"/>
          <w:szCs w:val="32"/>
        </w:rPr>
        <w:t>全区城乡居民参保率达到95%。参保人政策范围内住院报销比例平均达到75%。将高血压、糖尿病等门诊用药纳入医保报销范围。</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保障城乡困难群众基本医疗权益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绩效目标：对特困人员、低保对象患病住院实施医疗救助。加强医疗救助与基本医疗保险、大病保险的有效衔接。</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w:t>
      </w:r>
      <w:r>
        <w:rPr>
          <w:rFonts w:hint="eastAsia" w:ascii="仿宋" w:hAnsi="仿宋" w:eastAsia="仿宋"/>
          <w:sz w:val="32"/>
          <w:szCs w:val="32"/>
        </w:rPr>
        <w:t>标：</w:t>
      </w:r>
      <w:r>
        <w:rPr>
          <w:rFonts w:ascii="仿宋" w:hAnsi="仿宋" w:eastAsia="仿宋"/>
          <w:sz w:val="32"/>
          <w:szCs w:val="32"/>
        </w:rPr>
        <w:t>特困人员、低保对象在年度救助限额内政策范围内的住院救助比例达到70%。特困人员、低保对象的住院医疗救助实现与基本医保、大病保险的“一站式”直接结算。</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保障医疗保障基金安全可持续</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w:t>
      </w:r>
      <w:r>
        <w:rPr>
          <w:rFonts w:hint="eastAsia" w:ascii="仿宋" w:hAnsi="仿宋" w:eastAsia="仿宋"/>
          <w:sz w:val="32"/>
          <w:szCs w:val="32"/>
        </w:rPr>
        <w:t>标：</w:t>
      </w:r>
      <w:r>
        <w:rPr>
          <w:rFonts w:ascii="仿宋" w:hAnsi="仿宋" w:eastAsia="仿宋"/>
          <w:sz w:val="32"/>
          <w:szCs w:val="32"/>
        </w:rPr>
        <w:t>巩固基金监管成果，对发现的医疗保障领域各种违规违法问题从严从重严肃处理，管好用好“百姓”救命钱。</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持续开展打击欺诈骗保维护基金安全活动。组织对全省基金监管人员开展专项业务培训，通过开展省级飞行检查、省市互查、以查代训，全面提升监管能力。强化信息化监管手段，提升信息化监管水平。</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做好医疗保障综合业务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继续做好药品集中采购和使用试点工作；做好医保药品目录调整工作；保障机关和经办服务场所正常运转，增强医疗保障事业高质量发展能力。</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绩效指标：按照国家和区委区政府工作部署，按时保质保量完成各项工作任务，医疗保障服务对象满意度稳步提高。</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三、工作保障措施</w:t>
      </w:r>
      <w:r>
        <w:rPr>
          <w:rFonts w:ascii="仿宋" w:hAnsi="仿宋" w:eastAsia="仿宋"/>
          <w:sz w:val="32"/>
          <w:szCs w:val="32"/>
        </w:rPr>
        <w:fldChar w:fldCharType="begin"/>
      </w:r>
      <w:r>
        <w:rPr>
          <w:rFonts w:ascii="仿宋" w:hAnsi="仿宋" w:eastAsia="仿宋"/>
          <w:sz w:val="32"/>
          <w:szCs w:val="32"/>
        </w:rPr>
        <w:instrText xml:space="preserve"> TC </w:instrText>
      </w:r>
      <w:bookmarkStart w:id="2" w:name="_Toc31364397"/>
      <w:r>
        <w:rPr>
          <w:rFonts w:ascii="仿宋" w:hAnsi="仿宋" w:eastAsia="仿宋"/>
          <w:sz w:val="32"/>
          <w:szCs w:val="32"/>
        </w:rPr>
        <w:instrText xml:space="preserve">工作保障措施</w:instrText>
      </w:r>
      <w:bookmarkEnd w:id="2"/>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1、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全力做好医疗保障重点工作。坚持以人民为中心的发展思想，按照兜底线、织密网、建机制的要求，统筹设计更加公平、可持续发展的医疗保障制度，推进医疗、医保、医药、医价“四医联动”改革，扎实做好药品集中采购和使用试点工作，做实基本医疗保障市级统筹，持续开展打击欺诈骗保维护基金安全活动，积极做好付费试点工作，探索推进医用耗材带量采购，建成全省统一的医疗保障信息平台，强化“互联网+医保”应用，努力为参保人提供更加便捷可及的医疗保障公共服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加强资金支出管理。围绕年度重点工作，进一步优化支出结构，编细编实预算、按规定及时下达资金，确保支出进度达标。积极开展预算资金使用绩效运行监控，发现问题及时采取措施，确保绩效目标如期保质实现。</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4、积极做好绩效自评。按财政要求开展上年度</w:t>
      </w:r>
      <w:r>
        <w:rPr>
          <w:rFonts w:hint="eastAsia" w:ascii="仿宋" w:hAnsi="仿宋" w:eastAsia="仿宋"/>
          <w:sz w:val="32"/>
          <w:szCs w:val="32"/>
          <w:lang w:eastAsia="zh-CN"/>
        </w:rPr>
        <w:t>部门</w:t>
      </w:r>
      <w:r>
        <w:rPr>
          <w:rFonts w:ascii="仿宋" w:hAnsi="仿宋" w:eastAsia="仿宋"/>
          <w:sz w:val="32"/>
          <w:szCs w:val="32"/>
        </w:rPr>
        <w:t>预算绩效自评和重点评价工作，对评价中发现的问题及时整改，调整优化支出结构，提高财政资金使用效益。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5、加强内部监督。加强内部监督制度建设，对绩效运行情况、重大支出等事项的决策和执行进行督导，对会计资料进行内部审计，配合做好审计、财政监督等外部监督，确保财政资金安全有效。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6、加强宣传培训调研。加强系统内人员培训，提高职工业务素质；加强调研，提出优化财政资金配置、提高资金使用效益的意见；加大宣传力度，强化预算绩效管理意识，促进预算绩效水平进一步提升。</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0"/>
        <w:outlineLvl w:val="3"/>
      </w:pPr>
      <w:bookmarkStart w:id="3" w:name="_Toc_4_4_0000000004"/>
      <w:r>
        <w:rPr>
          <w:rFonts w:ascii="方正仿宋_GBK" w:hAnsi="方正仿宋_GBK" w:eastAsia="方正仿宋_GBK" w:cs="方正仿宋_GBK"/>
          <w:color w:val="000000"/>
          <w:sz w:val="28"/>
        </w:rPr>
        <w:t>1.医保网络经费（运转保障）绩效目标表</w:t>
      </w:r>
      <w:bookmarkEnd w:id="3"/>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13062522P00456510070X</w:t>
            </w:r>
          </w:p>
        </w:tc>
        <w:tc>
          <w:tcPr>
            <w:tcW w:w="1587" w:type="dxa"/>
            <w:vAlign w:val="center"/>
          </w:tcPr>
          <w:p>
            <w:pPr>
              <w:pStyle w:val="13"/>
            </w:pPr>
            <w:r>
              <w:t>项目名称</w:t>
            </w:r>
          </w:p>
        </w:tc>
        <w:tc>
          <w:tcPr>
            <w:tcW w:w="4423" w:type="dxa"/>
            <w:gridSpan w:val="3"/>
            <w:vAlign w:val="center"/>
          </w:tcPr>
          <w:p>
            <w:pPr>
              <w:pStyle w:val="12"/>
            </w:pPr>
            <w:r>
              <w:t>医保网络经费（运转保障）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16.48</w:t>
            </w:r>
          </w:p>
        </w:tc>
        <w:tc>
          <w:tcPr>
            <w:tcW w:w="1587" w:type="dxa"/>
            <w:vAlign w:val="center"/>
          </w:tcPr>
          <w:p>
            <w:pPr>
              <w:pStyle w:val="13"/>
            </w:pPr>
            <w:r>
              <w:t>其中：财政    资金</w:t>
            </w:r>
          </w:p>
        </w:tc>
        <w:tc>
          <w:tcPr>
            <w:tcW w:w="1304" w:type="dxa"/>
            <w:vAlign w:val="center"/>
          </w:tcPr>
          <w:p>
            <w:pPr>
              <w:pStyle w:val="12"/>
            </w:pPr>
            <w:r>
              <w:t>16.48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ab/>
            </w:r>
            <w:r>
              <w:tab/>
            </w:r>
            <w:r>
              <w:tab/>
            </w:r>
            <w:r>
              <w:tab/>
            </w:r>
            <w:r>
              <w:tab/>
            </w:r>
            <w:r>
              <w:tab/>
            </w:r>
            <w:r>
              <w:tab/>
            </w:r>
          </w:p>
          <w:p>
            <w:pPr>
              <w:pStyle w:val="12"/>
            </w:pPr>
            <w:r>
              <w:t>进行医保信息化建设，保障医保网络运行。</w:t>
            </w:r>
            <w:r>
              <w:tab/>
            </w:r>
            <w:r>
              <w:tab/>
            </w:r>
            <w:r>
              <w:tab/>
            </w:r>
            <w:r>
              <w:tab/>
            </w:r>
            <w:r>
              <w:tab/>
            </w:r>
            <w:r>
              <w:tab/>
            </w:r>
          </w:p>
          <w:p>
            <w:pPr>
              <w:pStyle w:val="12"/>
            </w:pP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25%</w:t>
            </w:r>
          </w:p>
        </w:tc>
        <w:tc>
          <w:tcPr>
            <w:tcW w:w="1587" w:type="dxa"/>
            <w:vAlign w:val="center"/>
          </w:tcPr>
          <w:p>
            <w:pPr>
              <w:pStyle w:val="14"/>
            </w:pPr>
            <w:r>
              <w:t xml:space="preserve"> 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1.进行医保信息化建设</w:t>
            </w:r>
          </w:p>
          <w:p>
            <w:pPr>
              <w:pStyle w:val="12"/>
            </w:pPr>
            <w:r>
              <w:t>2.与网络公司签订网络租赁协议，保障医保网络运行。</w:t>
            </w:r>
          </w:p>
          <w:p>
            <w:pPr>
              <w:pStyle w:val="12"/>
            </w:pPr>
            <w:r>
              <w:t>3.按合同预付，预计6月前支付50%，10月前全部支付</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网络故障率</w:t>
            </w:r>
          </w:p>
        </w:tc>
        <w:tc>
          <w:tcPr>
            <w:tcW w:w="2891" w:type="dxa"/>
            <w:vAlign w:val="center"/>
          </w:tcPr>
          <w:p>
            <w:pPr>
              <w:pStyle w:val="12"/>
            </w:pPr>
            <w:r>
              <w:t>反映网络故障情况</w:t>
            </w:r>
          </w:p>
        </w:tc>
        <w:tc>
          <w:tcPr>
            <w:tcW w:w="1276" w:type="dxa"/>
            <w:vAlign w:val="center"/>
          </w:tcPr>
          <w:p>
            <w:pPr>
              <w:pStyle w:val="12"/>
            </w:pPr>
            <w:r>
              <w:t>≤10%</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网络和线路租赁数量</w:t>
            </w:r>
          </w:p>
        </w:tc>
        <w:tc>
          <w:tcPr>
            <w:tcW w:w="2891" w:type="dxa"/>
            <w:vAlign w:val="center"/>
          </w:tcPr>
          <w:p>
            <w:pPr>
              <w:pStyle w:val="12"/>
            </w:pPr>
            <w:r>
              <w:t>租赁移动、联通、电信三大运营商网络和线路数量</w:t>
            </w:r>
          </w:p>
        </w:tc>
        <w:tc>
          <w:tcPr>
            <w:tcW w:w="1276" w:type="dxa"/>
            <w:vAlign w:val="center"/>
          </w:tcPr>
          <w:p>
            <w:pPr>
              <w:pStyle w:val="12"/>
            </w:pPr>
            <w:r>
              <w:t>≥15条</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全年网络可用率</w:t>
            </w:r>
          </w:p>
        </w:tc>
        <w:tc>
          <w:tcPr>
            <w:tcW w:w="2891" w:type="dxa"/>
            <w:vAlign w:val="center"/>
          </w:tcPr>
          <w:p>
            <w:pPr>
              <w:pStyle w:val="12"/>
            </w:pPr>
            <w:r>
              <w:t>全年网络可用率</w:t>
            </w:r>
          </w:p>
        </w:tc>
        <w:tc>
          <w:tcPr>
            <w:tcW w:w="1276" w:type="dxa"/>
            <w:vAlign w:val="center"/>
          </w:tcPr>
          <w:p>
            <w:pPr>
              <w:pStyle w:val="12"/>
            </w:pPr>
            <w:r>
              <w:t>≥95%</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 xml:space="preserve">反映项目支出金额不高于预算数 </w:t>
            </w:r>
          </w:p>
        </w:tc>
        <w:tc>
          <w:tcPr>
            <w:tcW w:w="1276" w:type="dxa"/>
            <w:vAlign w:val="center"/>
          </w:tcPr>
          <w:p>
            <w:pPr>
              <w:pStyle w:val="12"/>
            </w:pPr>
            <w:r>
              <w:t>≤16.48万元</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网络瘫痪次数</w:t>
            </w:r>
          </w:p>
        </w:tc>
        <w:tc>
          <w:tcPr>
            <w:tcW w:w="2891" w:type="dxa"/>
            <w:vAlign w:val="center"/>
          </w:tcPr>
          <w:p>
            <w:pPr>
              <w:pStyle w:val="12"/>
            </w:pPr>
            <w:r>
              <w:t>网络瘫痪次数</w:t>
            </w:r>
          </w:p>
        </w:tc>
        <w:tc>
          <w:tcPr>
            <w:tcW w:w="1276" w:type="dxa"/>
            <w:vAlign w:val="center"/>
          </w:tcPr>
          <w:p>
            <w:pPr>
              <w:pStyle w:val="12"/>
            </w:pPr>
            <w:r>
              <w:t>≤3次</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网络使用人员满意度</w:t>
            </w:r>
          </w:p>
        </w:tc>
        <w:tc>
          <w:tcPr>
            <w:tcW w:w="2891" w:type="dxa"/>
            <w:vAlign w:val="center"/>
          </w:tcPr>
          <w:p>
            <w:pPr>
              <w:pStyle w:val="12"/>
            </w:pPr>
            <w:r>
              <w:t>网络使用人员满意度</w:t>
            </w:r>
          </w:p>
        </w:tc>
        <w:tc>
          <w:tcPr>
            <w:tcW w:w="1276" w:type="dxa"/>
            <w:vAlign w:val="center"/>
          </w:tcPr>
          <w:p>
            <w:pPr>
              <w:pStyle w:val="12"/>
            </w:pPr>
            <w:r>
              <w:t>≥90%</w:t>
            </w:r>
          </w:p>
        </w:tc>
        <w:tc>
          <w:tcPr>
            <w:tcW w:w="1843" w:type="dxa"/>
            <w:vAlign w:val="center"/>
          </w:tcPr>
          <w:p>
            <w:pPr>
              <w:pStyle w:val="12"/>
            </w:pPr>
            <w:r>
              <w:t>统计标准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2.离休药费统筹区级配套资金绩效目标表</w:t>
      </w:r>
      <w:bookmarkEnd w:id="4"/>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13062522P00457310020E</w:t>
            </w:r>
          </w:p>
        </w:tc>
        <w:tc>
          <w:tcPr>
            <w:tcW w:w="1587" w:type="dxa"/>
            <w:vAlign w:val="center"/>
          </w:tcPr>
          <w:p>
            <w:pPr>
              <w:pStyle w:val="13"/>
            </w:pPr>
            <w:r>
              <w:t>项目名称</w:t>
            </w:r>
          </w:p>
        </w:tc>
        <w:tc>
          <w:tcPr>
            <w:tcW w:w="4423" w:type="dxa"/>
            <w:gridSpan w:val="3"/>
            <w:vAlign w:val="center"/>
          </w:tcPr>
          <w:p>
            <w:pPr>
              <w:pStyle w:val="12"/>
            </w:pPr>
            <w:r>
              <w:t>离休药费统筹区级配套资金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266.00</w:t>
            </w:r>
          </w:p>
        </w:tc>
        <w:tc>
          <w:tcPr>
            <w:tcW w:w="1587" w:type="dxa"/>
            <w:vAlign w:val="center"/>
          </w:tcPr>
          <w:p>
            <w:pPr>
              <w:pStyle w:val="13"/>
            </w:pPr>
            <w:r>
              <w:t>其中：财政    资金</w:t>
            </w:r>
          </w:p>
        </w:tc>
        <w:tc>
          <w:tcPr>
            <w:tcW w:w="1304" w:type="dxa"/>
            <w:vAlign w:val="center"/>
          </w:tcPr>
          <w:p>
            <w:pPr>
              <w:pStyle w:val="12"/>
            </w:pPr>
            <w:r>
              <w:t>266.00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ab/>
            </w:r>
            <w:r>
              <w:t>拨付徐水区离休人员医药费及包干资金，保证离休人员医疗待遇。</w:t>
            </w:r>
            <w:r>
              <w:tab/>
            </w:r>
            <w:r>
              <w:tab/>
            </w:r>
            <w:r>
              <w:tab/>
            </w:r>
            <w:r>
              <w:tab/>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25%</w:t>
            </w:r>
          </w:p>
        </w:tc>
        <w:tc>
          <w:tcPr>
            <w:tcW w:w="1587" w:type="dxa"/>
            <w:vAlign w:val="center"/>
          </w:tcPr>
          <w:p>
            <w:pPr>
              <w:pStyle w:val="14"/>
            </w:pPr>
            <w:r>
              <w:t xml:space="preserve"> 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1.保证离休人员医疗待遇</w:t>
            </w:r>
          </w:p>
          <w:p>
            <w:pPr>
              <w:pStyle w:val="12"/>
            </w:pPr>
            <w:r>
              <w:t>2.拨付徐水区离休人员医药费及包干资金</w:t>
            </w:r>
          </w:p>
          <w:p>
            <w:pPr>
              <w:pStyle w:val="12"/>
            </w:pPr>
            <w:r>
              <w:t>3.待资金到位后拨付医保中心据实使用（预计3月底前拨付完毕）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包干药费标准</w:t>
            </w:r>
          </w:p>
        </w:tc>
        <w:tc>
          <w:tcPr>
            <w:tcW w:w="2891" w:type="dxa"/>
            <w:vAlign w:val="center"/>
          </w:tcPr>
          <w:p>
            <w:pPr>
              <w:pStyle w:val="12"/>
            </w:pPr>
            <w:r>
              <w:t>反映离休药费保险标准</w:t>
            </w:r>
          </w:p>
        </w:tc>
        <w:tc>
          <w:tcPr>
            <w:tcW w:w="1276" w:type="dxa"/>
            <w:vAlign w:val="center"/>
          </w:tcPr>
          <w:p>
            <w:pPr>
              <w:pStyle w:val="12"/>
            </w:pPr>
            <w:r>
              <w:t>≥500元</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应保尽保率</w:t>
            </w:r>
          </w:p>
        </w:tc>
        <w:tc>
          <w:tcPr>
            <w:tcW w:w="2891" w:type="dxa"/>
            <w:vAlign w:val="center"/>
          </w:tcPr>
          <w:p>
            <w:pPr>
              <w:pStyle w:val="12"/>
            </w:pPr>
            <w:r>
              <w:t>反映资金应保尽保情况</w:t>
            </w:r>
          </w:p>
        </w:tc>
        <w:tc>
          <w:tcPr>
            <w:tcW w:w="1276" w:type="dxa"/>
            <w:vAlign w:val="center"/>
          </w:tcPr>
          <w:p>
            <w:pPr>
              <w:pStyle w:val="12"/>
            </w:pPr>
            <w:r>
              <w:t>≥100%</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2891" w:type="dxa"/>
            <w:vAlign w:val="center"/>
          </w:tcPr>
          <w:p>
            <w:pPr>
              <w:pStyle w:val="12"/>
            </w:pPr>
            <w:r>
              <w:t>反映资金发放及时情况</w:t>
            </w:r>
          </w:p>
        </w:tc>
        <w:tc>
          <w:tcPr>
            <w:tcW w:w="1276" w:type="dxa"/>
            <w:vAlign w:val="center"/>
          </w:tcPr>
          <w:p>
            <w:pPr>
              <w:pStyle w:val="12"/>
            </w:pPr>
            <w:r>
              <w:t>≥100%</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反映项目支出金额不高于预算数</w:t>
            </w:r>
          </w:p>
        </w:tc>
        <w:tc>
          <w:tcPr>
            <w:tcW w:w="1276" w:type="dxa"/>
            <w:vAlign w:val="center"/>
          </w:tcPr>
          <w:p>
            <w:pPr>
              <w:pStyle w:val="12"/>
            </w:pPr>
            <w:r>
              <w:t>≤266万元</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保障离休人员医疗待遇</w:t>
            </w:r>
          </w:p>
        </w:tc>
        <w:tc>
          <w:tcPr>
            <w:tcW w:w="2891" w:type="dxa"/>
            <w:vAlign w:val="center"/>
          </w:tcPr>
          <w:p>
            <w:pPr>
              <w:pStyle w:val="12"/>
            </w:pPr>
            <w:r>
              <w:t>反映离休药费使用成果，保障离休人员待遇人数</w:t>
            </w:r>
          </w:p>
        </w:tc>
        <w:tc>
          <w:tcPr>
            <w:tcW w:w="1276" w:type="dxa"/>
            <w:vAlign w:val="center"/>
          </w:tcPr>
          <w:p>
            <w:pPr>
              <w:pStyle w:val="12"/>
            </w:pPr>
            <w:r>
              <w:t>≥38人</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老干部满意度</w:t>
            </w:r>
          </w:p>
        </w:tc>
        <w:tc>
          <w:tcPr>
            <w:tcW w:w="2891" w:type="dxa"/>
            <w:vAlign w:val="center"/>
          </w:tcPr>
          <w:p>
            <w:pPr>
              <w:pStyle w:val="12"/>
            </w:pPr>
            <w:r>
              <w:t>反映享受待遇的离休老干部满意度</w:t>
            </w:r>
          </w:p>
        </w:tc>
        <w:tc>
          <w:tcPr>
            <w:tcW w:w="1276" w:type="dxa"/>
            <w:vAlign w:val="center"/>
          </w:tcPr>
          <w:p>
            <w:pPr>
              <w:pStyle w:val="12"/>
            </w:pPr>
            <w:r>
              <w:t>≥85%</w:t>
            </w:r>
          </w:p>
        </w:tc>
        <w:tc>
          <w:tcPr>
            <w:tcW w:w="1843" w:type="dxa"/>
            <w:vAlign w:val="center"/>
          </w:tcPr>
          <w:p>
            <w:pPr>
              <w:pStyle w:val="12"/>
            </w:pPr>
            <w: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3.提前下达2022年中央财政医疗服务与保障能力提升补助资金绩效目标表</w:t>
      </w:r>
      <w:bookmarkEnd w:id="5"/>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13062522P00459210063H</w:t>
            </w:r>
          </w:p>
        </w:tc>
        <w:tc>
          <w:tcPr>
            <w:tcW w:w="1587" w:type="dxa"/>
            <w:vAlign w:val="center"/>
          </w:tcPr>
          <w:p>
            <w:pPr>
              <w:pStyle w:val="13"/>
            </w:pPr>
            <w:r>
              <w:t>项目名称</w:t>
            </w:r>
          </w:p>
        </w:tc>
        <w:tc>
          <w:tcPr>
            <w:tcW w:w="4423" w:type="dxa"/>
            <w:gridSpan w:val="3"/>
            <w:vAlign w:val="center"/>
          </w:tcPr>
          <w:p>
            <w:pPr>
              <w:pStyle w:val="12"/>
            </w:pPr>
            <w:r>
              <w:t>提前下达2022年中央财政医疗服务与保障能力提升补助资金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304" w:type="dxa"/>
            <w:vAlign w:val="center"/>
          </w:tcPr>
          <w:p>
            <w:pPr>
              <w:pStyle w:val="12"/>
            </w:pPr>
            <w:r>
              <w:t>12.00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用于医保信息化，基金监管，支付方式改革等方面。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25%</w:t>
            </w:r>
          </w:p>
        </w:tc>
        <w:tc>
          <w:tcPr>
            <w:tcW w:w="1587" w:type="dxa"/>
            <w:vAlign w:val="center"/>
          </w:tcPr>
          <w:p>
            <w:pPr>
              <w:pStyle w:val="14"/>
            </w:pPr>
            <w:r>
              <w:t xml:space="preserve"> 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1.目标内容1：国家统一医保信息平台正常运行</w:t>
            </w:r>
          </w:p>
          <w:p>
            <w:pPr>
              <w:pStyle w:val="12"/>
            </w:pPr>
            <w:r>
              <w:t>2.目标内容2：定点医药机构监督检覆盖率</w:t>
            </w:r>
          </w:p>
          <w:p>
            <w:pPr>
              <w:pStyle w:val="12"/>
            </w:pPr>
            <w:r>
              <w:t>3.目标内容3：推行医保支付方式改革和DRG</w:t>
            </w:r>
          </w:p>
          <w:p>
            <w:pPr>
              <w:pStyle w:val="12"/>
            </w:pPr>
            <w:r>
              <w:t>4.目标内容4:3月底前支付25%，6月底前支付50%，9月底前支付75%，12月底前支付100%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基础设施对业务支撑的满足情况</w:t>
            </w:r>
          </w:p>
        </w:tc>
        <w:tc>
          <w:tcPr>
            <w:tcW w:w="2891" w:type="dxa"/>
            <w:vAlign w:val="center"/>
          </w:tcPr>
          <w:p>
            <w:pPr>
              <w:pStyle w:val="12"/>
            </w:pPr>
            <w:r>
              <w:t>反映基础设施对业务支撑的满足程度</w:t>
            </w:r>
          </w:p>
        </w:tc>
        <w:tc>
          <w:tcPr>
            <w:tcW w:w="1276" w:type="dxa"/>
            <w:vAlign w:val="center"/>
          </w:tcPr>
          <w:p>
            <w:pPr>
              <w:pStyle w:val="12"/>
            </w:pPr>
            <w:r>
              <w:t>≥90%</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进行医保工作业务培训</w:t>
            </w:r>
          </w:p>
        </w:tc>
        <w:tc>
          <w:tcPr>
            <w:tcW w:w="2891" w:type="dxa"/>
            <w:vAlign w:val="center"/>
          </w:tcPr>
          <w:p>
            <w:pPr>
              <w:pStyle w:val="12"/>
            </w:pPr>
            <w:r>
              <w:t>对业务的培训次数</w:t>
            </w:r>
          </w:p>
        </w:tc>
        <w:tc>
          <w:tcPr>
            <w:tcW w:w="1276" w:type="dxa"/>
            <w:vAlign w:val="center"/>
          </w:tcPr>
          <w:p>
            <w:pPr>
              <w:pStyle w:val="12"/>
            </w:pPr>
            <w:r>
              <w:t>≥2次</w:t>
            </w:r>
          </w:p>
        </w:tc>
        <w:tc>
          <w:tcPr>
            <w:tcW w:w="1843" w:type="dxa"/>
            <w:vAlign w:val="center"/>
          </w:tcPr>
          <w:p>
            <w:pPr>
              <w:pStyle w:val="12"/>
            </w:pPr>
            <w:r>
              <w:t xml:space="preserve">计划要求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医保信息系统正常运行率</w:t>
            </w:r>
          </w:p>
        </w:tc>
        <w:tc>
          <w:tcPr>
            <w:tcW w:w="2891" w:type="dxa"/>
            <w:vAlign w:val="center"/>
          </w:tcPr>
          <w:p>
            <w:pPr>
              <w:pStyle w:val="12"/>
            </w:pPr>
            <w:r>
              <w:t>反映医保信息的正常运行情况</w:t>
            </w:r>
          </w:p>
        </w:tc>
        <w:tc>
          <w:tcPr>
            <w:tcW w:w="1276" w:type="dxa"/>
            <w:vAlign w:val="center"/>
          </w:tcPr>
          <w:p>
            <w:pPr>
              <w:pStyle w:val="12"/>
            </w:pPr>
            <w:r>
              <w:t>≥90%</w:t>
            </w:r>
          </w:p>
        </w:tc>
        <w:tc>
          <w:tcPr>
            <w:tcW w:w="1843" w:type="dxa"/>
            <w:vAlign w:val="center"/>
          </w:tcPr>
          <w:p>
            <w:pPr>
              <w:pStyle w:val="12"/>
            </w:pPr>
            <w:r>
              <w:t xml:space="preserve">计划要求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医保信息系统重大安全事件响应时间</w:t>
            </w:r>
          </w:p>
        </w:tc>
        <w:tc>
          <w:tcPr>
            <w:tcW w:w="2891" w:type="dxa"/>
            <w:vAlign w:val="center"/>
          </w:tcPr>
          <w:p>
            <w:pPr>
              <w:pStyle w:val="12"/>
            </w:pPr>
            <w:r>
              <w:t>反映医保信息系统重大安全事件的响应时间</w:t>
            </w:r>
          </w:p>
        </w:tc>
        <w:tc>
          <w:tcPr>
            <w:tcW w:w="1276" w:type="dxa"/>
            <w:vAlign w:val="center"/>
          </w:tcPr>
          <w:p>
            <w:pPr>
              <w:pStyle w:val="12"/>
            </w:pPr>
            <w:r>
              <w:t>≤60分钟</w:t>
            </w:r>
          </w:p>
        </w:tc>
        <w:tc>
          <w:tcPr>
            <w:tcW w:w="1843" w:type="dxa"/>
            <w:vAlign w:val="center"/>
          </w:tcPr>
          <w:p>
            <w:pPr>
              <w:pStyle w:val="12"/>
            </w:pPr>
            <w:r>
              <w:t xml:space="preserve">计划要求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定点医药机构监督检查覆盖率</w:t>
            </w:r>
          </w:p>
        </w:tc>
        <w:tc>
          <w:tcPr>
            <w:tcW w:w="2891" w:type="dxa"/>
            <w:vAlign w:val="center"/>
          </w:tcPr>
          <w:p>
            <w:pPr>
              <w:pStyle w:val="12"/>
            </w:pPr>
            <w:r>
              <w:t>反映定点医药机构监督监督覆盖情况</w:t>
            </w:r>
          </w:p>
        </w:tc>
        <w:tc>
          <w:tcPr>
            <w:tcW w:w="1276" w:type="dxa"/>
            <w:vAlign w:val="center"/>
          </w:tcPr>
          <w:p>
            <w:pPr>
              <w:pStyle w:val="12"/>
            </w:pPr>
            <w:r>
              <w:t>100%</w:t>
            </w:r>
          </w:p>
        </w:tc>
        <w:tc>
          <w:tcPr>
            <w:tcW w:w="1843" w:type="dxa"/>
            <w:vAlign w:val="center"/>
          </w:tcPr>
          <w:p>
            <w:pPr>
              <w:pStyle w:val="12"/>
            </w:pPr>
            <w:r>
              <w:t xml:space="preserve">计划要求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DRG运行时间</w:t>
            </w:r>
          </w:p>
        </w:tc>
        <w:tc>
          <w:tcPr>
            <w:tcW w:w="2891" w:type="dxa"/>
            <w:vAlign w:val="center"/>
          </w:tcPr>
          <w:p>
            <w:pPr>
              <w:pStyle w:val="12"/>
            </w:pPr>
            <w:r>
              <w:t>反映DRG的运行情况</w:t>
            </w:r>
          </w:p>
        </w:tc>
        <w:tc>
          <w:tcPr>
            <w:tcW w:w="1276" w:type="dxa"/>
            <w:vAlign w:val="center"/>
          </w:tcPr>
          <w:p>
            <w:pPr>
              <w:pStyle w:val="12"/>
            </w:pPr>
            <w:r>
              <w:t>不晚于12月底</w:t>
            </w:r>
          </w:p>
        </w:tc>
        <w:tc>
          <w:tcPr>
            <w:tcW w:w="1843" w:type="dxa"/>
            <w:vAlign w:val="center"/>
          </w:tcPr>
          <w:p>
            <w:pPr>
              <w:pStyle w:val="12"/>
            </w:pPr>
            <w:r>
              <w:t xml:space="preserve">计划要求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电子医疗凭证运行时间</w:t>
            </w:r>
          </w:p>
        </w:tc>
        <w:tc>
          <w:tcPr>
            <w:tcW w:w="2891" w:type="dxa"/>
            <w:vAlign w:val="center"/>
          </w:tcPr>
          <w:p>
            <w:pPr>
              <w:pStyle w:val="12"/>
            </w:pPr>
            <w:r>
              <w:t>反映电子医疗凭证运行时间</w:t>
            </w:r>
          </w:p>
        </w:tc>
        <w:tc>
          <w:tcPr>
            <w:tcW w:w="1276" w:type="dxa"/>
            <w:vAlign w:val="center"/>
          </w:tcPr>
          <w:p>
            <w:pPr>
              <w:pStyle w:val="12"/>
            </w:pPr>
            <w:r>
              <w:t>不晚于12月底</w:t>
            </w:r>
          </w:p>
        </w:tc>
        <w:tc>
          <w:tcPr>
            <w:tcW w:w="1843" w:type="dxa"/>
            <w:vAlign w:val="center"/>
          </w:tcPr>
          <w:p>
            <w:pPr>
              <w:pStyle w:val="12"/>
            </w:pPr>
            <w:r>
              <w:t xml:space="preserve">计划要求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业务预算资金使用率</w:t>
            </w:r>
          </w:p>
        </w:tc>
        <w:tc>
          <w:tcPr>
            <w:tcW w:w="2891" w:type="dxa"/>
            <w:vAlign w:val="center"/>
          </w:tcPr>
          <w:p>
            <w:pPr>
              <w:pStyle w:val="12"/>
            </w:pPr>
            <w:r>
              <w:t>反映业务预算资金使用率</w:t>
            </w:r>
          </w:p>
        </w:tc>
        <w:tc>
          <w:tcPr>
            <w:tcW w:w="1276" w:type="dxa"/>
            <w:vAlign w:val="center"/>
          </w:tcPr>
          <w:p>
            <w:pPr>
              <w:pStyle w:val="12"/>
            </w:pPr>
            <w:r>
              <w:t>≥90%</w:t>
            </w:r>
          </w:p>
        </w:tc>
        <w:tc>
          <w:tcPr>
            <w:tcW w:w="1843" w:type="dxa"/>
            <w:vAlign w:val="center"/>
          </w:tcPr>
          <w:p>
            <w:pPr>
              <w:pStyle w:val="12"/>
            </w:pPr>
            <w:r>
              <w:t xml:space="preserve">计划要求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医保中心“停摆”情况发生数</w:t>
            </w:r>
          </w:p>
        </w:tc>
        <w:tc>
          <w:tcPr>
            <w:tcW w:w="2891" w:type="dxa"/>
            <w:vAlign w:val="center"/>
          </w:tcPr>
          <w:p>
            <w:pPr>
              <w:pStyle w:val="12"/>
            </w:pPr>
            <w:r>
              <w:t>反映医保中心“停摆”情况发生情况</w:t>
            </w:r>
          </w:p>
        </w:tc>
        <w:tc>
          <w:tcPr>
            <w:tcW w:w="1276" w:type="dxa"/>
            <w:vAlign w:val="center"/>
          </w:tcPr>
          <w:p>
            <w:pPr>
              <w:pStyle w:val="12"/>
            </w:pPr>
            <w:r>
              <w:t>≤1次</w:t>
            </w:r>
          </w:p>
        </w:tc>
        <w:tc>
          <w:tcPr>
            <w:tcW w:w="1843" w:type="dxa"/>
            <w:vAlign w:val="center"/>
          </w:tcPr>
          <w:p>
            <w:pPr>
              <w:pStyle w:val="12"/>
            </w:pPr>
            <w:r>
              <w:t xml:space="preserve">计划要求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跨省异地就医直接结算率</w:t>
            </w:r>
          </w:p>
        </w:tc>
        <w:tc>
          <w:tcPr>
            <w:tcW w:w="2891" w:type="dxa"/>
            <w:vAlign w:val="center"/>
          </w:tcPr>
          <w:p>
            <w:pPr>
              <w:pStyle w:val="12"/>
            </w:pPr>
            <w:r>
              <w:t>反映跨省异地就医直接结算情况</w:t>
            </w:r>
          </w:p>
        </w:tc>
        <w:tc>
          <w:tcPr>
            <w:tcW w:w="1276" w:type="dxa"/>
            <w:vAlign w:val="center"/>
          </w:tcPr>
          <w:p>
            <w:pPr>
              <w:pStyle w:val="12"/>
            </w:pPr>
            <w:r>
              <w:t>≥80%</w:t>
            </w:r>
          </w:p>
        </w:tc>
        <w:tc>
          <w:tcPr>
            <w:tcW w:w="1843" w:type="dxa"/>
            <w:vAlign w:val="center"/>
          </w:tcPr>
          <w:p>
            <w:pPr>
              <w:pStyle w:val="12"/>
            </w:pPr>
            <w:r>
              <w:t xml:space="preserve">计划要求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参保人员对医保服务 的满意度</w:t>
            </w:r>
          </w:p>
        </w:tc>
        <w:tc>
          <w:tcPr>
            <w:tcW w:w="2891" w:type="dxa"/>
            <w:vAlign w:val="center"/>
          </w:tcPr>
          <w:p>
            <w:pPr>
              <w:pStyle w:val="12"/>
            </w:pPr>
            <w:r>
              <w:t>反映参保人员对医保服务的满意度</w:t>
            </w:r>
          </w:p>
        </w:tc>
        <w:tc>
          <w:tcPr>
            <w:tcW w:w="1276" w:type="dxa"/>
            <w:vAlign w:val="center"/>
          </w:tcPr>
          <w:p>
            <w:pPr>
              <w:pStyle w:val="12"/>
            </w:pPr>
            <w:r>
              <w:t>≥80%</w:t>
            </w:r>
          </w:p>
        </w:tc>
        <w:tc>
          <w:tcPr>
            <w:tcW w:w="1843" w:type="dxa"/>
            <w:vAlign w:val="center"/>
          </w:tcPr>
          <w:p>
            <w:pPr>
              <w:pStyle w:val="12"/>
            </w:pPr>
            <w:r>
              <w:t xml:space="preserve">计划要求 </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4.退役军人专岗人员提高待遇资金绩效目标表</w:t>
      </w:r>
      <w:bookmarkEnd w:id="6"/>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13062522P004566103571</w:t>
            </w:r>
          </w:p>
        </w:tc>
        <w:tc>
          <w:tcPr>
            <w:tcW w:w="1587" w:type="dxa"/>
            <w:vAlign w:val="center"/>
          </w:tcPr>
          <w:p>
            <w:pPr>
              <w:pStyle w:val="13"/>
            </w:pPr>
            <w:r>
              <w:t>项目名称</w:t>
            </w:r>
          </w:p>
        </w:tc>
        <w:tc>
          <w:tcPr>
            <w:tcW w:w="4423" w:type="dxa"/>
            <w:gridSpan w:val="3"/>
            <w:vAlign w:val="center"/>
          </w:tcPr>
          <w:p>
            <w:pPr>
              <w:pStyle w:val="12"/>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0.36</w:t>
            </w:r>
          </w:p>
        </w:tc>
        <w:tc>
          <w:tcPr>
            <w:tcW w:w="1587" w:type="dxa"/>
            <w:vAlign w:val="center"/>
          </w:tcPr>
          <w:p>
            <w:pPr>
              <w:pStyle w:val="13"/>
            </w:pPr>
            <w:r>
              <w:t>其中：财政    资金</w:t>
            </w:r>
          </w:p>
        </w:tc>
        <w:tc>
          <w:tcPr>
            <w:tcW w:w="1304" w:type="dxa"/>
            <w:vAlign w:val="center"/>
          </w:tcPr>
          <w:p>
            <w:pPr>
              <w:pStyle w:val="12"/>
            </w:pPr>
            <w:r>
              <w:t>0.36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确保全区稳定，保障退役军人专岗人员更好发挥作用。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25%</w:t>
            </w:r>
          </w:p>
        </w:tc>
        <w:tc>
          <w:tcPr>
            <w:tcW w:w="1587" w:type="dxa"/>
            <w:vAlign w:val="center"/>
          </w:tcPr>
          <w:p>
            <w:pPr>
              <w:pStyle w:val="14"/>
            </w:pPr>
            <w:r>
              <w:t xml:space="preserve"> 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1.确保全区稳定，保障退役军人专岗人员更好发挥作用。</w:t>
            </w:r>
          </w:p>
          <w:p>
            <w:pPr>
              <w:pStyle w:val="12"/>
            </w:pPr>
            <w:r>
              <w:t>2.按月支出，3月份支出25%，6月份支出50%，9月份支出75%，12月份支出100%。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专岗人员人数</w:t>
            </w:r>
          </w:p>
        </w:tc>
        <w:tc>
          <w:tcPr>
            <w:tcW w:w="2891" w:type="dxa"/>
            <w:vAlign w:val="center"/>
          </w:tcPr>
          <w:p>
            <w:pPr>
              <w:pStyle w:val="12"/>
            </w:pPr>
            <w:r>
              <w:t>专岗人员人数</w:t>
            </w:r>
          </w:p>
        </w:tc>
        <w:tc>
          <w:tcPr>
            <w:tcW w:w="1276" w:type="dxa"/>
            <w:vAlign w:val="center"/>
          </w:tcPr>
          <w:p>
            <w:pPr>
              <w:pStyle w:val="12"/>
            </w:pPr>
            <w:r>
              <w:t>1人</w:t>
            </w:r>
          </w:p>
        </w:tc>
        <w:tc>
          <w:tcPr>
            <w:tcW w:w="1843" w:type="dxa"/>
            <w:vAlign w:val="center"/>
          </w:tcPr>
          <w:p>
            <w:pPr>
              <w:pStyle w:val="12"/>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补贴发放足额率</w:t>
            </w:r>
          </w:p>
        </w:tc>
        <w:tc>
          <w:tcPr>
            <w:tcW w:w="2891" w:type="dxa"/>
            <w:vAlign w:val="center"/>
          </w:tcPr>
          <w:p>
            <w:pPr>
              <w:pStyle w:val="12"/>
            </w:pPr>
            <w:r>
              <w:t>足额发放补贴人数占全部人数比例</w:t>
            </w:r>
          </w:p>
        </w:tc>
        <w:tc>
          <w:tcPr>
            <w:tcW w:w="1276" w:type="dxa"/>
            <w:vAlign w:val="center"/>
          </w:tcPr>
          <w:p>
            <w:pPr>
              <w:pStyle w:val="12"/>
            </w:pPr>
            <w:r>
              <w:t>100%</w:t>
            </w:r>
          </w:p>
        </w:tc>
        <w:tc>
          <w:tcPr>
            <w:tcW w:w="1843"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资金及时发放率</w:t>
            </w:r>
          </w:p>
        </w:tc>
        <w:tc>
          <w:tcPr>
            <w:tcW w:w="2891" w:type="dxa"/>
            <w:vAlign w:val="center"/>
          </w:tcPr>
          <w:p>
            <w:pPr>
              <w:pStyle w:val="12"/>
            </w:pPr>
            <w:r>
              <w:t>该笔资金投入后是否能够按照规定时间发放到位</w:t>
            </w:r>
          </w:p>
        </w:tc>
        <w:tc>
          <w:tcPr>
            <w:tcW w:w="1276" w:type="dxa"/>
            <w:vAlign w:val="center"/>
          </w:tcPr>
          <w:p>
            <w:pPr>
              <w:pStyle w:val="12"/>
            </w:pPr>
            <w:r>
              <w:t>100%</w:t>
            </w:r>
          </w:p>
        </w:tc>
        <w:tc>
          <w:tcPr>
            <w:tcW w:w="1843"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项目支出金额</w:t>
            </w:r>
          </w:p>
        </w:tc>
        <w:tc>
          <w:tcPr>
            <w:tcW w:w="2891" w:type="dxa"/>
            <w:vAlign w:val="center"/>
          </w:tcPr>
          <w:p>
            <w:pPr>
              <w:pStyle w:val="12"/>
            </w:pPr>
            <w:r>
              <w:t>在预算金额内支付</w:t>
            </w:r>
          </w:p>
        </w:tc>
        <w:tc>
          <w:tcPr>
            <w:tcW w:w="1276" w:type="dxa"/>
            <w:vAlign w:val="center"/>
          </w:tcPr>
          <w:p>
            <w:pPr>
              <w:pStyle w:val="12"/>
            </w:pPr>
            <w:r>
              <w:t>≤0.36万元</w:t>
            </w:r>
          </w:p>
        </w:tc>
        <w:tc>
          <w:tcPr>
            <w:tcW w:w="1843"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拥军优属保障率</w:t>
            </w:r>
          </w:p>
        </w:tc>
        <w:tc>
          <w:tcPr>
            <w:tcW w:w="2891" w:type="dxa"/>
            <w:vAlign w:val="center"/>
          </w:tcPr>
          <w:p>
            <w:pPr>
              <w:pStyle w:val="12"/>
            </w:pPr>
            <w:r>
              <w:t>未发生相关上访的比率</w:t>
            </w:r>
          </w:p>
        </w:tc>
        <w:tc>
          <w:tcPr>
            <w:tcW w:w="1276" w:type="dxa"/>
            <w:vAlign w:val="center"/>
          </w:tcPr>
          <w:p>
            <w:pPr>
              <w:pStyle w:val="12"/>
            </w:pPr>
            <w:r>
              <w:t>100%</w:t>
            </w:r>
          </w:p>
        </w:tc>
        <w:tc>
          <w:tcPr>
            <w:tcW w:w="1843"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退役军人专岗人员满意度</w:t>
            </w:r>
          </w:p>
        </w:tc>
        <w:tc>
          <w:tcPr>
            <w:tcW w:w="2891" w:type="dxa"/>
            <w:vAlign w:val="center"/>
          </w:tcPr>
          <w:p>
            <w:pPr>
              <w:pStyle w:val="12"/>
            </w:pPr>
            <w:r>
              <w:t>项目相关的退役军人专岗人员满意度</w:t>
            </w:r>
          </w:p>
        </w:tc>
        <w:tc>
          <w:tcPr>
            <w:tcW w:w="1276" w:type="dxa"/>
            <w:vAlign w:val="center"/>
          </w:tcPr>
          <w:p>
            <w:pPr>
              <w:pStyle w:val="12"/>
            </w:pPr>
            <w:r>
              <w:t>≥85%</w:t>
            </w:r>
          </w:p>
        </w:tc>
        <w:tc>
          <w:tcPr>
            <w:tcW w:w="1843" w:type="dxa"/>
            <w:vAlign w:val="center"/>
          </w:tcPr>
          <w:p>
            <w:pPr>
              <w:pStyle w:val="12"/>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5.医保基金监管核查专项资金（含专家费）绩效目标表</w:t>
      </w:r>
      <w:bookmarkEnd w:id="7"/>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13062522P00456710156G</w:t>
            </w:r>
          </w:p>
        </w:tc>
        <w:tc>
          <w:tcPr>
            <w:tcW w:w="1587" w:type="dxa"/>
            <w:vAlign w:val="center"/>
          </w:tcPr>
          <w:p>
            <w:pPr>
              <w:pStyle w:val="13"/>
            </w:pPr>
            <w:r>
              <w:t>项目名称</w:t>
            </w:r>
          </w:p>
        </w:tc>
        <w:tc>
          <w:tcPr>
            <w:tcW w:w="4423" w:type="dxa"/>
            <w:gridSpan w:val="3"/>
            <w:vAlign w:val="center"/>
          </w:tcPr>
          <w:p>
            <w:pPr>
              <w:pStyle w:val="12"/>
            </w:pPr>
            <w:r>
              <w:t>医保基金监管核查专项资金（含专家费）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5.07</w:t>
            </w:r>
          </w:p>
        </w:tc>
        <w:tc>
          <w:tcPr>
            <w:tcW w:w="1587" w:type="dxa"/>
            <w:vAlign w:val="center"/>
          </w:tcPr>
          <w:p>
            <w:pPr>
              <w:pStyle w:val="13"/>
            </w:pPr>
            <w:r>
              <w:t>其中：财政    资金</w:t>
            </w:r>
          </w:p>
        </w:tc>
        <w:tc>
          <w:tcPr>
            <w:tcW w:w="1304" w:type="dxa"/>
            <w:vAlign w:val="center"/>
          </w:tcPr>
          <w:p>
            <w:pPr>
              <w:pStyle w:val="12"/>
            </w:pPr>
            <w:r>
              <w:t>5.07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进行基金监管工作，保障基金安全稳定运行。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25%</w:t>
            </w:r>
          </w:p>
        </w:tc>
        <w:tc>
          <w:tcPr>
            <w:tcW w:w="1587" w:type="dxa"/>
            <w:vAlign w:val="center"/>
          </w:tcPr>
          <w:p>
            <w:pPr>
              <w:pStyle w:val="14"/>
            </w:pPr>
            <w:r>
              <w:t xml:space="preserve"> 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1.保障基金监管工作顺利进行</w:t>
            </w:r>
          </w:p>
          <w:p>
            <w:pPr>
              <w:pStyle w:val="12"/>
            </w:pPr>
            <w:r>
              <w:t>2.2022年进行基金监管活动不少于4次</w:t>
            </w:r>
          </w:p>
          <w:p>
            <w:pPr>
              <w:pStyle w:val="12"/>
            </w:pPr>
            <w:r>
              <w:t>3.按月支出，3月份支出25%，6月份支出50%，9月份支出75%，12月份支出100%。</w:t>
            </w:r>
            <w:r>
              <w:tab/>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监督检查次数</w:t>
            </w:r>
          </w:p>
        </w:tc>
        <w:tc>
          <w:tcPr>
            <w:tcW w:w="2891" w:type="dxa"/>
            <w:vAlign w:val="center"/>
          </w:tcPr>
          <w:p>
            <w:pPr>
              <w:pStyle w:val="12"/>
            </w:pPr>
            <w:r>
              <w:t>反映监督检查次数</w:t>
            </w:r>
          </w:p>
        </w:tc>
        <w:tc>
          <w:tcPr>
            <w:tcW w:w="1276" w:type="dxa"/>
            <w:vAlign w:val="center"/>
          </w:tcPr>
          <w:p>
            <w:pPr>
              <w:pStyle w:val="12"/>
            </w:pPr>
            <w:r>
              <w:t>≥4次</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报告质量合格率</w:t>
            </w:r>
          </w:p>
        </w:tc>
        <w:tc>
          <w:tcPr>
            <w:tcW w:w="2891" w:type="dxa"/>
            <w:vAlign w:val="center"/>
          </w:tcPr>
          <w:p>
            <w:pPr>
              <w:pStyle w:val="12"/>
            </w:pPr>
            <w:r>
              <w:t>反映整改报告质量情况</w:t>
            </w:r>
          </w:p>
        </w:tc>
        <w:tc>
          <w:tcPr>
            <w:tcW w:w="1276" w:type="dxa"/>
            <w:vAlign w:val="center"/>
          </w:tcPr>
          <w:p>
            <w:pPr>
              <w:pStyle w:val="12"/>
            </w:pPr>
            <w:r>
              <w:t>≥90%</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监督检查及时率</w:t>
            </w:r>
          </w:p>
        </w:tc>
        <w:tc>
          <w:tcPr>
            <w:tcW w:w="2891" w:type="dxa"/>
            <w:vAlign w:val="center"/>
          </w:tcPr>
          <w:p>
            <w:pPr>
              <w:pStyle w:val="12"/>
            </w:pPr>
            <w:r>
              <w:t>反映监督检查完成程度</w:t>
            </w:r>
          </w:p>
        </w:tc>
        <w:tc>
          <w:tcPr>
            <w:tcW w:w="1276" w:type="dxa"/>
            <w:vAlign w:val="center"/>
          </w:tcPr>
          <w:p>
            <w:pPr>
              <w:pStyle w:val="12"/>
            </w:pPr>
            <w:r>
              <w:t>按时完成</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反映项目支出金额不高于预算数</w:t>
            </w:r>
          </w:p>
        </w:tc>
        <w:tc>
          <w:tcPr>
            <w:tcW w:w="1276" w:type="dxa"/>
            <w:vAlign w:val="center"/>
          </w:tcPr>
          <w:p>
            <w:pPr>
              <w:pStyle w:val="12"/>
            </w:pPr>
            <w:r>
              <w:t>≤15.87万元</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问题整改率</w:t>
            </w:r>
          </w:p>
        </w:tc>
        <w:tc>
          <w:tcPr>
            <w:tcW w:w="2891" w:type="dxa"/>
            <w:vAlign w:val="center"/>
          </w:tcPr>
          <w:p>
            <w:pPr>
              <w:pStyle w:val="12"/>
            </w:pPr>
            <w:r>
              <w:t>查出问题整改率</w:t>
            </w:r>
          </w:p>
        </w:tc>
        <w:tc>
          <w:tcPr>
            <w:tcW w:w="1276" w:type="dxa"/>
            <w:vAlign w:val="center"/>
          </w:tcPr>
          <w:p>
            <w:pPr>
              <w:pStyle w:val="12"/>
            </w:pPr>
            <w:r>
              <w:t>≥85%</w:t>
            </w:r>
          </w:p>
        </w:tc>
        <w:tc>
          <w:tcPr>
            <w:tcW w:w="1843" w:type="dxa"/>
            <w:vAlign w:val="center"/>
          </w:tcPr>
          <w:p>
            <w:pPr>
              <w:pStyle w:val="12"/>
            </w:pPr>
            <w: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6.医保局利息收入绩效目标表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13062522P004598100382</w:t>
            </w:r>
          </w:p>
        </w:tc>
        <w:tc>
          <w:tcPr>
            <w:tcW w:w="1587" w:type="dxa"/>
            <w:vAlign w:val="center"/>
          </w:tcPr>
          <w:p>
            <w:pPr>
              <w:pStyle w:val="13"/>
            </w:pPr>
            <w:r>
              <w:t>项目名称</w:t>
            </w:r>
          </w:p>
        </w:tc>
        <w:tc>
          <w:tcPr>
            <w:tcW w:w="4422" w:type="dxa"/>
            <w:gridSpan w:val="3"/>
            <w:vAlign w:val="center"/>
          </w:tcPr>
          <w:p>
            <w:pPr>
              <w:pStyle w:val="12"/>
            </w:pPr>
            <w:r>
              <w:t>医保局利息收入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0.02</w:t>
            </w:r>
          </w:p>
        </w:tc>
        <w:tc>
          <w:tcPr>
            <w:tcW w:w="1587" w:type="dxa"/>
            <w:vAlign w:val="center"/>
          </w:tcPr>
          <w:p>
            <w:pPr>
              <w:pStyle w:val="13"/>
            </w:pPr>
            <w:r>
              <w:t>其中：财政    资金</w:t>
            </w:r>
          </w:p>
        </w:tc>
        <w:tc>
          <w:tcPr>
            <w:tcW w:w="1304" w:type="dxa"/>
            <w:vAlign w:val="center"/>
          </w:tcPr>
          <w:p>
            <w:pPr>
              <w:pStyle w:val="12"/>
            </w:pPr>
            <w:r>
              <w:t xml:space="preserve"> </w:t>
            </w:r>
          </w:p>
        </w:tc>
        <w:tc>
          <w:tcPr>
            <w:tcW w:w="1276" w:type="dxa"/>
            <w:vAlign w:val="center"/>
          </w:tcPr>
          <w:p>
            <w:pPr>
              <w:pStyle w:val="13"/>
            </w:pPr>
            <w:r>
              <w:t>其他资金</w:t>
            </w:r>
          </w:p>
        </w:tc>
        <w:tc>
          <w:tcPr>
            <w:tcW w:w="1843" w:type="dxa"/>
            <w:vAlign w:val="center"/>
          </w:tcPr>
          <w:p>
            <w:pPr>
              <w:pStyle w:val="12"/>
            </w:pPr>
            <w:r>
              <w:t>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w:t>
            </w:r>
            <w:r>
              <w:rPr>
                <w:rFonts w:hint="eastAsia"/>
                <w:lang w:eastAsia="zh-CN"/>
              </w:rPr>
              <w:t>部门</w:t>
            </w:r>
            <w:r>
              <w:t>日常办公支出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8" w:type="dxa"/>
            <w:gridSpan w:val="2"/>
            <w:vAlign w:val="center"/>
          </w:tcPr>
          <w:p>
            <w:pPr>
              <w:pStyle w:val="14"/>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1.目标内容1：弥补</w:t>
            </w:r>
            <w:r>
              <w:rPr>
                <w:rFonts w:hint="eastAsia"/>
                <w:lang w:eastAsia="zh-CN"/>
              </w:rPr>
              <w:t>部门</w:t>
            </w:r>
            <w:r>
              <w:t>办公经费不足</w:t>
            </w:r>
          </w:p>
          <w:p>
            <w:pPr>
              <w:pStyle w:val="12"/>
            </w:pPr>
            <w:r>
              <w:t>2.目标内容2：促进</w:t>
            </w:r>
            <w:r>
              <w:rPr>
                <w:rFonts w:hint="eastAsia"/>
                <w:lang w:eastAsia="zh-CN"/>
              </w:rPr>
              <w:t>部门</w:t>
            </w:r>
            <w:r>
              <w:t>正常运转</w:t>
            </w:r>
          </w:p>
          <w:p>
            <w:pPr>
              <w:pStyle w:val="12"/>
            </w:pPr>
            <w:r>
              <w:t>3.目标内容3  ：12月度前全部支出</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利息金额</w:t>
            </w:r>
          </w:p>
        </w:tc>
        <w:tc>
          <w:tcPr>
            <w:tcW w:w="2891" w:type="dxa"/>
            <w:vAlign w:val="center"/>
          </w:tcPr>
          <w:p>
            <w:pPr>
              <w:pStyle w:val="12"/>
            </w:pPr>
            <w:r>
              <w:t>本年度利息收入金额</w:t>
            </w:r>
          </w:p>
        </w:tc>
        <w:tc>
          <w:tcPr>
            <w:tcW w:w="1276" w:type="dxa"/>
            <w:vAlign w:val="center"/>
          </w:tcPr>
          <w:p>
            <w:pPr>
              <w:pStyle w:val="12"/>
            </w:pPr>
            <w:r>
              <w:t>180元</w:t>
            </w:r>
          </w:p>
        </w:tc>
        <w:tc>
          <w:tcPr>
            <w:tcW w:w="1843" w:type="dxa"/>
            <w:vAlign w:val="center"/>
          </w:tcPr>
          <w:p>
            <w:pPr>
              <w:pStyle w:val="12"/>
            </w:pPr>
            <w:r>
              <w:t>近三年利息收入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支出率</w:t>
            </w:r>
          </w:p>
        </w:tc>
        <w:tc>
          <w:tcPr>
            <w:tcW w:w="2891" w:type="dxa"/>
            <w:vAlign w:val="center"/>
          </w:tcPr>
          <w:p>
            <w:pPr>
              <w:pStyle w:val="12"/>
            </w:pPr>
            <w:r>
              <w:t>全部利息收入支出情况</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全部支出时间</w:t>
            </w:r>
          </w:p>
        </w:tc>
        <w:tc>
          <w:tcPr>
            <w:tcW w:w="2891" w:type="dxa"/>
            <w:vAlign w:val="center"/>
          </w:tcPr>
          <w:p>
            <w:pPr>
              <w:pStyle w:val="12"/>
            </w:pPr>
            <w:r>
              <w:t>利息收入全出支出时间节点</w:t>
            </w:r>
          </w:p>
        </w:tc>
        <w:tc>
          <w:tcPr>
            <w:tcW w:w="1276" w:type="dxa"/>
            <w:vAlign w:val="center"/>
          </w:tcPr>
          <w:p>
            <w:pPr>
              <w:pStyle w:val="12"/>
            </w:pPr>
            <w:r>
              <w:t>≤12月</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项目资金使用率</w:t>
            </w:r>
          </w:p>
        </w:tc>
        <w:tc>
          <w:tcPr>
            <w:tcW w:w="2891" w:type="dxa"/>
            <w:vAlign w:val="center"/>
          </w:tcPr>
          <w:p>
            <w:pPr>
              <w:pStyle w:val="12"/>
            </w:pPr>
            <w:r>
              <w:t>项目资金使用情况</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工作完成 率</w:t>
            </w:r>
          </w:p>
        </w:tc>
        <w:tc>
          <w:tcPr>
            <w:tcW w:w="2891" w:type="dxa"/>
            <w:vAlign w:val="center"/>
          </w:tcPr>
          <w:p>
            <w:pPr>
              <w:pStyle w:val="12"/>
            </w:pPr>
            <w:r>
              <w:t>补充经费不足，促进工作完成</w:t>
            </w:r>
          </w:p>
        </w:tc>
        <w:tc>
          <w:tcPr>
            <w:tcW w:w="1276" w:type="dxa"/>
            <w:vAlign w:val="center"/>
          </w:tcPr>
          <w:p>
            <w:pPr>
              <w:pStyle w:val="12"/>
            </w:pPr>
            <w:r>
              <w:t>≥95%</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7.医疗救助核查经费绩效目标表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13062522P004573100193</w:t>
            </w:r>
          </w:p>
        </w:tc>
        <w:tc>
          <w:tcPr>
            <w:tcW w:w="1587" w:type="dxa"/>
            <w:vAlign w:val="center"/>
          </w:tcPr>
          <w:p>
            <w:pPr>
              <w:pStyle w:val="13"/>
            </w:pPr>
            <w:r>
              <w:t>项目名称</w:t>
            </w:r>
          </w:p>
        </w:tc>
        <w:tc>
          <w:tcPr>
            <w:tcW w:w="4422" w:type="dxa"/>
            <w:gridSpan w:val="3"/>
            <w:vAlign w:val="center"/>
          </w:tcPr>
          <w:p>
            <w:pPr>
              <w:pStyle w:val="12"/>
            </w:pPr>
            <w:r>
              <w:t>医疗救助核查经费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304" w:type="dxa"/>
            <w:vAlign w:val="center"/>
          </w:tcPr>
          <w:p>
            <w:pPr>
              <w:pStyle w:val="12"/>
            </w:pPr>
            <w:r>
              <w:t>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与第三方机构签订合同，委托其进行医疗救助核查工作，保障参保人权益</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25%</w:t>
            </w:r>
          </w:p>
        </w:tc>
        <w:tc>
          <w:tcPr>
            <w:tcW w:w="1587" w:type="dxa"/>
            <w:vAlign w:val="center"/>
          </w:tcPr>
          <w:p>
            <w:pPr>
              <w:pStyle w:val="14"/>
            </w:pPr>
            <w:r>
              <w:t xml:space="preserve"> 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1.与第三方机构签订合同，委托其进行医疗救助核查工作，保障参保人权益</w:t>
            </w:r>
          </w:p>
          <w:p>
            <w:pPr>
              <w:pStyle w:val="12"/>
            </w:pPr>
            <w:r>
              <w:t>2.对享受医疗救助待遇的人员按比例抽查，保障医保基金使用规范合理</w:t>
            </w:r>
          </w:p>
          <w:p>
            <w:pPr>
              <w:pStyle w:val="12"/>
              <w:rPr>
                <w:lang w:val="uk-UA"/>
              </w:rPr>
            </w:pPr>
            <w:r>
              <w:t>3.按第三方机构鉴定进度按月支付。</w:t>
            </w:r>
            <w:r>
              <w:rPr>
                <w:lang w:val="uk-UA"/>
              </w:rPr>
              <w:t>3</w:t>
            </w:r>
            <w:r>
              <w:t>月份支出</w:t>
            </w:r>
            <w:r>
              <w:rPr>
                <w:lang w:val="uk-UA"/>
              </w:rPr>
              <w:t>25%，6</w:t>
            </w:r>
            <w:r>
              <w:t>月份支出</w:t>
            </w:r>
            <w:r>
              <w:rPr>
                <w:lang w:val="uk-UA"/>
              </w:rPr>
              <w:t>50%，9</w:t>
            </w:r>
            <w:r>
              <w:t>月份支出</w:t>
            </w:r>
            <w:r>
              <w:rPr>
                <w:lang w:val="uk-UA"/>
              </w:rPr>
              <w:t>75%，12</w:t>
            </w:r>
            <w:r>
              <w:t>月份支出</w:t>
            </w:r>
            <w:r>
              <w:rPr>
                <w:lang w:val="uk-UA"/>
              </w:rPr>
              <w:t>100%</w:t>
            </w:r>
            <w:r>
              <w:t>。</w:t>
            </w:r>
            <w:r>
              <w:rPr>
                <w:lang w:val="uk-UA"/>
              </w:rPr>
              <w:tab/>
            </w:r>
          </w:p>
        </w:tc>
      </w:tr>
    </w:tbl>
    <w:p>
      <w:pPr>
        <w:spacing w:line="2" w:lineRule="exact"/>
        <w:jc w:val="center"/>
        <w:rPr>
          <w:lang w:val="uk-UA"/>
        </w:rPr>
      </w:pPr>
      <w:r>
        <w:rPr>
          <w:rFonts w:ascii="方正书宋_GBK" w:hAnsi="方正书宋_GBK" w:eastAsia="方正书宋_GBK" w:cs="方正书宋_GBK"/>
          <w:color w:val="000000"/>
          <w:lang w:val="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申请救助人员核查率</w:t>
            </w:r>
          </w:p>
        </w:tc>
        <w:tc>
          <w:tcPr>
            <w:tcW w:w="2891" w:type="dxa"/>
            <w:vAlign w:val="center"/>
          </w:tcPr>
          <w:p>
            <w:pPr>
              <w:pStyle w:val="12"/>
            </w:pPr>
            <w:r>
              <w:t>申请救助人员核查率</w:t>
            </w:r>
          </w:p>
        </w:tc>
        <w:tc>
          <w:tcPr>
            <w:tcW w:w="1276" w:type="dxa"/>
            <w:vAlign w:val="center"/>
          </w:tcPr>
          <w:p>
            <w:pPr>
              <w:pStyle w:val="12"/>
            </w:pPr>
            <w:r>
              <w:t>≥30%</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核查工作完成率</w:t>
            </w:r>
          </w:p>
        </w:tc>
        <w:tc>
          <w:tcPr>
            <w:tcW w:w="2891" w:type="dxa"/>
            <w:vAlign w:val="center"/>
          </w:tcPr>
          <w:p>
            <w:pPr>
              <w:pStyle w:val="12"/>
            </w:pPr>
            <w:r>
              <w:t>核查工作完成率</w:t>
            </w:r>
          </w:p>
        </w:tc>
        <w:tc>
          <w:tcPr>
            <w:tcW w:w="1276" w:type="dxa"/>
            <w:vAlign w:val="center"/>
          </w:tcPr>
          <w:p>
            <w:pPr>
              <w:pStyle w:val="12"/>
            </w:pPr>
            <w:r>
              <w:t>≥90%</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反映项目支出金额不高于预算数</w:t>
            </w:r>
          </w:p>
        </w:tc>
        <w:tc>
          <w:tcPr>
            <w:tcW w:w="1276" w:type="dxa"/>
            <w:vAlign w:val="center"/>
          </w:tcPr>
          <w:p>
            <w:pPr>
              <w:pStyle w:val="12"/>
            </w:pPr>
            <w:r>
              <w:t>≤6万元</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核查完成及时率</w:t>
            </w:r>
          </w:p>
        </w:tc>
        <w:tc>
          <w:tcPr>
            <w:tcW w:w="2891" w:type="dxa"/>
            <w:vAlign w:val="center"/>
          </w:tcPr>
          <w:p>
            <w:pPr>
              <w:pStyle w:val="12"/>
            </w:pPr>
            <w:r>
              <w:t>核查完成及时率</w:t>
            </w:r>
          </w:p>
        </w:tc>
        <w:tc>
          <w:tcPr>
            <w:tcW w:w="1276" w:type="dxa"/>
            <w:vAlign w:val="center"/>
          </w:tcPr>
          <w:p>
            <w:pPr>
              <w:pStyle w:val="12"/>
            </w:pPr>
            <w:r>
              <w:t>%</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监督检查结果应用率</w:t>
            </w:r>
          </w:p>
        </w:tc>
        <w:tc>
          <w:tcPr>
            <w:tcW w:w="2891" w:type="dxa"/>
            <w:vAlign w:val="center"/>
          </w:tcPr>
          <w:p>
            <w:pPr>
              <w:pStyle w:val="12"/>
            </w:pPr>
            <w:r>
              <w:t>监督检查结果应用情况</w:t>
            </w:r>
          </w:p>
        </w:tc>
        <w:tc>
          <w:tcPr>
            <w:tcW w:w="1276" w:type="dxa"/>
            <w:vAlign w:val="center"/>
          </w:tcPr>
          <w:p>
            <w:pPr>
              <w:pStyle w:val="12"/>
            </w:pPr>
            <w:r>
              <w:t>≥90%</w:t>
            </w:r>
          </w:p>
        </w:tc>
        <w:tc>
          <w:tcPr>
            <w:tcW w:w="1843" w:type="dxa"/>
            <w:vAlign w:val="center"/>
          </w:tcPr>
          <w:p>
            <w:pPr>
              <w:pStyle w:val="12"/>
            </w:pPr>
            <w: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8.意外伤害核查经费绩效目标表</w:t>
      </w:r>
      <w:bookmarkEnd w:id="10"/>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13062522P004573100212</w:t>
            </w:r>
          </w:p>
        </w:tc>
        <w:tc>
          <w:tcPr>
            <w:tcW w:w="1587" w:type="dxa"/>
            <w:vAlign w:val="center"/>
          </w:tcPr>
          <w:p>
            <w:pPr>
              <w:pStyle w:val="13"/>
            </w:pPr>
            <w:r>
              <w:t>项目名称</w:t>
            </w:r>
          </w:p>
        </w:tc>
        <w:tc>
          <w:tcPr>
            <w:tcW w:w="4423" w:type="dxa"/>
            <w:gridSpan w:val="3"/>
            <w:vAlign w:val="center"/>
          </w:tcPr>
          <w:p>
            <w:pPr>
              <w:pStyle w:val="12"/>
            </w:pPr>
            <w:r>
              <w:t>意外伤害核查经费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与第三方保险公司合作对因意外伤害发生医疗费用的参保人员进行认定，确保其符合享受待遇的条件。</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25%</w:t>
            </w:r>
          </w:p>
        </w:tc>
        <w:tc>
          <w:tcPr>
            <w:tcW w:w="1587" w:type="dxa"/>
            <w:vAlign w:val="center"/>
          </w:tcPr>
          <w:p>
            <w:pPr>
              <w:pStyle w:val="14"/>
            </w:pPr>
            <w:r>
              <w:t xml:space="preserve"> 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1.与第三方保险公司合作对因意外伤害发生医疗费用的参保人员进行认定，确保其符合享受待遇的条件。</w:t>
            </w:r>
          </w:p>
          <w:p>
            <w:pPr>
              <w:pStyle w:val="12"/>
            </w:pPr>
            <w:r>
              <w:t>2.保障基金使用合规合理</w:t>
            </w:r>
          </w:p>
          <w:p>
            <w:pPr>
              <w:pStyle w:val="12"/>
            </w:pPr>
            <w:r>
              <w:t>3.根据保险工资鉴定实际进度支出，6月底前预计支出50%，剩余50%需待保险公司完成全年鉴定后支付</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鉴定人次</w:t>
            </w:r>
          </w:p>
        </w:tc>
        <w:tc>
          <w:tcPr>
            <w:tcW w:w="2891" w:type="dxa"/>
            <w:vAlign w:val="center"/>
          </w:tcPr>
          <w:p>
            <w:pPr>
              <w:pStyle w:val="12"/>
            </w:pPr>
            <w:r>
              <w:t>鉴定人次</w:t>
            </w:r>
          </w:p>
        </w:tc>
        <w:tc>
          <w:tcPr>
            <w:tcW w:w="1276" w:type="dxa"/>
            <w:vAlign w:val="center"/>
          </w:tcPr>
          <w:p>
            <w:pPr>
              <w:pStyle w:val="12"/>
            </w:pPr>
            <w:r>
              <w:t>≥1000人</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鉴定程序和结果公正</w:t>
            </w:r>
          </w:p>
        </w:tc>
        <w:tc>
          <w:tcPr>
            <w:tcW w:w="2891" w:type="dxa"/>
            <w:vAlign w:val="center"/>
          </w:tcPr>
          <w:p>
            <w:pPr>
              <w:pStyle w:val="12"/>
            </w:pPr>
            <w:r>
              <w:t>鉴定程序和结果公正</w:t>
            </w:r>
          </w:p>
        </w:tc>
        <w:tc>
          <w:tcPr>
            <w:tcW w:w="1276" w:type="dxa"/>
            <w:vAlign w:val="center"/>
          </w:tcPr>
          <w:p>
            <w:pPr>
              <w:pStyle w:val="12"/>
            </w:pPr>
            <w:r>
              <w:t>≥100%</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鉴定完成时间</w:t>
            </w:r>
          </w:p>
        </w:tc>
        <w:tc>
          <w:tcPr>
            <w:tcW w:w="2891" w:type="dxa"/>
            <w:vAlign w:val="center"/>
          </w:tcPr>
          <w:p>
            <w:pPr>
              <w:pStyle w:val="12"/>
            </w:pPr>
            <w:r>
              <w:t>鉴定完成时间</w:t>
            </w:r>
          </w:p>
        </w:tc>
        <w:tc>
          <w:tcPr>
            <w:tcW w:w="1276" w:type="dxa"/>
            <w:vAlign w:val="center"/>
          </w:tcPr>
          <w:p>
            <w:pPr>
              <w:pStyle w:val="12"/>
            </w:pPr>
            <w:r>
              <w:t>≤5天</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鉴定人均标准</w:t>
            </w:r>
          </w:p>
        </w:tc>
        <w:tc>
          <w:tcPr>
            <w:tcW w:w="2891" w:type="dxa"/>
            <w:vAlign w:val="center"/>
          </w:tcPr>
          <w:p>
            <w:pPr>
              <w:pStyle w:val="12"/>
            </w:pPr>
            <w:r>
              <w:t>鉴定人均标准</w:t>
            </w:r>
          </w:p>
        </w:tc>
        <w:tc>
          <w:tcPr>
            <w:tcW w:w="1276" w:type="dxa"/>
            <w:vAlign w:val="center"/>
          </w:tcPr>
          <w:p>
            <w:pPr>
              <w:pStyle w:val="12"/>
            </w:pPr>
            <w:r>
              <w:t>118元</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鉴定结果应用</w:t>
            </w:r>
          </w:p>
        </w:tc>
        <w:tc>
          <w:tcPr>
            <w:tcW w:w="2891" w:type="dxa"/>
            <w:vAlign w:val="center"/>
          </w:tcPr>
          <w:p>
            <w:pPr>
              <w:pStyle w:val="12"/>
            </w:pPr>
            <w:r>
              <w:t>按核查结果及时调整待遇</w:t>
            </w:r>
          </w:p>
        </w:tc>
        <w:tc>
          <w:tcPr>
            <w:tcW w:w="1276" w:type="dxa"/>
            <w:vAlign w:val="center"/>
          </w:tcPr>
          <w:p>
            <w:pPr>
              <w:pStyle w:val="12"/>
            </w:pPr>
            <w:r>
              <w:t>按结果及时调整</w:t>
            </w:r>
          </w:p>
        </w:tc>
        <w:tc>
          <w:tcPr>
            <w:tcW w:w="1843" w:type="dxa"/>
            <w:vAlign w:val="center"/>
          </w:tcPr>
          <w:p>
            <w:pPr>
              <w:pStyle w:val="12"/>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≥85%</w:t>
            </w:r>
          </w:p>
        </w:tc>
        <w:tc>
          <w:tcPr>
            <w:tcW w:w="1843" w:type="dxa"/>
            <w:vAlign w:val="center"/>
          </w:tcPr>
          <w:p>
            <w:pPr>
              <w:pStyle w:val="12"/>
            </w:pPr>
            <w:r>
              <w:t>计划标准</w:t>
            </w:r>
          </w:p>
        </w:tc>
      </w:tr>
    </w:tbl>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部门</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部门</w:t>
      </w:r>
      <w:r>
        <w:rPr>
          <w:rFonts w:hint="eastAsia" w:ascii="仿宋" w:hAnsi="仿宋" w:eastAsia="仿宋"/>
          <w:sz w:val="32"/>
          <w:szCs w:val="32"/>
        </w:rPr>
        <w:t>政府采购预算表空表。</w:t>
      </w:r>
    </w:p>
    <w:p>
      <w:pPr>
        <w:ind w:firstLine="640" w:firstLineChars="200"/>
        <w:jc w:val="center"/>
        <w:outlineLvl w:val="0"/>
        <w:rPr>
          <w:rFonts w:ascii="Times New Roman" w:hAnsi="宋体" w:eastAsia="宋体"/>
          <w:sz w:val="32"/>
        </w:rPr>
      </w:pPr>
      <w:r>
        <w:rPr>
          <w:rFonts w:hint="eastAsia" w:ascii="方正小标宋_GBK" w:eastAsia="方正小标宋_GBK"/>
          <w:sz w:val="32"/>
          <w:lang w:eastAsia="zh-CN"/>
        </w:rPr>
        <w:t>部门</w:t>
      </w:r>
      <w:r>
        <w:rPr>
          <w:rFonts w:ascii="方正小标宋_GBK" w:eastAsia="方正小标宋_GBK"/>
          <w:sz w:val="32"/>
        </w:rPr>
        <w:t>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11" w:name="_Toc31203711"/>
      <w:r>
        <w:rPr>
          <w:rFonts w:ascii="方正小标宋_GBK" w:eastAsia="方正小标宋_GBK"/>
          <w:sz w:val="32"/>
        </w:rPr>
        <w:instrText xml:space="preserve">部门政府采购预算</w:instrText>
      </w:r>
      <w:bookmarkEnd w:id="11"/>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pPr w:leftFromText="180" w:rightFromText="180" w:vertAnchor="text" w:horzAnchor="page" w:tblpX="844" w:tblpY="233"/>
        <w:tblOverlap w:val="never"/>
        <w:tblW w:w="1033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756"/>
        <w:gridCol w:w="1020"/>
        <w:gridCol w:w="1020"/>
        <w:gridCol w:w="472"/>
        <w:gridCol w:w="604"/>
        <w:gridCol w:w="609"/>
        <w:gridCol w:w="755"/>
        <w:gridCol w:w="755"/>
        <w:gridCol w:w="755"/>
        <w:gridCol w:w="755"/>
        <w:gridCol w:w="755"/>
        <w:gridCol w:w="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blHeader/>
        </w:trPr>
        <w:tc>
          <w:tcPr>
            <w:tcW w:w="58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450保定市徐水区</w:t>
            </w:r>
            <w:r>
              <w:rPr>
                <w:rFonts w:hint="eastAsia" w:ascii="方正小标宋_GBK" w:eastAsia="方正小标宋_GBK"/>
                <w:sz w:val="24"/>
              </w:rPr>
              <w:t>医疗保障局</w:t>
            </w:r>
          </w:p>
        </w:tc>
        <w:tc>
          <w:tcPr>
            <w:tcW w:w="4536"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lang w:eastAsia="zh-CN"/>
              </w:rPr>
              <w:t>部门</w:t>
            </w:r>
            <w:r>
              <w:rPr>
                <w:rFonts w:ascii="方正书宋_GBK" w:eastAsia="方正书宋_GBK"/>
                <w:sz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blHeader/>
        </w:trPr>
        <w:tc>
          <w:tcPr>
            <w:tcW w:w="207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02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02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472" w:type="dxa"/>
            <w:vMerge w:val="restart"/>
            <w:shd w:val="clear" w:color="auto" w:fill="auto"/>
            <w:vAlign w:val="center"/>
          </w:tcPr>
          <w:p>
            <w:pPr>
              <w:spacing w:line="300" w:lineRule="exact"/>
              <w:jc w:val="center"/>
              <w:rPr>
                <w:rFonts w:hint="eastAsia" w:ascii="方正书宋_GBK" w:eastAsia="方正书宋_GBK"/>
                <w:b/>
                <w:lang w:eastAsia="zh-CN"/>
              </w:rPr>
            </w:pPr>
            <w:r>
              <w:rPr>
                <w:rFonts w:ascii="方正书宋_GBK" w:eastAsia="方正书宋_GBK"/>
                <w:b/>
              </w:rPr>
              <w:t xml:space="preserve">计量  </w:t>
            </w:r>
            <w:r>
              <w:rPr>
                <w:rFonts w:hint="eastAsia" w:ascii="方正书宋_GBK" w:eastAsia="方正书宋_GBK"/>
                <w:b/>
                <w:lang w:eastAsia="zh-CN"/>
              </w:rPr>
              <w:t>部门</w:t>
            </w:r>
          </w:p>
        </w:tc>
        <w:tc>
          <w:tcPr>
            <w:tcW w:w="60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6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4536"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部门</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1" w:hRule="atLeast"/>
          <w:tblHeader/>
        </w:trPr>
        <w:tc>
          <w:tcPr>
            <w:tcW w:w="1322"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756"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020" w:type="dxa"/>
            <w:vMerge w:val="continue"/>
            <w:shd w:val="clear" w:color="auto" w:fill="auto"/>
            <w:vAlign w:val="center"/>
          </w:tcPr>
          <w:p>
            <w:pPr>
              <w:spacing w:line="300" w:lineRule="exact"/>
              <w:jc w:val="left"/>
              <w:outlineLvl w:val="0"/>
              <w:rPr>
                <w:rFonts w:ascii="Times New Roman" w:eastAsia="方正仿宋_GBK"/>
                <w:sz w:val="28"/>
              </w:rPr>
            </w:pPr>
          </w:p>
        </w:tc>
        <w:tc>
          <w:tcPr>
            <w:tcW w:w="1020" w:type="dxa"/>
            <w:vMerge w:val="continue"/>
            <w:shd w:val="clear" w:color="auto" w:fill="auto"/>
            <w:vAlign w:val="center"/>
          </w:tcPr>
          <w:p>
            <w:pPr>
              <w:spacing w:line="300" w:lineRule="exact"/>
              <w:jc w:val="left"/>
              <w:outlineLvl w:val="0"/>
              <w:rPr>
                <w:rFonts w:ascii="Times New Roman" w:eastAsia="方正仿宋_GBK"/>
                <w:sz w:val="28"/>
              </w:rPr>
            </w:pPr>
          </w:p>
        </w:tc>
        <w:tc>
          <w:tcPr>
            <w:tcW w:w="472" w:type="dxa"/>
            <w:vMerge w:val="continue"/>
            <w:shd w:val="clear" w:color="auto" w:fill="auto"/>
            <w:vAlign w:val="center"/>
          </w:tcPr>
          <w:p>
            <w:pPr>
              <w:spacing w:line="300" w:lineRule="exact"/>
              <w:jc w:val="left"/>
              <w:outlineLvl w:val="0"/>
              <w:rPr>
                <w:rFonts w:ascii="Times New Roman" w:eastAsia="方正仿宋_GBK"/>
                <w:sz w:val="28"/>
              </w:rPr>
            </w:pPr>
          </w:p>
        </w:tc>
        <w:tc>
          <w:tcPr>
            <w:tcW w:w="604" w:type="dxa"/>
            <w:vMerge w:val="continue"/>
            <w:shd w:val="clear" w:color="auto" w:fill="auto"/>
            <w:vAlign w:val="center"/>
          </w:tcPr>
          <w:p>
            <w:pPr>
              <w:spacing w:line="300" w:lineRule="exact"/>
              <w:jc w:val="left"/>
              <w:outlineLvl w:val="0"/>
              <w:rPr>
                <w:rFonts w:ascii="Times New Roman" w:eastAsia="方正仿宋_GBK"/>
                <w:sz w:val="28"/>
              </w:rPr>
            </w:pPr>
          </w:p>
        </w:tc>
        <w:tc>
          <w:tcPr>
            <w:tcW w:w="609" w:type="dxa"/>
            <w:vMerge w:val="continue"/>
            <w:shd w:val="clear" w:color="auto" w:fill="auto"/>
            <w:vAlign w:val="center"/>
          </w:tcPr>
          <w:p>
            <w:pPr>
              <w:spacing w:line="300" w:lineRule="exact"/>
              <w:jc w:val="left"/>
              <w:outlineLvl w:val="0"/>
              <w:rPr>
                <w:rFonts w:ascii="Times New Roman" w:eastAsia="方正仿宋_GBK"/>
                <w:sz w:val="28"/>
              </w:rPr>
            </w:pPr>
          </w:p>
        </w:tc>
        <w:tc>
          <w:tcPr>
            <w:tcW w:w="755"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755"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755"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755"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755"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761"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 xml:space="preserve"> </w:t>
            </w:r>
            <w:r>
              <w:rPr>
                <w:rFonts w:ascii="方正书宋_GBK" w:eastAsia="方正书宋_GBK"/>
                <w:b/>
              </w:rPr>
              <w:t xml:space="preserve"> </w:t>
            </w:r>
          </w:p>
        </w:tc>
        <w:tc>
          <w:tcPr>
            <w:tcW w:w="756" w:type="dxa"/>
            <w:shd w:val="clear" w:color="auto" w:fill="auto"/>
            <w:vAlign w:val="center"/>
          </w:tcPr>
          <w:p>
            <w:pPr>
              <w:spacing w:line="300" w:lineRule="exact"/>
              <w:jc w:val="right"/>
              <w:rPr>
                <w:rFonts w:ascii="方正书宋_GBK" w:eastAsia="方正书宋_GBK"/>
                <w:b/>
              </w:rPr>
            </w:pPr>
          </w:p>
        </w:tc>
        <w:tc>
          <w:tcPr>
            <w:tcW w:w="1020" w:type="dxa"/>
            <w:shd w:val="clear" w:color="auto" w:fill="auto"/>
            <w:vAlign w:val="center"/>
          </w:tcPr>
          <w:p>
            <w:pPr>
              <w:spacing w:line="300" w:lineRule="exact"/>
              <w:jc w:val="left"/>
              <w:rPr>
                <w:rFonts w:ascii="方正书宋_GBK" w:eastAsia="方正书宋_GBK"/>
                <w:b/>
              </w:rPr>
            </w:pPr>
          </w:p>
        </w:tc>
        <w:tc>
          <w:tcPr>
            <w:tcW w:w="1020" w:type="dxa"/>
            <w:shd w:val="clear" w:color="auto" w:fill="auto"/>
            <w:vAlign w:val="center"/>
          </w:tcPr>
          <w:p>
            <w:pPr>
              <w:spacing w:line="300" w:lineRule="exact"/>
              <w:jc w:val="left"/>
              <w:rPr>
                <w:rFonts w:ascii="方正书宋_GBK" w:eastAsia="方正书宋_GBK"/>
                <w:b/>
              </w:rPr>
            </w:pPr>
          </w:p>
        </w:tc>
        <w:tc>
          <w:tcPr>
            <w:tcW w:w="472" w:type="dxa"/>
            <w:shd w:val="clear" w:color="auto" w:fill="auto"/>
            <w:vAlign w:val="center"/>
          </w:tcPr>
          <w:p>
            <w:pPr>
              <w:spacing w:line="300" w:lineRule="exact"/>
              <w:jc w:val="center"/>
              <w:rPr>
                <w:rFonts w:ascii="方正书宋_GBK" w:eastAsia="方正书宋_GBK"/>
                <w:b/>
              </w:rPr>
            </w:pPr>
          </w:p>
        </w:tc>
        <w:tc>
          <w:tcPr>
            <w:tcW w:w="604" w:type="dxa"/>
            <w:shd w:val="clear" w:color="auto" w:fill="auto"/>
            <w:vAlign w:val="center"/>
          </w:tcPr>
          <w:p>
            <w:pPr>
              <w:spacing w:line="300" w:lineRule="exact"/>
              <w:jc w:val="right"/>
              <w:rPr>
                <w:rFonts w:ascii="方正书宋_GBK" w:eastAsia="方正书宋_GBK"/>
                <w:b/>
              </w:rPr>
            </w:pPr>
          </w:p>
        </w:tc>
        <w:tc>
          <w:tcPr>
            <w:tcW w:w="609" w:type="dxa"/>
            <w:shd w:val="clear" w:color="auto" w:fill="auto"/>
            <w:vAlign w:val="center"/>
          </w:tcPr>
          <w:p>
            <w:pPr>
              <w:spacing w:line="300" w:lineRule="exact"/>
              <w:jc w:val="right"/>
              <w:rPr>
                <w:rFonts w:ascii="方正书宋_GBK" w:eastAsia="方正书宋_GBK"/>
                <w:b/>
              </w:rPr>
            </w:pPr>
          </w:p>
        </w:tc>
        <w:tc>
          <w:tcPr>
            <w:tcW w:w="755" w:type="dxa"/>
            <w:shd w:val="clear" w:color="auto" w:fill="auto"/>
            <w:vAlign w:val="center"/>
          </w:tcPr>
          <w:p>
            <w:pPr>
              <w:spacing w:line="300" w:lineRule="exact"/>
              <w:jc w:val="right"/>
              <w:rPr>
                <w:rFonts w:ascii="方正书宋_GBK" w:eastAsia="方正书宋_GBK"/>
                <w:b/>
              </w:rPr>
            </w:pPr>
          </w:p>
        </w:tc>
        <w:tc>
          <w:tcPr>
            <w:tcW w:w="755" w:type="dxa"/>
            <w:shd w:val="clear" w:color="auto" w:fill="auto"/>
            <w:vAlign w:val="center"/>
          </w:tcPr>
          <w:p>
            <w:pPr>
              <w:spacing w:line="300" w:lineRule="exact"/>
              <w:jc w:val="right"/>
              <w:rPr>
                <w:rFonts w:ascii="方正书宋_GBK" w:eastAsia="方正书宋_GBK"/>
                <w:b/>
              </w:rPr>
            </w:pPr>
          </w:p>
        </w:tc>
        <w:tc>
          <w:tcPr>
            <w:tcW w:w="755" w:type="dxa"/>
            <w:shd w:val="clear" w:color="auto" w:fill="auto"/>
            <w:vAlign w:val="center"/>
          </w:tcPr>
          <w:p>
            <w:pPr>
              <w:spacing w:line="300" w:lineRule="exact"/>
              <w:jc w:val="right"/>
              <w:rPr>
                <w:rFonts w:ascii="方正书宋_GBK" w:eastAsia="方正书宋_GBK"/>
                <w:b/>
              </w:rPr>
            </w:pPr>
          </w:p>
        </w:tc>
        <w:tc>
          <w:tcPr>
            <w:tcW w:w="755" w:type="dxa"/>
            <w:shd w:val="clear" w:color="auto" w:fill="auto"/>
            <w:vAlign w:val="center"/>
          </w:tcPr>
          <w:p>
            <w:pPr>
              <w:spacing w:line="300" w:lineRule="exact"/>
              <w:jc w:val="right"/>
              <w:rPr>
                <w:rFonts w:ascii="方正书宋_GBK" w:eastAsia="方正书宋_GBK"/>
                <w:b/>
              </w:rPr>
            </w:pPr>
          </w:p>
        </w:tc>
        <w:tc>
          <w:tcPr>
            <w:tcW w:w="755" w:type="dxa"/>
            <w:shd w:val="clear" w:color="auto" w:fill="auto"/>
            <w:vAlign w:val="center"/>
          </w:tcPr>
          <w:p>
            <w:pPr>
              <w:spacing w:line="300" w:lineRule="exact"/>
              <w:jc w:val="right"/>
              <w:rPr>
                <w:rFonts w:ascii="方正书宋_GBK" w:eastAsia="方正书宋_GBK"/>
                <w:b/>
              </w:rPr>
            </w:pPr>
          </w:p>
        </w:tc>
        <w:tc>
          <w:tcPr>
            <w:tcW w:w="7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pPr>
              <w:spacing w:line="300" w:lineRule="exact"/>
              <w:jc w:val="left"/>
              <w:rPr>
                <w:rFonts w:ascii="方正书宋_GBK" w:eastAsia="方正书宋_GBK"/>
              </w:rPr>
            </w:pPr>
          </w:p>
        </w:tc>
        <w:tc>
          <w:tcPr>
            <w:tcW w:w="756" w:type="dxa"/>
            <w:shd w:val="clear" w:color="auto" w:fill="auto"/>
            <w:vAlign w:val="center"/>
          </w:tcPr>
          <w:p>
            <w:pPr>
              <w:spacing w:line="300" w:lineRule="exact"/>
              <w:jc w:val="righ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472" w:type="dxa"/>
            <w:shd w:val="clear" w:color="auto" w:fill="auto"/>
            <w:vAlign w:val="center"/>
          </w:tcPr>
          <w:p>
            <w:pPr>
              <w:spacing w:line="300" w:lineRule="exact"/>
              <w:jc w:val="center"/>
              <w:rPr>
                <w:rFonts w:ascii="方正书宋_GBK" w:eastAsia="方正书宋_GBK"/>
              </w:rPr>
            </w:pPr>
          </w:p>
        </w:tc>
        <w:tc>
          <w:tcPr>
            <w:tcW w:w="604" w:type="dxa"/>
            <w:shd w:val="clear" w:color="auto" w:fill="auto"/>
            <w:vAlign w:val="center"/>
          </w:tcPr>
          <w:p>
            <w:pPr>
              <w:spacing w:line="300" w:lineRule="exact"/>
              <w:jc w:val="right"/>
              <w:rPr>
                <w:rFonts w:ascii="方正书宋_GBK" w:eastAsia="方正书宋_GBK"/>
              </w:rPr>
            </w:pPr>
          </w:p>
        </w:tc>
        <w:tc>
          <w:tcPr>
            <w:tcW w:w="609"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pPr>
              <w:spacing w:line="300" w:lineRule="exact"/>
              <w:jc w:val="left"/>
              <w:rPr>
                <w:rFonts w:ascii="方正书宋_GBK" w:eastAsia="方正书宋_GBK"/>
              </w:rPr>
            </w:pPr>
          </w:p>
        </w:tc>
        <w:tc>
          <w:tcPr>
            <w:tcW w:w="756" w:type="dxa"/>
            <w:shd w:val="clear" w:color="auto" w:fill="auto"/>
            <w:vAlign w:val="center"/>
          </w:tcPr>
          <w:p>
            <w:pPr>
              <w:spacing w:line="300" w:lineRule="exact"/>
              <w:jc w:val="righ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472" w:type="dxa"/>
            <w:shd w:val="clear" w:color="auto" w:fill="auto"/>
            <w:vAlign w:val="center"/>
          </w:tcPr>
          <w:p>
            <w:pPr>
              <w:spacing w:line="300" w:lineRule="exact"/>
              <w:jc w:val="center"/>
              <w:rPr>
                <w:rFonts w:ascii="方正书宋_GBK" w:eastAsia="方正书宋_GBK"/>
              </w:rPr>
            </w:pPr>
          </w:p>
        </w:tc>
        <w:tc>
          <w:tcPr>
            <w:tcW w:w="604" w:type="dxa"/>
            <w:shd w:val="clear" w:color="auto" w:fill="auto"/>
            <w:vAlign w:val="center"/>
          </w:tcPr>
          <w:p>
            <w:pPr>
              <w:spacing w:line="300" w:lineRule="exact"/>
              <w:jc w:val="right"/>
              <w:rPr>
                <w:rFonts w:ascii="方正书宋_GBK" w:eastAsia="方正书宋_GBK"/>
              </w:rPr>
            </w:pPr>
          </w:p>
        </w:tc>
        <w:tc>
          <w:tcPr>
            <w:tcW w:w="609"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trPr>
        <w:tc>
          <w:tcPr>
            <w:tcW w:w="1322" w:type="dxa"/>
            <w:shd w:val="clear" w:color="auto" w:fill="auto"/>
            <w:vAlign w:val="center"/>
          </w:tcPr>
          <w:p>
            <w:pPr>
              <w:spacing w:line="300" w:lineRule="exact"/>
              <w:jc w:val="left"/>
              <w:rPr>
                <w:rFonts w:ascii="方正书宋_GBK" w:eastAsia="方正书宋_GBK"/>
              </w:rPr>
            </w:pPr>
          </w:p>
        </w:tc>
        <w:tc>
          <w:tcPr>
            <w:tcW w:w="756" w:type="dxa"/>
            <w:shd w:val="clear" w:color="auto" w:fill="auto"/>
            <w:vAlign w:val="center"/>
          </w:tcPr>
          <w:p>
            <w:pPr>
              <w:spacing w:line="300" w:lineRule="exact"/>
              <w:jc w:val="righ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472" w:type="dxa"/>
            <w:shd w:val="clear" w:color="auto" w:fill="auto"/>
            <w:vAlign w:val="center"/>
          </w:tcPr>
          <w:p>
            <w:pPr>
              <w:spacing w:line="300" w:lineRule="exact"/>
              <w:jc w:val="center"/>
              <w:rPr>
                <w:rFonts w:ascii="方正书宋_GBK" w:eastAsia="方正书宋_GBK"/>
              </w:rPr>
            </w:pPr>
          </w:p>
        </w:tc>
        <w:tc>
          <w:tcPr>
            <w:tcW w:w="604" w:type="dxa"/>
            <w:shd w:val="clear" w:color="auto" w:fill="auto"/>
            <w:vAlign w:val="center"/>
          </w:tcPr>
          <w:p>
            <w:pPr>
              <w:spacing w:line="300" w:lineRule="exact"/>
              <w:jc w:val="right"/>
              <w:rPr>
                <w:rFonts w:ascii="方正书宋_GBK" w:eastAsia="方正书宋_GBK"/>
              </w:rPr>
            </w:pPr>
          </w:p>
        </w:tc>
        <w:tc>
          <w:tcPr>
            <w:tcW w:w="609"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61"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部门</w:t>
      </w:r>
      <w:r>
        <w:rPr>
          <w:rFonts w:hint="eastAsia" w:ascii="仿宋" w:hAnsi="仿宋" w:eastAsia="仿宋"/>
          <w:sz w:val="32"/>
          <w:szCs w:val="32"/>
        </w:rPr>
        <w:t>固定资产总金额为3</w:t>
      </w:r>
      <w:r>
        <w:rPr>
          <w:rFonts w:ascii="仿宋" w:hAnsi="仿宋" w:eastAsia="仿宋"/>
          <w:sz w:val="32"/>
          <w:szCs w:val="32"/>
        </w:rPr>
        <w:t>2.35</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部门</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w:t>
            </w:r>
            <w:r>
              <w:rPr>
                <w:rFonts w:hint="eastAsia" w:ascii="仿宋_GB2312" w:hAnsi="仿宋" w:eastAsia="仿宋_GB2312" w:cs="宋体"/>
                <w:b/>
                <w:bCs/>
                <w:kern w:val="0"/>
                <w:sz w:val="24"/>
                <w:szCs w:val="24"/>
                <w:lang w:eastAsia="zh-CN"/>
              </w:rPr>
              <w:t>部门</w:t>
            </w:r>
            <w:r>
              <w:rPr>
                <w:rFonts w:hint="eastAsia" w:ascii="仿宋_GB2312" w:hAnsi="仿宋" w:eastAsia="仿宋_GB2312" w:cs="宋体"/>
                <w:b/>
                <w:bCs/>
                <w:kern w:val="0"/>
                <w:sz w:val="24"/>
                <w:szCs w:val="24"/>
              </w:rPr>
              <w:t>：万元）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32.35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16.09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部门</w:t>
      </w:r>
      <w:r>
        <w:rPr>
          <w:rFonts w:ascii="仿宋" w:hAnsi="仿宋" w:eastAsia="仿宋"/>
          <w:sz w:val="32"/>
          <w:szCs w:val="32"/>
        </w:rPr>
        <w:t>用财政拨款安排的因公出国（境）费、公务用车购置及运行费和公务接待费。其中，因公出国（境）费反映</w:t>
      </w:r>
      <w:r>
        <w:rPr>
          <w:rFonts w:hint="eastAsia" w:ascii="仿宋" w:hAnsi="仿宋" w:eastAsia="仿宋"/>
          <w:sz w:val="32"/>
          <w:szCs w:val="32"/>
          <w:lang w:eastAsia="zh-CN"/>
        </w:rPr>
        <w:t>部门</w:t>
      </w:r>
      <w:r>
        <w:rPr>
          <w:rFonts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部门</w:t>
      </w:r>
      <w:r>
        <w:rPr>
          <w:rFonts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部门</w:t>
      </w:r>
      <w:r>
        <w:rPr>
          <w:rFonts w:ascii="仿宋" w:hAnsi="仿宋" w:eastAsia="仿宋"/>
          <w:sz w:val="32"/>
          <w:szCs w:val="32"/>
        </w:rPr>
        <w:t>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w:t>
      </w:r>
      <w:r>
        <w:rPr>
          <w:rFonts w:hint="eastAsia" w:ascii="仿宋" w:hAnsi="仿宋" w:eastAsia="仿宋"/>
          <w:sz w:val="32"/>
          <w:szCs w:val="32"/>
          <w:lang w:eastAsia="zh-CN"/>
        </w:rPr>
        <w:t>部门</w:t>
      </w:r>
      <w:r>
        <w:rPr>
          <w:rFonts w:ascii="仿宋" w:hAnsi="仿宋" w:eastAsia="仿宋"/>
          <w:sz w:val="32"/>
          <w:szCs w:val="32"/>
        </w:rPr>
        <w:t>（含参照公务员法管理的事业</w:t>
      </w:r>
      <w:r>
        <w:rPr>
          <w:rFonts w:hint="eastAsia" w:ascii="仿宋" w:hAnsi="仿宋" w:eastAsia="仿宋"/>
          <w:sz w:val="32"/>
          <w:szCs w:val="32"/>
          <w:lang w:eastAsia="zh-CN"/>
        </w:rPr>
        <w:t>部门</w:t>
      </w:r>
      <w:r>
        <w:rPr>
          <w:rFonts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部门</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882620"/>
    </w:sdtPr>
    <w:sdtContent>
      <w:p>
        <w:pPr>
          <w:pStyle w:val="3"/>
          <w:jc w:val="center"/>
        </w:pPr>
        <w:r>
          <w:fldChar w:fldCharType="begin"/>
        </w:r>
        <w:r>
          <w:instrText xml:space="preserve">PAGE   \* MERGEFORMAT</w:instrText>
        </w:r>
        <w:r>
          <w:fldChar w:fldCharType="separate"/>
        </w:r>
        <w:r>
          <w:rPr>
            <w:lang w:val="zh-CN"/>
          </w:rPr>
          <w:t>18</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22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YWMxZmE2Yjg0OWY4M2NjNzM0YzdlY2I3NDQxODE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4219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76E57"/>
    <w:rsid w:val="0048611E"/>
    <w:rsid w:val="004B6929"/>
    <w:rsid w:val="004E2F43"/>
    <w:rsid w:val="004E3572"/>
    <w:rsid w:val="004F3C52"/>
    <w:rsid w:val="00510A1E"/>
    <w:rsid w:val="005158E2"/>
    <w:rsid w:val="0052042C"/>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50102"/>
    <w:rsid w:val="0086454E"/>
    <w:rsid w:val="008672EA"/>
    <w:rsid w:val="00873D84"/>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73D3E"/>
    <w:rsid w:val="00C906EF"/>
    <w:rsid w:val="00CC7D74"/>
    <w:rsid w:val="00D02F97"/>
    <w:rsid w:val="00D3530C"/>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72CE9"/>
    <w:rsid w:val="00E90DA6"/>
    <w:rsid w:val="00E96342"/>
    <w:rsid w:val="00EA2FEA"/>
    <w:rsid w:val="00EA56CB"/>
    <w:rsid w:val="00EA7853"/>
    <w:rsid w:val="00EE64AB"/>
    <w:rsid w:val="00F000B1"/>
    <w:rsid w:val="00F012D3"/>
    <w:rsid w:val="00F044C3"/>
    <w:rsid w:val="00F10D04"/>
    <w:rsid w:val="00F169E3"/>
    <w:rsid w:val="00F35D4B"/>
    <w:rsid w:val="00F3746B"/>
    <w:rsid w:val="00F45EAF"/>
    <w:rsid w:val="00F572CB"/>
    <w:rsid w:val="00F621AF"/>
    <w:rsid w:val="00F8024E"/>
    <w:rsid w:val="00F82447"/>
    <w:rsid w:val="00F868E5"/>
    <w:rsid w:val="00FB2F32"/>
    <w:rsid w:val="00FC3191"/>
    <w:rsid w:val="00FE0F1F"/>
    <w:rsid w:val="00FF61F3"/>
    <w:rsid w:val="011A24F4"/>
    <w:rsid w:val="0A214432"/>
    <w:rsid w:val="16013169"/>
    <w:rsid w:val="1DCE6047"/>
    <w:rsid w:val="21D10D53"/>
    <w:rsid w:val="27733670"/>
    <w:rsid w:val="2F892E4F"/>
    <w:rsid w:val="4893096B"/>
    <w:rsid w:val="77CB4718"/>
    <w:rsid w:val="7B3C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1">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2">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6FA5-3F08-401D-8B8F-AD1530C951AD}">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21</Pages>
  <Words>7357</Words>
  <Characters>8042</Characters>
  <Lines>66</Lines>
  <Paragraphs>18</Paragraphs>
  <TotalTime>730</TotalTime>
  <ScaleCrop>false</ScaleCrop>
  <LinksUpToDate>false</LinksUpToDate>
  <CharactersWithSpaces>8251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喆涵b-a-b-y </cp:lastModifiedBy>
  <cp:lastPrinted>2021-04-14T02:06:00Z</cp:lastPrinted>
  <dcterms:modified xsi:type="dcterms:W3CDTF">2024-06-04T01:05:54Z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152D60AD03DE43B382626AABE875EC06_13</vt:lpwstr>
  </property>
</Properties>
</file>