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行政执法总体情况分析报告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政府坚强领导下，按照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区司法局法制工作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执法工作取得明显成效。通过统计报告，对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执法工作进行梳理汇总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，现将工作情况报告如下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一、执法案件办理情况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全年共计行政罚款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4.45487万元。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办理普通程序案件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件，行政罚款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4.32987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件，行政罚款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规划建设管理股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84987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万元。简易处罚案件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11个，行政罚款0.125万元，案件均由执法大队办理完成。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_GB2312"/>
          <w:sz w:val="32"/>
          <w:szCs w:val="32"/>
        </w:rPr>
        <w:t>、案卷评查情况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今年以来，行政处罚案卷质量整体提升明显，基本能够做到事实清楚、证据确凿、程序合法、适用法律正确、处罚适当，行政处罚案卷制作得到规范。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虽然案卷有了一定质量的提高，但是仍然有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存在的普通问题：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基本标准方面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。一是认定违法事实或者作出行政处罚引用法律、法规、规章，没有准确到条、款、项、目；二是引用的法律、法规、规章没有标注颁布或修正、修订年份。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sz w:val="32"/>
          <w:szCs w:val="32"/>
        </w:rPr>
        <w:t>、政策法规学习情况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为方便城管执法人员法规学习，对学法提出具体要求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，执法人员每月充分利用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“保定城管云学法”平台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，但从掌握情况看，不少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学习抓得不紧、学习效果提升慢。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保定市徐水区城市管理综合行政执法局</w:t>
      </w:r>
    </w:p>
    <w:p>
      <w:pPr>
        <w:numPr>
          <w:numId w:val="0"/>
        </w:num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B2B36"/>
    <w:multiLevelType w:val="singleLevel"/>
    <w:tmpl w:val="5CEB2B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5CE0E85"/>
    <w:rsid w:val="080C0DE8"/>
    <w:rsid w:val="154C4F1A"/>
    <w:rsid w:val="15EE4223"/>
    <w:rsid w:val="1E064528"/>
    <w:rsid w:val="281C69CE"/>
    <w:rsid w:val="2BC31E88"/>
    <w:rsid w:val="3123719B"/>
    <w:rsid w:val="38FD0155"/>
    <w:rsid w:val="442B1BAA"/>
    <w:rsid w:val="62A80882"/>
    <w:rsid w:val="64E33DF4"/>
    <w:rsid w:val="66FE4F15"/>
    <w:rsid w:val="6DC36570"/>
    <w:rsid w:val="722577FA"/>
    <w:rsid w:val="740D49E9"/>
    <w:rsid w:val="75271ADB"/>
    <w:rsid w:val="764A782F"/>
    <w:rsid w:val="77754D7F"/>
    <w:rsid w:val="77832B61"/>
    <w:rsid w:val="797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2024-05-15T02:47:01Z</dcterms:created>
  <dc:creator>Administrator</dc:creator>
  <cp:lastModifiedBy>Administrator</cp:lastModifiedBy>
  <dcterms:modified xsi:type="dcterms:W3CDTF">2024-05-15T03:37:19Z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8D1A711EA5AD4F0BB4482E75FDD6C1B5_12</vt:lpwstr>
  </property>
</Properties>
</file>