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122.63</w:t>
            </w:r>
          </w:p>
        </w:tc>
        <w:tc>
          <w:tcPr>
            <w:tcW w:w="4535" w:type="dxa"/>
            <w:vAlign w:val="center"/>
          </w:tcPr>
          <w:p>
            <w:pPr>
              <w:pStyle w:val="13"/>
            </w:pPr>
            <w:r>
              <w:t>一、一般公共服务支出</w:t>
            </w:r>
          </w:p>
        </w:tc>
        <w:tc>
          <w:tcPr>
            <w:tcW w:w="2126" w:type="dxa"/>
            <w:vAlign w:val="center"/>
          </w:tcPr>
          <w:p>
            <w:pPr>
              <w:pStyle w:val="12"/>
            </w:pPr>
            <w:r>
              <w:t>81.67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122.63</w:t>
            </w:r>
          </w:p>
        </w:tc>
        <w:tc>
          <w:tcPr>
            <w:tcW w:w="4535" w:type="dxa"/>
            <w:vAlign w:val="center"/>
          </w:tcPr>
          <w:p>
            <w:pPr>
              <w:pStyle w:val="15"/>
            </w:pPr>
            <w:r>
              <w:t>本年支出合计</w:t>
            </w:r>
          </w:p>
        </w:tc>
        <w:tc>
          <w:tcPr>
            <w:tcW w:w="2126" w:type="dxa"/>
            <w:vAlign w:val="center"/>
          </w:tcPr>
          <w:p>
            <w:pPr>
              <w:pStyle w:val="16"/>
            </w:pPr>
            <w:r>
              <w:t>122.63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122.63</w:t>
            </w:r>
          </w:p>
        </w:tc>
        <w:tc>
          <w:tcPr>
            <w:tcW w:w="4535" w:type="dxa"/>
            <w:vAlign w:val="center"/>
          </w:tcPr>
          <w:p>
            <w:pPr>
              <w:pStyle w:val="15"/>
            </w:pPr>
            <w:r>
              <w:t>支出总计</w:t>
            </w:r>
          </w:p>
        </w:tc>
        <w:tc>
          <w:tcPr>
            <w:tcW w:w="2126" w:type="dxa"/>
            <w:vAlign w:val="center"/>
          </w:tcPr>
          <w:p>
            <w:pPr>
              <w:pStyle w:val="16"/>
            </w:pPr>
            <w:r>
              <w:t>122.63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122.63</w:t>
            </w:r>
          </w:p>
        </w:tc>
        <w:tc>
          <w:tcPr>
            <w:tcW w:w="1134" w:type="dxa"/>
            <w:vAlign w:val="center"/>
          </w:tcPr>
          <w:p>
            <w:pPr>
              <w:pStyle w:val="16"/>
            </w:pPr>
            <w:r>
              <w:t>122.63</w:t>
            </w:r>
          </w:p>
        </w:tc>
        <w:tc>
          <w:tcPr>
            <w:tcW w:w="1134" w:type="dxa"/>
            <w:vAlign w:val="center"/>
          </w:tcPr>
          <w:p>
            <w:pPr>
              <w:pStyle w:val="16"/>
            </w:pPr>
            <w:r>
              <w:t>122.63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81.67</w:t>
            </w:r>
          </w:p>
        </w:tc>
        <w:tc>
          <w:tcPr>
            <w:tcW w:w="1134" w:type="dxa"/>
            <w:vAlign w:val="center"/>
          </w:tcPr>
          <w:p>
            <w:pPr>
              <w:pStyle w:val="12"/>
            </w:pPr>
            <w:r>
              <w:t>81.67</w:t>
            </w:r>
          </w:p>
        </w:tc>
        <w:tc>
          <w:tcPr>
            <w:tcW w:w="1134" w:type="dxa"/>
            <w:vAlign w:val="center"/>
          </w:tcPr>
          <w:p>
            <w:pPr>
              <w:pStyle w:val="12"/>
            </w:pPr>
            <w:r>
              <w:t>81.67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81.67</w:t>
            </w:r>
          </w:p>
        </w:tc>
        <w:tc>
          <w:tcPr>
            <w:tcW w:w="1134" w:type="dxa"/>
            <w:vAlign w:val="center"/>
          </w:tcPr>
          <w:p>
            <w:pPr>
              <w:pStyle w:val="12"/>
            </w:pPr>
            <w:r>
              <w:t>81.67</w:t>
            </w:r>
          </w:p>
        </w:tc>
        <w:tc>
          <w:tcPr>
            <w:tcW w:w="1134" w:type="dxa"/>
            <w:vAlign w:val="center"/>
          </w:tcPr>
          <w:p>
            <w:pPr>
              <w:pStyle w:val="12"/>
            </w:pPr>
            <w:r>
              <w:t>81.67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81.67</w:t>
            </w:r>
          </w:p>
        </w:tc>
        <w:tc>
          <w:tcPr>
            <w:tcW w:w="1134" w:type="dxa"/>
            <w:vAlign w:val="center"/>
          </w:tcPr>
          <w:p>
            <w:pPr>
              <w:pStyle w:val="12"/>
            </w:pPr>
            <w:r>
              <w:t>81.67</w:t>
            </w:r>
          </w:p>
        </w:tc>
        <w:tc>
          <w:tcPr>
            <w:tcW w:w="1134" w:type="dxa"/>
            <w:vAlign w:val="center"/>
          </w:tcPr>
          <w:p>
            <w:pPr>
              <w:pStyle w:val="12"/>
            </w:pPr>
            <w:r>
              <w:t>81.67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31.76</w:t>
            </w:r>
          </w:p>
        </w:tc>
        <w:tc>
          <w:tcPr>
            <w:tcW w:w="1134" w:type="dxa"/>
            <w:vAlign w:val="center"/>
          </w:tcPr>
          <w:p>
            <w:pPr>
              <w:pStyle w:val="12"/>
            </w:pPr>
            <w:r>
              <w:t>31.76</w:t>
            </w:r>
          </w:p>
        </w:tc>
        <w:tc>
          <w:tcPr>
            <w:tcW w:w="1134" w:type="dxa"/>
            <w:vAlign w:val="center"/>
          </w:tcPr>
          <w:p>
            <w:pPr>
              <w:pStyle w:val="12"/>
            </w:pPr>
            <w:r>
              <w:t>31.76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31.76</w:t>
            </w:r>
          </w:p>
        </w:tc>
        <w:tc>
          <w:tcPr>
            <w:tcW w:w="1134" w:type="dxa"/>
            <w:vAlign w:val="center"/>
          </w:tcPr>
          <w:p>
            <w:pPr>
              <w:pStyle w:val="12"/>
            </w:pPr>
            <w:r>
              <w:t>31.76</w:t>
            </w:r>
          </w:p>
        </w:tc>
        <w:tc>
          <w:tcPr>
            <w:tcW w:w="1134" w:type="dxa"/>
            <w:vAlign w:val="center"/>
          </w:tcPr>
          <w:p>
            <w:pPr>
              <w:pStyle w:val="12"/>
            </w:pPr>
            <w:r>
              <w:t>31.76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23.91</w:t>
            </w:r>
          </w:p>
        </w:tc>
        <w:tc>
          <w:tcPr>
            <w:tcW w:w="1134" w:type="dxa"/>
            <w:vAlign w:val="center"/>
          </w:tcPr>
          <w:p>
            <w:pPr>
              <w:pStyle w:val="12"/>
            </w:pPr>
            <w:r>
              <w:t>23.91</w:t>
            </w:r>
          </w:p>
        </w:tc>
        <w:tc>
          <w:tcPr>
            <w:tcW w:w="1134" w:type="dxa"/>
            <w:vAlign w:val="center"/>
          </w:tcPr>
          <w:p>
            <w:pPr>
              <w:pStyle w:val="12"/>
            </w:pPr>
            <w:r>
              <w:t>23.91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7.86</w:t>
            </w:r>
          </w:p>
        </w:tc>
        <w:tc>
          <w:tcPr>
            <w:tcW w:w="1134" w:type="dxa"/>
            <w:vAlign w:val="center"/>
          </w:tcPr>
          <w:p>
            <w:pPr>
              <w:pStyle w:val="12"/>
            </w:pPr>
            <w:r>
              <w:t>7.86</w:t>
            </w:r>
          </w:p>
        </w:tc>
        <w:tc>
          <w:tcPr>
            <w:tcW w:w="1134" w:type="dxa"/>
            <w:vAlign w:val="center"/>
          </w:tcPr>
          <w:p>
            <w:pPr>
              <w:pStyle w:val="12"/>
            </w:pPr>
            <w:r>
              <w:t>7.86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2.67</w:t>
            </w:r>
          </w:p>
        </w:tc>
        <w:tc>
          <w:tcPr>
            <w:tcW w:w="1134" w:type="dxa"/>
            <w:vAlign w:val="center"/>
          </w:tcPr>
          <w:p>
            <w:pPr>
              <w:pStyle w:val="12"/>
            </w:pPr>
            <w:r>
              <w:t>2.67</w:t>
            </w:r>
          </w:p>
        </w:tc>
        <w:tc>
          <w:tcPr>
            <w:tcW w:w="1134" w:type="dxa"/>
            <w:vAlign w:val="center"/>
          </w:tcPr>
          <w:p>
            <w:pPr>
              <w:pStyle w:val="12"/>
            </w:pPr>
            <w:r>
              <w:t>2.67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2.67</w:t>
            </w:r>
          </w:p>
        </w:tc>
        <w:tc>
          <w:tcPr>
            <w:tcW w:w="1134" w:type="dxa"/>
            <w:vAlign w:val="center"/>
          </w:tcPr>
          <w:p>
            <w:pPr>
              <w:pStyle w:val="12"/>
            </w:pPr>
            <w:r>
              <w:t>2.67</w:t>
            </w:r>
          </w:p>
        </w:tc>
        <w:tc>
          <w:tcPr>
            <w:tcW w:w="1134" w:type="dxa"/>
            <w:vAlign w:val="center"/>
          </w:tcPr>
          <w:p>
            <w:pPr>
              <w:pStyle w:val="12"/>
            </w:pPr>
            <w:r>
              <w:t>2.67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2.67</w:t>
            </w:r>
          </w:p>
        </w:tc>
        <w:tc>
          <w:tcPr>
            <w:tcW w:w="1134" w:type="dxa"/>
            <w:vAlign w:val="center"/>
          </w:tcPr>
          <w:p>
            <w:pPr>
              <w:pStyle w:val="12"/>
            </w:pPr>
            <w:r>
              <w:t>2.67</w:t>
            </w:r>
          </w:p>
        </w:tc>
        <w:tc>
          <w:tcPr>
            <w:tcW w:w="1134" w:type="dxa"/>
            <w:vAlign w:val="center"/>
          </w:tcPr>
          <w:p>
            <w:pPr>
              <w:pStyle w:val="12"/>
            </w:pPr>
            <w:r>
              <w:t>2.67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122.63</w:t>
            </w:r>
          </w:p>
        </w:tc>
        <w:tc>
          <w:tcPr>
            <w:tcW w:w="1361" w:type="dxa"/>
            <w:vAlign w:val="center"/>
          </w:tcPr>
          <w:p>
            <w:pPr>
              <w:pStyle w:val="16"/>
            </w:pPr>
            <w:r>
              <w:t>122.63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81.67</w:t>
            </w:r>
          </w:p>
        </w:tc>
        <w:tc>
          <w:tcPr>
            <w:tcW w:w="1361" w:type="dxa"/>
            <w:vAlign w:val="center"/>
          </w:tcPr>
          <w:p>
            <w:pPr>
              <w:pStyle w:val="12"/>
            </w:pPr>
            <w:r>
              <w:t>81.67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81.67</w:t>
            </w:r>
          </w:p>
        </w:tc>
        <w:tc>
          <w:tcPr>
            <w:tcW w:w="1361" w:type="dxa"/>
            <w:vAlign w:val="center"/>
          </w:tcPr>
          <w:p>
            <w:pPr>
              <w:pStyle w:val="12"/>
            </w:pPr>
            <w:r>
              <w:t>81.67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81.67</w:t>
            </w:r>
          </w:p>
        </w:tc>
        <w:tc>
          <w:tcPr>
            <w:tcW w:w="1361" w:type="dxa"/>
            <w:vAlign w:val="center"/>
          </w:tcPr>
          <w:p>
            <w:pPr>
              <w:pStyle w:val="12"/>
            </w:pPr>
            <w:r>
              <w:t>81.67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31.76</w:t>
            </w:r>
          </w:p>
        </w:tc>
        <w:tc>
          <w:tcPr>
            <w:tcW w:w="1361" w:type="dxa"/>
            <w:vAlign w:val="center"/>
          </w:tcPr>
          <w:p>
            <w:pPr>
              <w:pStyle w:val="12"/>
            </w:pPr>
            <w:r>
              <w:t>31.76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31.76</w:t>
            </w:r>
          </w:p>
        </w:tc>
        <w:tc>
          <w:tcPr>
            <w:tcW w:w="1361" w:type="dxa"/>
            <w:vAlign w:val="center"/>
          </w:tcPr>
          <w:p>
            <w:pPr>
              <w:pStyle w:val="12"/>
            </w:pPr>
            <w:r>
              <w:t>31.76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23.91</w:t>
            </w:r>
          </w:p>
        </w:tc>
        <w:tc>
          <w:tcPr>
            <w:tcW w:w="1361" w:type="dxa"/>
            <w:vAlign w:val="center"/>
          </w:tcPr>
          <w:p>
            <w:pPr>
              <w:pStyle w:val="12"/>
            </w:pPr>
            <w:r>
              <w:t>23.91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7.86</w:t>
            </w:r>
          </w:p>
        </w:tc>
        <w:tc>
          <w:tcPr>
            <w:tcW w:w="1361" w:type="dxa"/>
            <w:vAlign w:val="center"/>
          </w:tcPr>
          <w:p>
            <w:pPr>
              <w:pStyle w:val="12"/>
            </w:pPr>
            <w:r>
              <w:t>7.86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2.67</w:t>
            </w:r>
          </w:p>
        </w:tc>
        <w:tc>
          <w:tcPr>
            <w:tcW w:w="1361" w:type="dxa"/>
            <w:vAlign w:val="center"/>
          </w:tcPr>
          <w:p>
            <w:pPr>
              <w:pStyle w:val="12"/>
            </w:pPr>
            <w:r>
              <w:t>2.67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2.67</w:t>
            </w:r>
          </w:p>
        </w:tc>
        <w:tc>
          <w:tcPr>
            <w:tcW w:w="1361" w:type="dxa"/>
            <w:vAlign w:val="center"/>
          </w:tcPr>
          <w:p>
            <w:pPr>
              <w:pStyle w:val="12"/>
            </w:pPr>
            <w:r>
              <w:t>2.67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2.67</w:t>
            </w:r>
          </w:p>
        </w:tc>
        <w:tc>
          <w:tcPr>
            <w:tcW w:w="1361" w:type="dxa"/>
            <w:vAlign w:val="center"/>
          </w:tcPr>
          <w:p>
            <w:pPr>
              <w:pStyle w:val="12"/>
            </w:pPr>
            <w:r>
              <w:t>2.67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122.63</w:t>
            </w:r>
          </w:p>
        </w:tc>
        <w:tc>
          <w:tcPr>
            <w:tcW w:w="3402" w:type="dxa"/>
            <w:vAlign w:val="center"/>
          </w:tcPr>
          <w:p>
            <w:pPr>
              <w:pStyle w:val="13"/>
            </w:pPr>
            <w:r>
              <w:t>一、一般公共服务支出</w:t>
            </w:r>
          </w:p>
        </w:tc>
        <w:tc>
          <w:tcPr>
            <w:tcW w:w="1474" w:type="dxa"/>
            <w:vAlign w:val="center"/>
          </w:tcPr>
          <w:p>
            <w:pPr>
              <w:pStyle w:val="12"/>
            </w:pPr>
            <w:r>
              <w:t>81.67</w:t>
            </w:r>
          </w:p>
        </w:tc>
        <w:tc>
          <w:tcPr>
            <w:tcW w:w="1474" w:type="dxa"/>
            <w:vAlign w:val="center"/>
          </w:tcPr>
          <w:p>
            <w:pPr>
              <w:pStyle w:val="12"/>
            </w:pPr>
            <w:r>
              <w:t>81.67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31.76</w:t>
            </w:r>
          </w:p>
        </w:tc>
        <w:tc>
          <w:tcPr>
            <w:tcW w:w="1474" w:type="dxa"/>
            <w:vAlign w:val="center"/>
          </w:tcPr>
          <w:p>
            <w:pPr>
              <w:pStyle w:val="12"/>
            </w:pPr>
            <w:r>
              <w:t>31.76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2.67</w:t>
            </w:r>
          </w:p>
        </w:tc>
        <w:tc>
          <w:tcPr>
            <w:tcW w:w="1474" w:type="dxa"/>
            <w:vAlign w:val="center"/>
          </w:tcPr>
          <w:p>
            <w:pPr>
              <w:pStyle w:val="12"/>
            </w:pPr>
            <w:r>
              <w:t>2.67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6.53</w:t>
            </w:r>
          </w:p>
        </w:tc>
        <w:tc>
          <w:tcPr>
            <w:tcW w:w="1474" w:type="dxa"/>
            <w:vAlign w:val="center"/>
          </w:tcPr>
          <w:p>
            <w:pPr>
              <w:pStyle w:val="12"/>
            </w:pPr>
            <w:r>
              <w:t>6.53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122.63</w:t>
            </w:r>
          </w:p>
        </w:tc>
        <w:tc>
          <w:tcPr>
            <w:tcW w:w="3402" w:type="dxa"/>
            <w:vAlign w:val="center"/>
          </w:tcPr>
          <w:p>
            <w:pPr>
              <w:pStyle w:val="15"/>
            </w:pPr>
            <w:r>
              <w:t>本年支出合计</w:t>
            </w:r>
          </w:p>
        </w:tc>
        <w:tc>
          <w:tcPr>
            <w:tcW w:w="1474" w:type="dxa"/>
            <w:vAlign w:val="center"/>
          </w:tcPr>
          <w:p>
            <w:pPr>
              <w:pStyle w:val="16"/>
            </w:pPr>
            <w:r>
              <w:t>122.63</w:t>
            </w:r>
          </w:p>
        </w:tc>
        <w:tc>
          <w:tcPr>
            <w:tcW w:w="1474" w:type="dxa"/>
            <w:vAlign w:val="center"/>
          </w:tcPr>
          <w:p>
            <w:pPr>
              <w:pStyle w:val="16"/>
            </w:pPr>
            <w:r>
              <w:t>122.63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122.63</w:t>
            </w:r>
          </w:p>
        </w:tc>
        <w:tc>
          <w:tcPr>
            <w:tcW w:w="3402" w:type="dxa"/>
            <w:vAlign w:val="center"/>
          </w:tcPr>
          <w:p>
            <w:pPr>
              <w:pStyle w:val="15"/>
            </w:pPr>
            <w:r>
              <w:t>支出总计</w:t>
            </w:r>
          </w:p>
        </w:tc>
        <w:tc>
          <w:tcPr>
            <w:tcW w:w="1474" w:type="dxa"/>
            <w:vAlign w:val="center"/>
          </w:tcPr>
          <w:p>
            <w:pPr>
              <w:pStyle w:val="16"/>
            </w:pPr>
            <w:r>
              <w:t>122.63</w:t>
            </w:r>
          </w:p>
        </w:tc>
        <w:tc>
          <w:tcPr>
            <w:tcW w:w="1474" w:type="dxa"/>
            <w:vAlign w:val="center"/>
          </w:tcPr>
          <w:p>
            <w:pPr>
              <w:pStyle w:val="16"/>
            </w:pPr>
            <w:r>
              <w:t>122.63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122.63</w:t>
            </w:r>
          </w:p>
        </w:tc>
        <w:tc>
          <w:tcPr>
            <w:tcW w:w="2551" w:type="dxa"/>
            <w:vAlign w:val="center"/>
          </w:tcPr>
          <w:p>
            <w:pPr>
              <w:pStyle w:val="16"/>
            </w:pPr>
            <w:r>
              <w:t>122.63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81.67</w:t>
            </w:r>
          </w:p>
        </w:tc>
        <w:tc>
          <w:tcPr>
            <w:tcW w:w="2551" w:type="dxa"/>
            <w:vAlign w:val="center"/>
          </w:tcPr>
          <w:p>
            <w:pPr>
              <w:pStyle w:val="12"/>
            </w:pPr>
            <w:r>
              <w:t>81.67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81.67</w:t>
            </w:r>
          </w:p>
        </w:tc>
        <w:tc>
          <w:tcPr>
            <w:tcW w:w="2551" w:type="dxa"/>
            <w:vAlign w:val="center"/>
          </w:tcPr>
          <w:p>
            <w:pPr>
              <w:pStyle w:val="12"/>
            </w:pPr>
            <w:r>
              <w:t>81.67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81.67</w:t>
            </w:r>
          </w:p>
        </w:tc>
        <w:tc>
          <w:tcPr>
            <w:tcW w:w="2551" w:type="dxa"/>
            <w:vAlign w:val="center"/>
          </w:tcPr>
          <w:p>
            <w:pPr>
              <w:pStyle w:val="12"/>
            </w:pPr>
            <w:r>
              <w:t>81.67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31.76</w:t>
            </w:r>
          </w:p>
        </w:tc>
        <w:tc>
          <w:tcPr>
            <w:tcW w:w="2551" w:type="dxa"/>
            <w:vAlign w:val="center"/>
          </w:tcPr>
          <w:p>
            <w:pPr>
              <w:pStyle w:val="12"/>
            </w:pPr>
            <w:r>
              <w:t>31.76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31.76</w:t>
            </w:r>
          </w:p>
        </w:tc>
        <w:tc>
          <w:tcPr>
            <w:tcW w:w="2551" w:type="dxa"/>
            <w:vAlign w:val="center"/>
          </w:tcPr>
          <w:p>
            <w:pPr>
              <w:pStyle w:val="12"/>
            </w:pPr>
            <w:r>
              <w:t>31.76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23.91</w:t>
            </w:r>
          </w:p>
        </w:tc>
        <w:tc>
          <w:tcPr>
            <w:tcW w:w="2551" w:type="dxa"/>
            <w:vAlign w:val="center"/>
          </w:tcPr>
          <w:p>
            <w:pPr>
              <w:pStyle w:val="12"/>
            </w:pPr>
            <w:r>
              <w:t>23.91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7.86</w:t>
            </w:r>
          </w:p>
        </w:tc>
        <w:tc>
          <w:tcPr>
            <w:tcW w:w="2551" w:type="dxa"/>
            <w:vAlign w:val="center"/>
          </w:tcPr>
          <w:p>
            <w:pPr>
              <w:pStyle w:val="12"/>
            </w:pPr>
            <w:r>
              <w:t>7.86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2.67</w:t>
            </w:r>
          </w:p>
        </w:tc>
        <w:tc>
          <w:tcPr>
            <w:tcW w:w="2551" w:type="dxa"/>
            <w:vAlign w:val="center"/>
          </w:tcPr>
          <w:p>
            <w:pPr>
              <w:pStyle w:val="12"/>
            </w:pPr>
            <w:r>
              <w:t>2.67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2.67</w:t>
            </w:r>
          </w:p>
        </w:tc>
        <w:tc>
          <w:tcPr>
            <w:tcW w:w="2551" w:type="dxa"/>
            <w:vAlign w:val="center"/>
          </w:tcPr>
          <w:p>
            <w:pPr>
              <w:pStyle w:val="12"/>
            </w:pPr>
            <w:r>
              <w:t>2.67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2.67</w:t>
            </w:r>
          </w:p>
        </w:tc>
        <w:tc>
          <w:tcPr>
            <w:tcW w:w="2551" w:type="dxa"/>
            <w:vAlign w:val="center"/>
          </w:tcPr>
          <w:p>
            <w:pPr>
              <w:pStyle w:val="12"/>
            </w:pPr>
            <w:r>
              <w:t>2.67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122.63</w:t>
            </w:r>
          </w:p>
        </w:tc>
        <w:tc>
          <w:tcPr>
            <w:tcW w:w="2551" w:type="dxa"/>
            <w:vAlign w:val="center"/>
          </w:tcPr>
          <w:p>
            <w:pPr>
              <w:pStyle w:val="16"/>
            </w:pPr>
            <w:r>
              <w:t>109.86</w:t>
            </w:r>
          </w:p>
        </w:tc>
        <w:tc>
          <w:tcPr>
            <w:tcW w:w="2551" w:type="dxa"/>
            <w:vAlign w:val="center"/>
          </w:tcPr>
          <w:p>
            <w:pPr>
              <w:pStyle w:val="16"/>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85.77</w:t>
            </w:r>
          </w:p>
        </w:tc>
        <w:tc>
          <w:tcPr>
            <w:tcW w:w="2551" w:type="dxa"/>
            <w:vAlign w:val="center"/>
          </w:tcPr>
          <w:p>
            <w:pPr>
              <w:pStyle w:val="12"/>
            </w:pPr>
            <w:r>
              <w:t>85.77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22.37</w:t>
            </w:r>
          </w:p>
        </w:tc>
        <w:tc>
          <w:tcPr>
            <w:tcW w:w="2551" w:type="dxa"/>
            <w:vAlign w:val="center"/>
          </w:tcPr>
          <w:p>
            <w:pPr>
              <w:pStyle w:val="12"/>
            </w:pPr>
            <w:r>
              <w:t>22.37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19.87</w:t>
            </w:r>
          </w:p>
        </w:tc>
        <w:tc>
          <w:tcPr>
            <w:tcW w:w="2551" w:type="dxa"/>
            <w:vAlign w:val="center"/>
          </w:tcPr>
          <w:p>
            <w:pPr>
              <w:pStyle w:val="12"/>
            </w:pPr>
            <w:r>
              <w:t>19.87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16.59</w:t>
            </w:r>
          </w:p>
        </w:tc>
        <w:tc>
          <w:tcPr>
            <w:tcW w:w="2551" w:type="dxa"/>
            <w:vAlign w:val="center"/>
          </w:tcPr>
          <w:p>
            <w:pPr>
              <w:pStyle w:val="12"/>
            </w:pPr>
            <w:r>
              <w:t>16.59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7.86</w:t>
            </w:r>
          </w:p>
        </w:tc>
        <w:tc>
          <w:tcPr>
            <w:tcW w:w="2551" w:type="dxa"/>
            <w:vAlign w:val="center"/>
          </w:tcPr>
          <w:p>
            <w:pPr>
              <w:pStyle w:val="12"/>
            </w:pPr>
            <w:r>
              <w:t>7.86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2.67</w:t>
            </w:r>
          </w:p>
        </w:tc>
        <w:tc>
          <w:tcPr>
            <w:tcW w:w="2551" w:type="dxa"/>
            <w:vAlign w:val="center"/>
          </w:tcPr>
          <w:p>
            <w:pPr>
              <w:pStyle w:val="12"/>
            </w:pPr>
            <w:r>
              <w:t>2.67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0.20</w:t>
            </w:r>
          </w:p>
        </w:tc>
        <w:tc>
          <w:tcPr>
            <w:tcW w:w="2551" w:type="dxa"/>
            <w:vAlign w:val="center"/>
          </w:tcPr>
          <w:p>
            <w:pPr>
              <w:pStyle w:val="12"/>
            </w:pPr>
            <w:r>
              <w:t>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9.68</w:t>
            </w:r>
          </w:p>
        </w:tc>
        <w:tc>
          <w:tcPr>
            <w:tcW w:w="2551" w:type="dxa"/>
            <w:vAlign w:val="center"/>
          </w:tcPr>
          <w:p>
            <w:pPr>
              <w:pStyle w:val="12"/>
            </w:pPr>
            <w:r>
              <w:t>9.68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12.19</w:t>
            </w:r>
          </w:p>
        </w:tc>
        <w:tc>
          <w:tcPr>
            <w:tcW w:w="2551" w:type="dxa"/>
            <w:vAlign w:val="center"/>
          </w:tcPr>
          <w:p>
            <w:pPr>
              <w:pStyle w:val="12"/>
            </w:pPr>
          </w:p>
        </w:tc>
        <w:tc>
          <w:tcPr>
            <w:tcW w:w="2551" w:type="dxa"/>
            <w:vAlign w:val="center"/>
          </w:tcPr>
          <w:p>
            <w:pPr>
              <w:pStyle w:val="12"/>
            </w:pPr>
            <w:r>
              <w:t>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0.77</w:t>
            </w:r>
          </w:p>
        </w:tc>
        <w:tc>
          <w:tcPr>
            <w:tcW w:w="2551" w:type="dxa"/>
            <w:vAlign w:val="center"/>
          </w:tcPr>
          <w:p>
            <w:pPr>
              <w:pStyle w:val="12"/>
            </w:pPr>
          </w:p>
        </w:tc>
        <w:tc>
          <w:tcPr>
            <w:tcW w:w="2551" w:type="dxa"/>
            <w:vAlign w:val="center"/>
          </w:tcPr>
          <w:p>
            <w:pPr>
              <w:pStyle w:val="12"/>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2.96</w:t>
            </w:r>
          </w:p>
        </w:tc>
        <w:tc>
          <w:tcPr>
            <w:tcW w:w="2551" w:type="dxa"/>
            <w:vAlign w:val="center"/>
          </w:tcPr>
          <w:p>
            <w:pPr>
              <w:pStyle w:val="12"/>
            </w:pPr>
          </w:p>
        </w:tc>
        <w:tc>
          <w:tcPr>
            <w:tcW w:w="2551" w:type="dxa"/>
            <w:vAlign w:val="center"/>
          </w:tcPr>
          <w:p>
            <w:pPr>
              <w:pStyle w:val="12"/>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0.79</w:t>
            </w:r>
          </w:p>
        </w:tc>
        <w:tc>
          <w:tcPr>
            <w:tcW w:w="2551" w:type="dxa"/>
            <w:vAlign w:val="center"/>
          </w:tcPr>
          <w:p>
            <w:pPr>
              <w:pStyle w:val="12"/>
            </w:pPr>
          </w:p>
        </w:tc>
        <w:tc>
          <w:tcPr>
            <w:tcW w:w="2551" w:type="dxa"/>
            <w:vAlign w:val="center"/>
          </w:tcPr>
          <w:p>
            <w:pPr>
              <w:pStyle w:val="12"/>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0.59</w:t>
            </w:r>
          </w:p>
        </w:tc>
        <w:tc>
          <w:tcPr>
            <w:tcW w:w="2551" w:type="dxa"/>
            <w:vAlign w:val="center"/>
          </w:tcPr>
          <w:p>
            <w:pPr>
              <w:pStyle w:val="12"/>
            </w:pPr>
          </w:p>
        </w:tc>
        <w:tc>
          <w:tcPr>
            <w:tcW w:w="2551" w:type="dxa"/>
            <w:vAlign w:val="center"/>
          </w:tcPr>
          <w:p>
            <w:pPr>
              <w:pStyle w:val="12"/>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24.09</w:t>
            </w:r>
          </w:p>
        </w:tc>
        <w:tc>
          <w:tcPr>
            <w:tcW w:w="2551" w:type="dxa"/>
            <w:vAlign w:val="center"/>
          </w:tcPr>
          <w:p>
            <w:pPr>
              <w:pStyle w:val="12"/>
            </w:pPr>
            <w:r>
              <w:t>24.09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23.37</w:t>
            </w:r>
          </w:p>
        </w:tc>
        <w:tc>
          <w:tcPr>
            <w:tcW w:w="2551" w:type="dxa"/>
            <w:vAlign w:val="center"/>
          </w:tcPr>
          <w:p>
            <w:pPr>
              <w:pStyle w:val="12"/>
            </w:pPr>
            <w:r>
              <w:t>23.37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0.73</w:t>
            </w:r>
          </w:p>
        </w:tc>
        <w:tc>
          <w:tcPr>
            <w:tcW w:w="2551" w:type="dxa"/>
            <w:vAlign w:val="center"/>
          </w:tcPr>
          <w:p>
            <w:pPr>
              <w:pStyle w:val="12"/>
            </w:pPr>
            <w:r>
              <w:t>0.73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0.58</w:t>
            </w:r>
          </w:p>
        </w:tc>
        <w:tc>
          <w:tcPr>
            <w:tcW w:w="2551" w:type="dxa"/>
            <w:vAlign w:val="center"/>
          </w:tcPr>
          <w:p>
            <w:pPr>
              <w:pStyle w:val="12"/>
            </w:pPr>
          </w:p>
        </w:tc>
        <w:tc>
          <w:tcPr>
            <w:tcW w:w="2551" w:type="dxa"/>
            <w:vAlign w:val="center"/>
          </w:tcPr>
          <w:p>
            <w:pPr>
              <w:pStyle w:val="12"/>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0.58</w:t>
            </w:r>
          </w:p>
        </w:tc>
        <w:tc>
          <w:tcPr>
            <w:tcW w:w="2551" w:type="dxa"/>
            <w:vAlign w:val="center"/>
          </w:tcPr>
          <w:p>
            <w:pPr>
              <w:pStyle w:val="12"/>
            </w:pPr>
          </w:p>
        </w:tc>
        <w:tc>
          <w:tcPr>
            <w:tcW w:w="2551" w:type="dxa"/>
            <w:vAlign w:val="center"/>
          </w:tcPr>
          <w:p>
            <w:pPr>
              <w:pStyle w:val="12"/>
            </w:pPr>
            <w:r>
              <w:t>0.58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中共保定市徐水区委区直机关工作委员会2024年部门预算信息公开情况说明</w:t>
      </w:r>
    </w:p>
    <w:p>
      <w:pPr>
        <w:jc w:val="center"/>
      </w:pPr>
      <w:r>
        <w:rPr>
          <w:rFonts w:ascii="方正小标宋_GBK" w:hAnsi="方正小标宋_GBK" w:eastAsia="方正小标宋_GBK" w:cs="方正小标宋_GBK"/>
          <w:color w:val="000000"/>
          <w:sz w:val="44"/>
        </w:rPr>
        <w:t>中共保定市徐水区委区直机关工作委员会2024年部门预算信息公开情况说明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按照《中华人民共和国预算法》、《地方预决算公开操作规程》和《关于进一步推进预算公开工作的实施意见》规定，现将中共保定市徐水区委区直机关工作委员会2024年部门预算公开如下：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（一）统一组织、规划、部署区直机关党的工作，提出加强和改进机关党的建设的意见和建议，研究制定工作规划，并抓好组织实施。</w:t>
      </w:r>
    </w:p>
    <w:p>
      <w:pPr>
        <w:pStyle w:val="18"/>
      </w:pPr>
      <w:r>
        <w:t>（二）指导区直机关党的政治建设、思想建设、组织建设、作风建设、纪律建设，把制度建设贯彻其中，深入推进反腐败斗争。</w:t>
      </w:r>
    </w:p>
    <w:p>
      <w:pPr>
        <w:pStyle w:val="18"/>
      </w:pPr>
      <w:r>
        <w:t>（三）指导区直机关党组织和广大党员学习马克思列宁主义、毛泽东思想、邓小平理论、“三个代表”重要思想、科学发展观、习近平新时代中国特色社会主义思想。</w:t>
      </w:r>
    </w:p>
    <w:p>
      <w:pPr>
        <w:pStyle w:val="18"/>
      </w:pPr>
      <w:r>
        <w:t>（四）对区直机关党组织、党员领导干部落实党建责任制、遵守政治纪律和政治规矩情况进行监督检查，并向区委报告。</w:t>
      </w:r>
    </w:p>
    <w:p>
      <w:pPr>
        <w:pStyle w:val="18"/>
      </w:pPr>
      <w:r>
        <w:t>（五）指导区直机关党组织实施对党员特别是党员领导干部的监督和管理，定期了解各部门党员和群众对领导干部的意见，及时向区委反映各部门领导班子、领导干部的情况。</w:t>
      </w:r>
    </w:p>
    <w:p>
      <w:pPr>
        <w:pStyle w:val="18"/>
      </w:pPr>
      <w:r>
        <w:t>（六）配合区委有关部门抓好区直机关各部门领导班子思想政治建设，参与对党员领导干部民主生活会和区直各部门党组(党委)理论学习中心组学习的督促检查和指导，了解掌握情况，按规定报送情况报告。</w:t>
      </w:r>
    </w:p>
    <w:p>
      <w:pPr>
        <w:pStyle w:val="18"/>
      </w:pPr>
      <w:r>
        <w:t>（七）指导区直各部门机关党组织的建立、撤销、换届选举，对人员任免进行审批。</w:t>
      </w:r>
    </w:p>
    <w:p>
      <w:pPr>
        <w:pStyle w:val="18"/>
      </w:pPr>
      <w:r>
        <w:t>（八）指导党组织加强基层组织建设，做好党员发展、教育管理等工作。</w:t>
      </w:r>
    </w:p>
    <w:p>
      <w:pPr>
        <w:pStyle w:val="18"/>
      </w:pPr>
      <w:r>
        <w:t>（九）了解掌握区直机关工作人员的思想状况，指导区直机关各级党组织加强思想政治工作和精神文明建设。</w:t>
      </w:r>
    </w:p>
    <w:p>
      <w:pPr>
        <w:pStyle w:val="18"/>
      </w:pPr>
      <w:r>
        <w:t>（十）指导区直机关党组织做好党的统一战线工作和人民武装工作。领导区直机关工会、共青团、妇联等群团组织的工作，指导区直机关党组织做好党的群众工作。</w:t>
      </w:r>
    </w:p>
    <w:p>
      <w:pPr>
        <w:pStyle w:val="18"/>
      </w:pPr>
      <w:r>
        <w:t>（十一）协助有关部门协调区直机关各部门做好维护稳定工作。</w:t>
      </w:r>
    </w:p>
    <w:p>
      <w:pPr>
        <w:pStyle w:val="18"/>
      </w:pPr>
      <w:r>
        <w:t>（十二）完成区委交办的其他任务。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中共保定市徐水区委区直机关工作委员会本级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line="360" w:lineRule="auto"/>
        <w:ind w:firstLine="640"/>
        <w:outlineLvl w:val="2"/>
      </w:pPr>
      <w:r>
        <w:rPr>
          <w:rFonts w:ascii="黑体" w:hAnsi="黑体" w:eastAsia="黑体" w:cs="黑体"/>
          <w:color w:val="000000"/>
          <w:sz w:val="32"/>
        </w:rPr>
        <w:t>二、部门预算安排的总体情况</w:t>
      </w:r>
      <w:bookmarkEnd w:id="10"/>
    </w:p>
    <w:p>
      <w:pPr>
        <w:pStyle w:val="19"/>
      </w:pPr>
      <w:r>
        <w:rPr>
          <w:rFonts w:hint="eastAsia"/>
          <w:lang w:eastAsia="zh-CN"/>
        </w:rPr>
        <w:t>（</w:t>
      </w:r>
      <w:r>
        <w:rPr>
          <w:rFonts w:hint="eastAsia"/>
          <w:lang w:val="en-US" w:eastAsia="zh-CN"/>
        </w:rPr>
        <w:t>一</w:t>
      </w:r>
      <w:r>
        <w:rPr>
          <w:rFonts w:hint="eastAsia"/>
          <w:lang w:eastAsia="zh-CN"/>
        </w:rPr>
        <w:t>）</w:t>
      </w:r>
      <w:r>
        <w:t>收入说明</w:t>
      </w:r>
    </w:p>
    <w:p>
      <w:pPr>
        <w:pStyle w:val="19"/>
      </w:pPr>
      <w:r>
        <w:t>反映本部门当年全部收入。2024年预算收入122.63万元，其中：一般公共预算收入122.63万元，基金预算收入0万元，国有资本经营预算收入0万元，财政专户核拨收入0万元，单位资金收入0.01万元，上年结转结余0万元。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中共保定市徐水区委区直机关工作委员会年度部门预算中支出预算的总体情况。2024年支出预算122.63万元，其中基本支出122.63万元，包括人员经费109.86万元和日常公用经费12.77万元；项目支出0万元。</w:t>
      </w:r>
    </w:p>
    <w:p>
      <w:pPr>
        <w:pStyle w:val="19"/>
      </w:pPr>
      <w:r>
        <w:rPr>
          <w:rFonts w:hint="eastAsia"/>
          <w:lang w:eastAsia="zh-CN"/>
        </w:rPr>
        <w:t>（</w:t>
      </w:r>
      <w:r>
        <w:t>三</w:t>
      </w:r>
      <w:r>
        <w:rPr>
          <w:rFonts w:hint="eastAsia"/>
          <w:lang w:eastAsia="zh-CN"/>
        </w:rPr>
        <w:t>）</w:t>
      </w:r>
      <w:r>
        <w:t>比上年增减情况</w:t>
      </w:r>
    </w:p>
    <w:p>
      <w:pPr>
        <w:pStyle w:val="19"/>
      </w:pPr>
      <w:r>
        <w:t>本年度预算收支安排122.63万元，较上年减少37.83万元。其中:基本支出增减少37.83万元，主要原因是人员减少，各项人员经费减少；</w:t>
      </w:r>
      <w:r>
        <w:rPr>
          <w:rFonts w:hint="eastAsia"/>
          <w:lang w:eastAsia="zh-CN"/>
        </w:rPr>
        <w:t>项</w:t>
      </w:r>
      <w:r>
        <w:t>目支出增加0万元，主要原因是与上年无变化。</w:t>
      </w:r>
    </w:p>
    <w:p>
      <w:pPr>
        <w:spacing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2024年我部门机关运行经费安排12.77万元，其中办公费</w:t>
      </w:r>
      <w:r>
        <w:rPr>
          <w:rFonts w:hint="eastAsia"/>
          <w:lang w:val="en-US" w:eastAsia="zh-CN"/>
        </w:rPr>
        <w:t>0.77</w:t>
      </w:r>
      <w:r>
        <w:t>万元，邮电费</w:t>
      </w:r>
      <w:r>
        <w:rPr>
          <w:rFonts w:hint="eastAsia"/>
          <w:lang w:val="en-US" w:eastAsia="zh-CN"/>
        </w:rPr>
        <w:t>2.96</w:t>
      </w:r>
      <w:r>
        <w:t>万元，工会经费、福利费1.71万元，公务用车运行维护费2.43万元，其他支出</w:t>
      </w:r>
      <w:r>
        <w:rPr>
          <w:rFonts w:hint="eastAsia"/>
          <w:lang w:val="en-US" w:eastAsia="zh-CN"/>
        </w:rPr>
        <w:t>4.9</w:t>
      </w:r>
      <w:r>
        <w:t>万元</w:t>
      </w:r>
      <w:bookmarkStart w:id="20" w:name="_GoBack"/>
      <w:bookmarkEnd w:id="20"/>
      <w:r>
        <w:t>。</w:t>
      </w:r>
    </w:p>
    <w:p>
      <w:pPr>
        <w:spacing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2.43万元，其中因公出国（境）费0万元；公务用车购置及运维费2.43万元（其中：公务用车购置费为0万元，公务用车运维费2.43万元)；公务接待费0万元。与2023年相比增加0万元，增加的主要原因是：与上年无变化。</w:t>
      </w:r>
    </w:p>
    <w:p>
      <w:pPr>
        <w:spacing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统一组织、规划、部署区直机关党的工作，提出加强和改进机关党的建设的意见和建议，研究制定工作规划，并抓好组织实施。指导区直机关党的政治建设、思想建设、组织建设、作风建设、纪律建设，把制度建设贯彻其中，深入推进反腐败斗争。指导区直机关党组织和广大党员学习马克思列宁主义、毛泽东思想、邓小平理论、“三个代表”重要思想、科学发展观、习近平新时代中国特色社会主义思想。对区直机关党组织、党员领导干部落实党建责任制、遵守政治纪律和政治规矩情况进行监督检查，并向区委报 告。 指导区直机关党组织实施对党员特别是党员领导干部的监督和管理，定期了解各部门党员和群众对领导干部的意见，及时向区委反映各部门领导班子、领导干部的情况。配合区委有关部门抓好区直机关各部门领导班子思想政治建设，参与对党员领导干部民主生活会和区直各部门党组(党委)理论学习中心组学习的督促检查和指导，了解掌握情况，按规定报送情况报告。指导区直各部门机关党组织的建立、撤销、换届选举，对人员任免进行审批。指导党组织加强基层组织建设，做好党员发展、教育管理等工作。了解掌握区直机关工作人员的思想状况，指导区直机关各级党组织加强思想政治工作和精神文明建设。指导区直机关党组织做好党的统一战线工作和人民武装工作。领导区直机关工会、共青团、妇联等群团组织的工作，指导区直机关党组织做好党的群众工作。协助有关部门协调区直机关各部门做好维护稳定工作</w:t>
      </w:r>
    </w:p>
    <w:p>
      <w:pPr>
        <w:spacing w:line="500" w:lineRule="exact"/>
        <w:ind w:firstLine="560"/>
      </w:pPr>
      <w:r>
        <w:rPr>
          <w:rFonts w:eastAsia="方正仿宋_GBK"/>
          <w:color w:val="000000"/>
          <w:sz w:val="28"/>
        </w:rPr>
        <w:t>（二）分项绩效目标</w:t>
      </w:r>
    </w:p>
    <w:p>
      <w:pPr>
        <w:pStyle w:val="23"/>
      </w:pPr>
      <w:r>
        <w:t>1.做好发展党员工作；</w:t>
      </w:r>
    </w:p>
    <w:p>
      <w:pPr>
        <w:pStyle w:val="23"/>
      </w:pPr>
      <w:r>
        <w:t>2.做好机关党员培训、教育、管理；</w:t>
      </w:r>
    </w:p>
    <w:p>
      <w:pPr>
        <w:pStyle w:val="23"/>
      </w:pPr>
      <w:r>
        <w:t>3.做好党费收缴工作；</w:t>
      </w:r>
    </w:p>
    <w:p>
      <w:pPr>
        <w:pStyle w:val="23"/>
      </w:pPr>
      <w:r>
        <w:t>4.组织完成党组织换届、选举和调整工作。</w:t>
      </w:r>
    </w:p>
    <w:p>
      <w:pPr>
        <w:spacing w:line="500" w:lineRule="exact"/>
        <w:ind w:firstLine="560"/>
      </w:pPr>
      <w:r>
        <w:rPr>
          <w:rFonts w:eastAsia="方正仿宋_GBK"/>
          <w:color w:val="000000"/>
          <w:sz w:val="28"/>
        </w:rPr>
        <w:t>（三）工作保障措施</w:t>
      </w:r>
    </w:p>
    <w:p>
      <w:pPr>
        <w:pStyle w:val="24"/>
      </w:pPr>
      <w:r>
        <w:t>1.增强绩效指标设置的明确性 工作活动、预算项目绩效指标应当清晰、可评价、可衡量。建议在设置职责活动绩效指标时，将绩效目标细化分解为具体的工作任务数，从而使绩效目标可量化，便于 对目标实现情况进行考核。</w:t>
      </w:r>
    </w:p>
    <w:p>
      <w:pPr>
        <w:pStyle w:val="24"/>
      </w:pPr>
      <w:r>
        <w:t>2. 提高预算编制质量 部门预算编制工作要全面反映和体现部门职责，根据具体情况及时调整预算的编制，缩小预算与决算差额，减 少中期预算追加，提高预算编制质量，发挥预算约束作用。</w:t>
      </w:r>
    </w:p>
    <w:p>
      <w:pPr>
        <w:pStyle w:val="24"/>
      </w:pPr>
      <w:r>
        <w:t>3.强化政府采购执行 建议严格按照《中华人民共和国政府采购法》及河北省2017年《政府采购集中采购目录和限额标准》的相关规定，执行政府采购，加快预算执行进度，提高政府采购效 率。</w:t>
      </w:r>
    </w:p>
    <w:p>
      <w:pPr>
        <w:pStyle w:val="24"/>
      </w:pPr>
      <w:r>
        <w:t>4. 完善基础信息管理 建议严格按照档案管理的相关规定对基础数据信息档案资料及时归档保存，保证项目资料的完整性和可查阅性。</w:t>
      </w:r>
    </w:p>
    <w:p>
      <w:pPr>
        <w:pStyle w:val="24"/>
        <w:sectPr>
          <w:pgSz w:w="16840" w:h="11900" w:orient="landscape"/>
          <w:pgMar w:top="1361" w:right="1020" w:bottom="1361" w:left="1020" w:header="720" w:footer="720" w:gutter="0"/>
          <w:cols w:space="720" w:num="1"/>
        </w:sectPr>
      </w:pPr>
      <w:r>
        <w:t>5. 预算安排建议 人员经费方面：2023年基本支出决算数较预算数减少比例较大，主要原因为人员调动及退休，建议 2024年预算 根据 2024年实际发生人员经费支出、人员数量和工资标准 适当安排人员经费预算。 项目资金方面：2023 年项目1个。</w:t>
      </w:r>
    </w:p>
    <w:p>
      <w:pPr>
        <w:spacing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line="360" w:lineRule="auto"/>
        <w:ind w:firstLine="640"/>
        <w:outlineLvl w:val="2"/>
        <w:rPr>
          <w:rFonts w:hint="eastAsia" w:ascii="黑体" w:hAnsi="黑体" w:eastAsia="黑体" w:cs="黑体"/>
          <w:color w:val="000000"/>
          <w:sz w:val="32"/>
          <w:lang w:eastAsia="zh-CN"/>
        </w:rPr>
      </w:pPr>
      <w:bookmarkStart w:id="15" w:name="_Toc_3_3_0000000016"/>
      <w:r>
        <w:rPr>
          <w:rFonts w:ascii="黑体" w:hAnsi="黑体" w:eastAsia="黑体" w:cs="黑体"/>
          <w:color w:val="000000"/>
          <w:sz w:val="32"/>
        </w:rPr>
        <w:t>七、部门项目预算安排情况及绩效目标</w:t>
      </w:r>
      <w:bookmarkEnd w:id="15"/>
    </w:p>
    <w:p>
      <w:pPr>
        <w:spacing w:line="360" w:lineRule="auto"/>
        <w:ind w:firstLine="960" w:firstLineChars="30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我部门无项目。</w:t>
      </w: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0.93</w:t>
            </w:r>
          </w:p>
        </w:tc>
        <w:tc>
          <w:tcPr>
            <w:tcW w:w="964" w:type="dxa"/>
            <w:vAlign w:val="center"/>
          </w:tcPr>
          <w:p>
            <w:pPr>
              <w:pStyle w:val="16"/>
            </w:pPr>
            <w:r>
              <w:t>0.93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中共保定市徐水区委区直机关工作委员会本级小计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0.93</w:t>
            </w:r>
          </w:p>
        </w:tc>
        <w:tc>
          <w:tcPr>
            <w:tcW w:w="964" w:type="dxa"/>
            <w:vAlign w:val="center"/>
          </w:tcPr>
          <w:p>
            <w:pPr>
              <w:pStyle w:val="16"/>
            </w:pPr>
            <w:r>
              <w:t>0.93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5.23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5.23</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0.18</w:t>
            </w:r>
          </w:p>
        </w:tc>
        <w:tc>
          <w:tcPr>
            <w:tcW w:w="964" w:type="dxa"/>
            <w:vAlign w:val="center"/>
          </w:tcPr>
          <w:p>
            <w:pPr>
              <w:pStyle w:val="12"/>
            </w:pPr>
            <w:r>
              <w:t>0.18</w:t>
            </w:r>
          </w:p>
        </w:tc>
        <w:tc>
          <w:tcPr>
            <w:tcW w:w="964" w:type="dxa"/>
            <w:vAlign w:val="center"/>
          </w:tcPr>
          <w:p>
            <w:pPr>
              <w:pStyle w:val="12"/>
            </w:pPr>
            <w:r>
              <w:t>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5.23</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5.23</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5</w:t>
            </w:r>
          </w:p>
        </w:tc>
        <w:tc>
          <w:tcPr>
            <w:tcW w:w="850" w:type="dxa"/>
            <w:vAlign w:val="center"/>
          </w:tcPr>
          <w:p>
            <w:pPr>
              <w:pStyle w:val="12"/>
            </w:pPr>
            <w:r>
              <w:t>0.03</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中共保定市徐水区委区直机关工作委员会（含所属单位）上年末固定资产金额为29.21万元（详见下表）。本年度拟购置固定资产总额为0.58万元，已按要求列入政府采购预算，详见政府采购预算表。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286中共保定市徐水区委区直机关工作委员会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42</w:t>
            </w:r>
          </w:p>
        </w:tc>
        <w:tc>
          <w:tcPr>
            <w:tcW w:w="2835" w:type="dxa"/>
            <w:vAlign w:val="center"/>
          </w:tcPr>
          <w:p>
            <w:pPr>
              <w:pStyle w:val="12"/>
            </w:pPr>
            <w:r>
              <w:t>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eastAsia" w:eastAsiaTheme="minorEastAsia"/>
                <w:lang w:eastAsia="zh-CN"/>
              </w:rPr>
            </w:pPr>
            <w:r>
              <w:t>4</w:t>
            </w:r>
            <w:r>
              <w:rPr>
                <w:rFonts w:hint="eastAsia" w:eastAsiaTheme="minorEastAsia"/>
                <w:lang w:eastAsia="zh-CN"/>
              </w:rPr>
              <w:t>1</w:t>
            </w:r>
          </w:p>
        </w:tc>
        <w:tc>
          <w:tcPr>
            <w:tcW w:w="2835" w:type="dxa"/>
            <w:vAlign w:val="center"/>
          </w:tcPr>
          <w:p>
            <w:pPr>
              <w:pStyle w:val="12"/>
            </w:pPr>
            <w:r>
              <w:t>12.47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roman"/>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Arial Unicode MS"/>
    <w:panose1 w:val="00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WZiZjE4YmZlN2IyYjAxMmQ1OWU4ZjNjODBjZDYifQ=="/>
  </w:docVars>
  <w:rsids>
    <w:rsidRoot w:val="00C24040"/>
    <w:rsid w:val="00022178"/>
    <w:rsid w:val="001C6BF0"/>
    <w:rsid w:val="007E6708"/>
    <w:rsid w:val="009A3CDE"/>
    <w:rsid w:val="00B82A29"/>
    <w:rsid w:val="00C24040"/>
    <w:rsid w:val="00EF371B"/>
    <w:rsid w:val="00FE3DE4"/>
    <w:rsid w:val="120B3EBE"/>
    <w:rsid w:val="1FE60C53"/>
    <w:rsid w:val="22486A69"/>
    <w:rsid w:val="2412732E"/>
    <w:rsid w:val="24305D97"/>
    <w:rsid w:val="24D655E4"/>
    <w:rsid w:val="26E656FF"/>
    <w:rsid w:val="3B8A37F6"/>
    <w:rsid w:val="69717FA5"/>
    <w:rsid w:val="7CFC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2024-02-26T17:34:09Z</dcterms:created>
  <dcterms:modified xsi:type="dcterms:W3CDTF">2024-02-26T09:34:09Z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2024-02-26T17:34:09Z</dcterms:created>
  <dcterms:modified xsi:type="dcterms:W3CDTF">2024-02-26T09:34:09Z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2024-02-26T17:34:09Z</dcterms:created>
  <dcterms:modified xsi:type="dcterms:W3CDTF">2024-02-26T09:34:08Z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2024-02-26T17:34:09Z</dcterms:created>
  <dcterms:modified xsi:type="dcterms:W3CDTF">2024-02-26T09:34:09Z</dcterms:modified>
</cp:coreProperties>
</file>

<file path=customXml/itemProps1.xml><?xml version="1.0" encoding="utf-8"?>
<ds:datastoreItem xmlns:ds="http://schemas.openxmlformats.org/officeDocument/2006/customXml" ds:itemID="{5A7DD84B-D47F-4574-A613-F735A1B20732}">
  <ds:schemaRefs/>
</ds:datastoreItem>
</file>

<file path=customXml/itemProps2.xml><?xml version="1.0" encoding="utf-8"?>
<ds:datastoreItem xmlns:ds="http://schemas.openxmlformats.org/officeDocument/2006/customXml" ds:itemID="{AD8461F7-0A22-4177-AD9E-41935D4C2453}">
  <ds:schemaRefs/>
</ds:datastoreItem>
</file>

<file path=customXml/itemProps3.xml><?xml version="1.0" encoding="utf-8"?>
<ds:datastoreItem xmlns:ds="http://schemas.openxmlformats.org/officeDocument/2006/customXml" ds:itemID="{305B4DA3-F949-4449-8779-267EE29C7894}">
  <ds:schemaRefs/>
</ds:datastoreItem>
</file>

<file path=customXml/itemProps4.xml><?xml version="1.0" encoding="utf-8"?>
<ds:datastoreItem xmlns:ds="http://schemas.openxmlformats.org/officeDocument/2006/customXml" ds:itemID="{FE5BC3F2-120C-4D74-9433-824294A9483C}">
  <ds:schemaRefs/>
</ds:datastoreItem>
</file>

<file path=customXml/itemProps5.xml><?xml version="1.0" encoding="utf-8"?>
<ds:datastoreItem xmlns:ds="http://schemas.openxmlformats.org/officeDocument/2006/customXml" ds:itemID="{77883381-1833-4488-8560-9C3E5773A965}">
  <ds:schemaRefs/>
</ds:datastoreItem>
</file>

<file path=customXml/itemProps6.xml><?xml version="1.0" encoding="utf-8"?>
<ds:datastoreItem xmlns:ds="http://schemas.openxmlformats.org/officeDocument/2006/customXml" ds:itemID="{C9561429-7361-4809-8B8E-A339B66987B8}">
  <ds:schemaRefs/>
</ds:datastoreItem>
</file>

<file path=customXml/itemProps7.xml><?xml version="1.0" encoding="utf-8"?>
<ds:datastoreItem xmlns:ds="http://schemas.openxmlformats.org/officeDocument/2006/customXml" ds:itemID="{400CF97E-5C53-4EEB-B8F5-59B61B392C78}">
  <ds:schemaRefs/>
</ds:datastoreItem>
</file>

<file path=customXml/itemProps8.xml><?xml version="1.0" encoding="utf-8"?>
<ds:datastoreItem xmlns:ds="http://schemas.openxmlformats.org/officeDocument/2006/customXml" ds:itemID="{0834CC8C-92E4-42A2-B549-D9BF9380D620}">
  <ds:schemaRefs/>
</ds:datastoreItem>
</file>

<file path=docProps/app.xml><?xml version="1.0" encoding="utf-8"?>
<Properties xmlns="http://schemas.openxmlformats.org/officeDocument/2006/extended-properties" xmlns:vt="http://schemas.openxmlformats.org/officeDocument/2006/docPropsVTypes">
  <Template>Normal</Template>
  <Pages>26</Pages>
  <Words>6839</Words>
  <Characters>8136</Characters>
  <Lines>81</Lines>
  <Paragraphs>23</Paragraphs>
  <TotalTime>0</TotalTime>
  <ScaleCrop>false</ScaleCrop>
  <LinksUpToDate>false</LinksUpToDate>
  <CharactersWithSpaces>8470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2024-02-26T09:38:00Z</dcterms:created>
  <dc:creator>Lenovo</dc:creator>
  <cp:lastModifiedBy>XD</cp:lastModifiedBy>
  <cp:lastPrinted>2024-02-27T01:16:00Z</cp:lastPrinted>
  <dcterms:modified xsi:type="dcterms:W3CDTF">2024-04-09T07:07:23Z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3B77C455AA9C418696CC8AFA50EE0C15_12</vt:lpwstr>
  </property>
</Properties>
</file>