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bookmarkStart w:id="0" w:name="_Toc31549"/>
    </w:p>
    <w:p>
      <w:pPr>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bookmarkEnd w:id="0"/>
    </w:p>
    <w:sdt>
      <w:sdtPr>
        <w:rPr>
          <w:rFonts w:ascii="宋体" w:hAnsi="宋体" w:eastAsia="宋体" w:cs="Times New Roman"/>
          <w:sz w:val="21"/>
          <w:szCs w:val="24"/>
          <w:lang w:val="en-US" w:eastAsia="uk-UA" w:bidi="ar-SA"/>
        </w:rPr>
        <w:id w:val="147482416"/>
        <w15:color w:val="DBDBDB"/>
        <w:docPartObj>
          <w:docPartGallery w:val="Table of Contents"/>
          <w:docPartUnique/>
        </w:docPartObj>
      </w:sdtPr>
      <w:sdtEndPr>
        <w:rPr>
          <w:rFonts w:ascii="黑体" w:hAnsi="黑体" w:eastAsia="黑体" w:cs="黑体"/>
          <w:color w:val="000000"/>
          <w:sz w:val="24"/>
          <w:szCs w:val="24"/>
          <w:lang w:val="en-US" w:eastAsia="uk-UA" w:bidi="ar-SA"/>
        </w:rPr>
      </w:sdtEndPr>
      <w:sdtContent>
        <w:p>
          <w:pPr>
            <w:keepNext w:val="0"/>
            <w:keepLines w:val="0"/>
            <w:pageBreakBefore w:val="0"/>
            <w:widowControl/>
            <w:kinsoku/>
            <w:wordWrap/>
            <w:overflowPunct/>
            <w:topLinePunct w:val="0"/>
            <w:autoSpaceDE/>
            <w:autoSpaceDN/>
            <w:bidi w:val="0"/>
            <w:adjustRightInd/>
            <w:snapToGrid/>
            <w:textAlignment w:val="auto"/>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6"/>
            <w:keepNext w:val="0"/>
            <w:keepLines w:val="0"/>
            <w:pageBreakBefore w:val="0"/>
            <w:widowControl/>
            <w:tabs>
              <w:tab w:val="right" w:leader="dot" w:pos="14800"/>
            </w:tabs>
            <w:kinsoku/>
            <w:wordWrap/>
            <w:overflowPunct/>
            <w:topLinePunct w:val="0"/>
            <w:autoSpaceDE/>
            <w:autoSpaceDN/>
            <w:bidi w:val="0"/>
            <w:adjustRightInd/>
            <w:snapToGrid/>
            <w:textAlignment w:val="auto"/>
          </w:pPr>
          <w:r>
            <w:rPr>
              <w:rFonts w:ascii="黑体" w:hAnsi="黑体" w:eastAsia="黑体" w:cs="黑体"/>
              <w:b/>
              <w:color w:val="000000"/>
              <w:sz w:val="44"/>
            </w:rPr>
            <w:fldChar w:fldCharType="begin"/>
          </w:r>
          <w:r>
            <w:rPr>
              <w:rFonts w:ascii="黑体" w:hAnsi="黑体" w:eastAsia="黑体" w:cs="黑体"/>
              <w:b/>
              <w:color w:val="000000"/>
              <w:sz w:val="44"/>
            </w:rPr>
            <w:instrText xml:space="preserve">TOC \o "1-3" \h \u </w:instrText>
          </w:r>
          <w:r>
            <w:rPr>
              <w:rFonts w:ascii="黑体" w:hAnsi="黑体" w:eastAsia="黑体" w:cs="黑体"/>
              <w:b/>
              <w:color w:val="000000"/>
              <w:sz w:val="44"/>
            </w:rPr>
            <w:fldChar w:fldCharType="separate"/>
          </w:r>
        </w:p>
        <w:p>
          <w:pPr>
            <w:pStyle w:val="26"/>
            <w:keepNext w:val="0"/>
            <w:keepLines w:val="0"/>
            <w:pageBreakBefore w:val="0"/>
            <w:widowControl/>
            <w:tabs>
              <w:tab w:val="right" w:leader="dot" w:pos="14800"/>
            </w:tabs>
            <w:kinsoku/>
            <w:wordWrap/>
            <w:overflowPunct/>
            <w:topLinePunct w:val="0"/>
            <w:autoSpaceDE/>
            <w:autoSpaceDN/>
            <w:bidi w:val="0"/>
            <w:adjustRightInd/>
            <w:snapToGrid/>
            <w:spacing w:before="120" w:line="240" w:lineRule="atLeast"/>
            <w:ind w:firstLine="400" w:firstLineChars="200"/>
            <w:textAlignment w:val="auto"/>
          </w:pPr>
          <w:r>
            <w:rPr>
              <w:rFonts w:ascii="黑体" w:hAnsi="黑体" w:eastAsia="黑体" w:cs="黑体"/>
              <w:color w:val="000000"/>
            </w:rPr>
            <w:fldChar w:fldCharType="begin"/>
          </w:r>
          <w:r>
            <w:rPr>
              <w:rFonts w:ascii="黑体" w:hAnsi="黑体" w:eastAsia="黑体" w:cs="黑体"/>
            </w:rPr>
            <w:instrText xml:space="preserve"> HYPERLINK \l _Toc19689 </w:instrText>
          </w:r>
          <w:r>
            <w:rPr>
              <w:rFonts w:ascii="黑体" w:hAnsi="黑体" w:eastAsia="黑体" w:cs="黑体"/>
            </w:rPr>
            <w:fldChar w:fldCharType="separate"/>
          </w:r>
          <w:r>
            <w:rPr>
              <w:rFonts w:hint="eastAsia" w:ascii="方正仿宋_GBK" w:hAnsi="方正仿宋_GBK" w:eastAsia="方正仿宋_GBK" w:cs="方正仿宋_GBK"/>
              <w:sz w:val="28"/>
              <w:szCs w:val="28"/>
            </w:rPr>
            <w:t>单位预算收支总表</w:t>
          </w:r>
          <w:r>
            <w:tab/>
          </w:r>
          <w:r>
            <w:fldChar w:fldCharType="begin"/>
          </w:r>
          <w:r>
            <w:instrText xml:space="preserve"> PAGEREF _Toc19689 \h </w:instrText>
          </w:r>
          <w:r>
            <w:fldChar w:fldCharType="separate"/>
          </w:r>
          <w:r>
            <w:t>1</w:t>
          </w:r>
          <w:r>
            <w:fldChar w:fldCharType="end"/>
          </w:r>
          <w:r>
            <w:rPr>
              <w:rFonts w:ascii="黑体" w:hAnsi="黑体" w:eastAsia="黑体" w:cs="黑体"/>
              <w:color w:val="000000"/>
            </w:rPr>
            <w:fldChar w:fldCharType="end"/>
          </w:r>
        </w:p>
        <w:p>
          <w:pPr>
            <w:pStyle w:val="26"/>
            <w:keepNext w:val="0"/>
            <w:keepLines w:val="0"/>
            <w:pageBreakBefore w:val="0"/>
            <w:widowControl/>
            <w:tabs>
              <w:tab w:val="right" w:leader="dot" w:pos="14800"/>
            </w:tabs>
            <w:kinsoku/>
            <w:wordWrap/>
            <w:overflowPunct/>
            <w:topLinePunct w:val="0"/>
            <w:autoSpaceDE/>
            <w:autoSpaceDN/>
            <w:bidi w:val="0"/>
            <w:adjustRightInd/>
            <w:snapToGrid/>
            <w:spacing w:before="120" w:line="240" w:lineRule="atLeast"/>
            <w:ind w:firstLine="400" w:firstLineChars="200"/>
            <w:textAlignment w:val="auto"/>
          </w:pPr>
          <w:r>
            <w:rPr>
              <w:rFonts w:ascii="黑体" w:hAnsi="黑体" w:eastAsia="黑体" w:cs="黑体"/>
              <w:color w:val="000000"/>
            </w:rPr>
            <w:fldChar w:fldCharType="begin"/>
          </w:r>
          <w:r>
            <w:rPr>
              <w:rFonts w:ascii="黑体" w:hAnsi="黑体" w:eastAsia="黑体" w:cs="黑体"/>
            </w:rPr>
            <w:instrText xml:space="preserve"> HYPERLINK \l _Toc31099 </w:instrText>
          </w:r>
          <w:r>
            <w:rPr>
              <w:rFonts w:ascii="黑体" w:hAnsi="黑体" w:eastAsia="黑体" w:cs="黑体"/>
            </w:rPr>
            <w:fldChar w:fldCharType="separate"/>
          </w:r>
          <w:r>
            <w:rPr>
              <w:rFonts w:hint="eastAsia" w:ascii="方正仿宋_GBK" w:hAnsi="方正仿宋_GBK" w:eastAsia="方正仿宋_GBK" w:cs="方正仿宋_GBK"/>
              <w:sz w:val="28"/>
              <w:szCs w:val="28"/>
            </w:rPr>
            <w:t>单位预算收入总表</w:t>
          </w:r>
          <w:r>
            <w:tab/>
          </w:r>
          <w:r>
            <w:fldChar w:fldCharType="begin"/>
          </w:r>
          <w:r>
            <w:instrText xml:space="preserve"> PAGEREF _Toc31099 \h </w:instrText>
          </w:r>
          <w:r>
            <w:fldChar w:fldCharType="separate"/>
          </w:r>
          <w:r>
            <w:t>3</w:t>
          </w:r>
          <w:r>
            <w:fldChar w:fldCharType="end"/>
          </w:r>
          <w:r>
            <w:rPr>
              <w:rFonts w:ascii="黑体" w:hAnsi="黑体" w:eastAsia="黑体" w:cs="黑体"/>
              <w:color w:val="000000"/>
            </w:rPr>
            <w:fldChar w:fldCharType="end"/>
          </w:r>
        </w:p>
        <w:p>
          <w:pPr>
            <w:pStyle w:val="26"/>
            <w:keepNext w:val="0"/>
            <w:keepLines w:val="0"/>
            <w:pageBreakBefore w:val="0"/>
            <w:widowControl/>
            <w:tabs>
              <w:tab w:val="right" w:leader="dot" w:pos="14800"/>
            </w:tabs>
            <w:kinsoku/>
            <w:wordWrap/>
            <w:overflowPunct/>
            <w:topLinePunct w:val="0"/>
            <w:autoSpaceDE/>
            <w:autoSpaceDN/>
            <w:bidi w:val="0"/>
            <w:adjustRightInd/>
            <w:snapToGrid/>
            <w:spacing w:before="120" w:line="240" w:lineRule="atLeast"/>
            <w:ind w:firstLine="400" w:firstLineChars="200"/>
            <w:textAlignment w:val="auto"/>
          </w:pPr>
          <w:r>
            <w:rPr>
              <w:rFonts w:ascii="黑体" w:hAnsi="黑体" w:eastAsia="黑体" w:cs="黑体"/>
              <w:color w:val="000000"/>
            </w:rPr>
            <w:fldChar w:fldCharType="begin"/>
          </w:r>
          <w:r>
            <w:rPr>
              <w:rFonts w:ascii="黑体" w:hAnsi="黑体" w:eastAsia="黑体" w:cs="黑体"/>
            </w:rPr>
            <w:instrText xml:space="preserve"> HYPERLINK \l _Toc17654 </w:instrText>
          </w:r>
          <w:r>
            <w:rPr>
              <w:rFonts w:ascii="黑体" w:hAnsi="黑体" w:eastAsia="黑体" w:cs="黑体"/>
            </w:rPr>
            <w:fldChar w:fldCharType="separate"/>
          </w:r>
          <w:r>
            <w:rPr>
              <w:rFonts w:hint="eastAsia" w:ascii="方正仿宋_GBK" w:hAnsi="方正仿宋_GBK" w:eastAsia="方正仿宋_GBK" w:cs="方正仿宋_GBK"/>
              <w:sz w:val="28"/>
              <w:szCs w:val="28"/>
            </w:rPr>
            <w:t>单位预算支出总表</w:t>
          </w:r>
          <w:r>
            <w:tab/>
          </w:r>
          <w:r>
            <w:fldChar w:fldCharType="begin"/>
          </w:r>
          <w:r>
            <w:instrText xml:space="preserve"> PAGEREF _Toc17654 \h </w:instrText>
          </w:r>
          <w:r>
            <w:fldChar w:fldCharType="separate"/>
          </w:r>
          <w:r>
            <w:t>4</w:t>
          </w:r>
          <w:r>
            <w:fldChar w:fldCharType="end"/>
          </w:r>
          <w:r>
            <w:rPr>
              <w:rFonts w:ascii="黑体" w:hAnsi="黑体" w:eastAsia="黑体" w:cs="黑体"/>
              <w:color w:val="000000"/>
            </w:rPr>
            <w:fldChar w:fldCharType="end"/>
          </w:r>
        </w:p>
        <w:p>
          <w:pPr>
            <w:pStyle w:val="26"/>
            <w:keepNext w:val="0"/>
            <w:keepLines w:val="0"/>
            <w:pageBreakBefore w:val="0"/>
            <w:widowControl/>
            <w:tabs>
              <w:tab w:val="right" w:leader="dot" w:pos="14800"/>
            </w:tabs>
            <w:kinsoku/>
            <w:wordWrap/>
            <w:overflowPunct/>
            <w:topLinePunct w:val="0"/>
            <w:autoSpaceDE/>
            <w:autoSpaceDN/>
            <w:bidi w:val="0"/>
            <w:adjustRightInd/>
            <w:snapToGrid/>
            <w:spacing w:before="120" w:line="240" w:lineRule="atLeast"/>
            <w:ind w:firstLine="400" w:firstLineChars="200"/>
            <w:textAlignment w:val="auto"/>
          </w:pPr>
          <w:r>
            <w:rPr>
              <w:rFonts w:ascii="黑体" w:hAnsi="黑体" w:eastAsia="黑体" w:cs="黑体"/>
              <w:color w:val="000000"/>
            </w:rPr>
            <w:fldChar w:fldCharType="begin"/>
          </w:r>
          <w:r>
            <w:rPr>
              <w:rFonts w:ascii="黑体" w:hAnsi="黑体" w:eastAsia="黑体" w:cs="黑体"/>
            </w:rPr>
            <w:instrText xml:space="preserve"> HYPERLINK \l _Toc3359 </w:instrText>
          </w:r>
          <w:r>
            <w:rPr>
              <w:rFonts w:ascii="黑体" w:hAnsi="黑体" w:eastAsia="黑体" w:cs="黑体"/>
            </w:rPr>
            <w:fldChar w:fldCharType="separate"/>
          </w:r>
          <w:r>
            <w:rPr>
              <w:rFonts w:hint="eastAsia" w:ascii="方正仿宋_GBK" w:hAnsi="方正仿宋_GBK" w:eastAsia="方正仿宋_GBK" w:cs="方正仿宋_GBK"/>
              <w:sz w:val="28"/>
              <w:szCs w:val="28"/>
            </w:rPr>
            <w:t>单位预算财政拨款收支总表</w:t>
          </w:r>
          <w:r>
            <w:tab/>
          </w:r>
          <w:r>
            <w:fldChar w:fldCharType="begin"/>
          </w:r>
          <w:r>
            <w:instrText xml:space="preserve"> PAGEREF _Toc3359 \h </w:instrText>
          </w:r>
          <w:r>
            <w:fldChar w:fldCharType="separate"/>
          </w:r>
          <w:r>
            <w:t>5</w:t>
          </w:r>
          <w:r>
            <w:fldChar w:fldCharType="end"/>
          </w:r>
          <w:r>
            <w:rPr>
              <w:rFonts w:ascii="黑体" w:hAnsi="黑体" w:eastAsia="黑体" w:cs="黑体"/>
              <w:color w:val="000000"/>
            </w:rPr>
            <w:fldChar w:fldCharType="end"/>
          </w:r>
        </w:p>
        <w:p>
          <w:pPr>
            <w:pStyle w:val="26"/>
            <w:keepNext w:val="0"/>
            <w:keepLines w:val="0"/>
            <w:pageBreakBefore w:val="0"/>
            <w:widowControl/>
            <w:tabs>
              <w:tab w:val="right" w:leader="dot" w:pos="14800"/>
            </w:tabs>
            <w:kinsoku/>
            <w:wordWrap/>
            <w:overflowPunct/>
            <w:topLinePunct w:val="0"/>
            <w:autoSpaceDE/>
            <w:autoSpaceDN/>
            <w:bidi w:val="0"/>
            <w:adjustRightInd/>
            <w:snapToGrid/>
            <w:spacing w:before="120" w:line="240" w:lineRule="atLeast"/>
            <w:ind w:firstLine="400" w:firstLineChars="200"/>
            <w:textAlignment w:val="auto"/>
          </w:pPr>
          <w:r>
            <w:rPr>
              <w:rFonts w:ascii="黑体" w:hAnsi="黑体" w:eastAsia="黑体" w:cs="黑体"/>
              <w:color w:val="000000"/>
            </w:rPr>
            <w:fldChar w:fldCharType="begin"/>
          </w:r>
          <w:r>
            <w:rPr>
              <w:rFonts w:ascii="黑体" w:hAnsi="黑体" w:eastAsia="黑体" w:cs="黑体"/>
            </w:rPr>
            <w:instrText xml:space="preserve"> HYPERLINK \l _Toc6725 </w:instrText>
          </w:r>
          <w:r>
            <w:rPr>
              <w:rFonts w:ascii="黑体" w:hAnsi="黑体" w:eastAsia="黑体" w:cs="黑体"/>
            </w:rPr>
            <w:fldChar w:fldCharType="separate"/>
          </w:r>
          <w:r>
            <w:rPr>
              <w:rFonts w:hint="eastAsia" w:ascii="方正仿宋_GBK" w:hAnsi="方正仿宋_GBK" w:eastAsia="方正仿宋_GBK" w:cs="方正仿宋_GBK"/>
              <w:sz w:val="28"/>
              <w:szCs w:val="28"/>
            </w:rPr>
            <w:t>单位预算一般公共预算财政拨款支出表</w:t>
          </w:r>
          <w:r>
            <w:tab/>
          </w:r>
          <w:r>
            <w:fldChar w:fldCharType="begin"/>
          </w:r>
          <w:r>
            <w:instrText xml:space="preserve"> PAGEREF _Toc6725 \h </w:instrText>
          </w:r>
          <w:r>
            <w:fldChar w:fldCharType="separate"/>
          </w:r>
          <w:r>
            <w:t>8</w:t>
          </w:r>
          <w:r>
            <w:fldChar w:fldCharType="end"/>
          </w:r>
          <w:r>
            <w:rPr>
              <w:rFonts w:ascii="黑体" w:hAnsi="黑体" w:eastAsia="黑体" w:cs="黑体"/>
              <w:color w:val="000000"/>
            </w:rPr>
            <w:fldChar w:fldCharType="end"/>
          </w:r>
        </w:p>
        <w:p>
          <w:pPr>
            <w:pStyle w:val="26"/>
            <w:keepNext w:val="0"/>
            <w:keepLines w:val="0"/>
            <w:pageBreakBefore w:val="0"/>
            <w:widowControl/>
            <w:tabs>
              <w:tab w:val="right" w:leader="dot" w:pos="14800"/>
            </w:tabs>
            <w:kinsoku/>
            <w:wordWrap/>
            <w:overflowPunct/>
            <w:topLinePunct w:val="0"/>
            <w:autoSpaceDE/>
            <w:autoSpaceDN/>
            <w:bidi w:val="0"/>
            <w:adjustRightInd/>
            <w:snapToGrid/>
            <w:spacing w:before="120" w:line="240" w:lineRule="atLeast"/>
            <w:ind w:firstLine="400" w:firstLineChars="200"/>
            <w:textAlignment w:val="auto"/>
          </w:pPr>
          <w:r>
            <w:rPr>
              <w:rFonts w:ascii="黑体" w:hAnsi="黑体" w:eastAsia="黑体" w:cs="黑体"/>
              <w:color w:val="000000"/>
            </w:rPr>
            <w:fldChar w:fldCharType="begin"/>
          </w:r>
          <w:r>
            <w:rPr>
              <w:rFonts w:ascii="黑体" w:hAnsi="黑体" w:eastAsia="黑体" w:cs="黑体"/>
            </w:rPr>
            <w:instrText xml:space="preserve"> HYPERLINK \l _Toc20898 </w:instrText>
          </w:r>
          <w:r>
            <w:rPr>
              <w:rFonts w:ascii="黑体" w:hAnsi="黑体" w:eastAsia="黑体" w:cs="黑体"/>
            </w:rPr>
            <w:fldChar w:fldCharType="separate"/>
          </w:r>
          <w:r>
            <w:rPr>
              <w:rFonts w:hint="eastAsia" w:ascii="方正仿宋_GBK" w:hAnsi="方正仿宋_GBK" w:eastAsia="方正仿宋_GBK" w:cs="方正仿宋_GBK"/>
              <w:sz w:val="28"/>
              <w:szCs w:val="28"/>
            </w:rPr>
            <w:t>单位预算一般公共预算财政拨款基本支出表</w:t>
          </w:r>
          <w:r>
            <w:tab/>
          </w:r>
          <w:r>
            <w:fldChar w:fldCharType="begin"/>
          </w:r>
          <w:r>
            <w:instrText xml:space="preserve"> PAGEREF _Toc20898 \h </w:instrText>
          </w:r>
          <w:r>
            <w:fldChar w:fldCharType="separate"/>
          </w:r>
          <w:r>
            <w:t>9</w:t>
          </w:r>
          <w:r>
            <w:fldChar w:fldCharType="end"/>
          </w:r>
          <w:r>
            <w:rPr>
              <w:rFonts w:ascii="黑体" w:hAnsi="黑体" w:eastAsia="黑体" w:cs="黑体"/>
              <w:color w:val="000000"/>
            </w:rPr>
            <w:fldChar w:fldCharType="end"/>
          </w:r>
        </w:p>
        <w:p>
          <w:pPr>
            <w:pStyle w:val="26"/>
            <w:keepNext w:val="0"/>
            <w:keepLines w:val="0"/>
            <w:pageBreakBefore w:val="0"/>
            <w:widowControl/>
            <w:tabs>
              <w:tab w:val="right" w:leader="dot" w:pos="14800"/>
            </w:tabs>
            <w:kinsoku/>
            <w:wordWrap/>
            <w:overflowPunct/>
            <w:topLinePunct w:val="0"/>
            <w:autoSpaceDE/>
            <w:autoSpaceDN/>
            <w:bidi w:val="0"/>
            <w:adjustRightInd/>
            <w:snapToGrid/>
            <w:spacing w:before="120" w:line="240" w:lineRule="atLeast"/>
            <w:ind w:firstLine="400" w:firstLineChars="200"/>
            <w:textAlignment w:val="auto"/>
          </w:pPr>
          <w:r>
            <w:rPr>
              <w:rFonts w:ascii="黑体" w:hAnsi="黑体" w:eastAsia="黑体" w:cs="黑体"/>
              <w:color w:val="000000"/>
            </w:rPr>
            <w:fldChar w:fldCharType="begin"/>
          </w:r>
          <w:r>
            <w:rPr>
              <w:rFonts w:ascii="黑体" w:hAnsi="黑体" w:eastAsia="黑体" w:cs="黑体"/>
            </w:rPr>
            <w:instrText xml:space="preserve"> HYPERLINK \l _Toc8204 </w:instrText>
          </w:r>
          <w:r>
            <w:rPr>
              <w:rFonts w:ascii="黑体" w:hAnsi="黑体" w:eastAsia="黑体" w:cs="黑体"/>
            </w:rPr>
            <w:fldChar w:fldCharType="separate"/>
          </w:r>
          <w:r>
            <w:rPr>
              <w:rFonts w:hint="eastAsia" w:ascii="方正仿宋_GBK" w:hAnsi="方正仿宋_GBK" w:eastAsia="方正仿宋_GBK" w:cs="方正仿宋_GBK"/>
              <w:sz w:val="28"/>
              <w:szCs w:val="28"/>
            </w:rPr>
            <w:t>单位预算政府性基金预算财政拨款支出表</w:t>
          </w:r>
          <w:r>
            <w:tab/>
          </w:r>
          <w:r>
            <w:fldChar w:fldCharType="begin"/>
          </w:r>
          <w:r>
            <w:instrText xml:space="preserve"> PAGEREF _Toc8204 \h </w:instrText>
          </w:r>
          <w:r>
            <w:fldChar w:fldCharType="separate"/>
          </w:r>
          <w:r>
            <w:t>10</w:t>
          </w:r>
          <w:r>
            <w:fldChar w:fldCharType="end"/>
          </w:r>
          <w:r>
            <w:rPr>
              <w:rFonts w:ascii="黑体" w:hAnsi="黑体" w:eastAsia="黑体" w:cs="黑体"/>
              <w:color w:val="000000"/>
            </w:rPr>
            <w:fldChar w:fldCharType="end"/>
          </w:r>
        </w:p>
        <w:p>
          <w:pPr>
            <w:pStyle w:val="26"/>
            <w:keepNext w:val="0"/>
            <w:keepLines w:val="0"/>
            <w:pageBreakBefore w:val="0"/>
            <w:widowControl/>
            <w:tabs>
              <w:tab w:val="right" w:leader="dot" w:pos="14800"/>
            </w:tabs>
            <w:kinsoku/>
            <w:wordWrap/>
            <w:overflowPunct/>
            <w:topLinePunct w:val="0"/>
            <w:autoSpaceDE/>
            <w:autoSpaceDN/>
            <w:bidi w:val="0"/>
            <w:adjustRightInd/>
            <w:snapToGrid/>
            <w:spacing w:before="120" w:line="240" w:lineRule="atLeast"/>
            <w:ind w:firstLine="400" w:firstLineChars="200"/>
            <w:textAlignment w:val="auto"/>
          </w:pPr>
          <w:r>
            <w:rPr>
              <w:rFonts w:ascii="黑体" w:hAnsi="黑体" w:eastAsia="黑体" w:cs="黑体"/>
              <w:color w:val="000000"/>
            </w:rPr>
            <w:fldChar w:fldCharType="begin"/>
          </w:r>
          <w:r>
            <w:rPr>
              <w:rFonts w:ascii="黑体" w:hAnsi="黑体" w:eastAsia="黑体" w:cs="黑体"/>
            </w:rPr>
            <w:instrText xml:space="preserve"> HYPERLINK \l _Toc25722 </w:instrText>
          </w:r>
          <w:r>
            <w:rPr>
              <w:rFonts w:ascii="黑体" w:hAnsi="黑体" w:eastAsia="黑体" w:cs="黑体"/>
            </w:rPr>
            <w:fldChar w:fldCharType="separate"/>
          </w:r>
          <w:r>
            <w:rPr>
              <w:rFonts w:hint="eastAsia" w:ascii="方正仿宋_GBK" w:hAnsi="方正仿宋_GBK" w:eastAsia="方正仿宋_GBK" w:cs="方正仿宋_GBK"/>
              <w:sz w:val="28"/>
              <w:szCs w:val="28"/>
            </w:rPr>
            <w:t>单位预算国有资本经营预算财政拨款支出表</w:t>
          </w:r>
          <w:r>
            <w:tab/>
          </w:r>
          <w:r>
            <w:fldChar w:fldCharType="begin"/>
          </w:r>
          <w:r>
            <w:instrText xml:space="preserve"> PAGEREF _Toc25722 \h </w:instrText>
          </w:r>
          <w:r>
            <w:fldChar w:fldCharType="separate"/>
          </w:r>
          <w:r>
            <w:t>11</w:t>
          </w:r>
          <w:r>
            <w:fldChar w:fldCharType="end"/>
          </w:r>
          <w:r>
            <w:rPr>
              <w:rFonts w:ascii="黑体" w:hAnsi="黑体" w:eastAsia="黑体" w:cs="黑体"/>
              <w:color w:val="000000"/>
            </w:rPr>
            <w:fldChar w:fldCharType="end"/>
          </w:r>
        </w:p>
        <w:p>
          <w:pPr>
            <w:pStyle w:val="26"/>
            <w:keepNext w:val="0"/>
            <w:keepLines w:val="0"/>
            <w:pageBreakBefore w:val="0"/>
            <w:widowControl/>
            <w:tabs>
              <w:tab w:val="right" w:leader="dot" w:pos="14800"/>
            </w:tabs>
            <w:kinsoku/>
            <w:wordWrap/>
            <w:overflowPunct/>
            <w:topLinePunct w:val="0"/>
            <w:autoSpaceDE/>
            <w:autoSpaceDN/>
            <w:bidi w:val="0"/>
            <w:adjustRightInd/>
            <w:snapToGrid/>
            <w:spacing w:before="120" w:line="240" w:lineRule="atLeast"/>
            <w:ind w:firstLine="400" w:firstLineChars="200"/>
            <w:textAlignment w:val="auto"/>
          </w:pPr>
          <w:r>
            <w:rPr>
              <w:rFonts w:ascii="黑体" w:hAnsi="黑体" w:eastAsia="黑体" w:cs="黑体"/>
              <w:color w:val="000000"/>
            </w:rPr>
            <w:fldChar w:fldCharType="begin"/>
          </w:r>
          <w:r>
            <w:rPr>
              <w:rFonts w:ascii="黑体" w:hAnsi="黑体" w:eastAsia="黑体" w:cs="黑体"/>
            </w:rPr>
            <w:instrText xml:space="preserve"> HYPERLINK \l _Toc8350 </w:instrText>
          </w:r>
          <w:r>
            <w:rPr>
              <w:rFonts w:ascii="黑体" w:hAnsi="黑体" w:eastAsia="黑体" w:cs="黑体"/>
            </w:rPr>
            <w:fldChar w:fldCharType="separate"/>
          </w:r>
          <w:r>
            <w:rPr>
              <w:rFonts w:hint="eastAsia" w:ascii="方正仿宋_GBK" w:hAnsi="方正仿宋_GBK" w:eastAsia="方正仿宋_GBK" w:cs="方正仿宋_GBK"/>
              <w:sz w:val="28"/>
              <w:szCs w:val="28"/>
            </w:rPr>
            <w:t>单位预算财政拨款“三公”经费支出表</w:t>
          </w:r>
          <w:r>
            <w:tab/>
          </w:r>
          <w:r>
            <w:fldChar w:fldCharType="begin"/>
          </w:r>
          <w:r>
            <w:instrText xml:space="preserve"> PAGEREF _Toc8350 \h </w:instrText>
          </w:r>
          <w:r>
            <w:fldChar w:fldCharType="separate"/>
          </w:r>
          <w:r>
            <w:t>12</w:t>
          </w:r>
          <w:r>
            <w:fldChar w:fldCharType="end"/>
          </w:r>
          <w:r>
            <w:rPr>
              <w:rFonts w:ascii="黑体" w:hAnsi="黑体" w:eastAsia="黑体" w:cs="黑体"/>
              <w:color w:val="000000"/>
            </w:rPr>
            <w:fldChar w:fldCharType="end"/>
          </w:r>
        </w:p>
        <w:p>
          <w:pPr>
            <w:keepNext w:val="0"/>
            <w:keepLines w:val="0"/>
            <w:pageBreakBefore w:val="0"/>
            <w:widowControl/>
            <w:kinsoku/>
            <w:wordWrap/>
            <w:overflowPunct/>
            <w:topLinePunct w:val="0"/>
            <w:autoSpaceDE/>
            <w:autoSpaceDN/>
            <w:bidi w:val="0"/>
            <w:adjustRightInd/>
            <w:snapToGrid/>
            <w:textAlignment w:val="auto"/>
            <w:rPr>
              <w:rFonts w:ascii="方正楷体_GBK" w:hAnsi="方正楷体_GBK" w:eastAsia="方正楷体_GBK" w:cs="方正楷体_GBK"/>
              <w:b/>
              <w:color w:val="000000"/>
              <w:sz w:val="28"/>
            </w:rPr>
          </w:pPr>
        </w:p>
        <w:p>
          <w:pPr>
            <w:keepNext w:val="0"/>
            <w:keepLines w:val="0"/>
            <w:pageBreakBefore w:val="0"/>
            <w:widowControl/>
            <w:kinsoku/>
            <w:wordWrap/>
            <w:overflowPunct/>
            <w:topLinePunct w:val="0"/>
            <w:autoSpaceDE/>
            <w:autoSpaceDN/>
            <w:bidi w:val="0"/>
            <w:adjustRightInd/>
            <w:snapToGrid/>
            <w:textAlignment w:val="auto"/>
            <w:rPr>
              <w:rFonts w:ascii="黑体" w:hAnsi="黑体" w:eastAsia="黑体" w:cs="黑体"/>
              <w:color w:val="000000"/>
            </w:rPr>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bookmarkStart w:id="34" w:name="_GoBack"/>
          <w:bookmarkEnd w:id="34"/>
        </w:p>
        <w:p>
          <w:pPr>
            <w:pStyle w:val="26"/>
            <w:keepNext w:val="0"/>
            <w:keepLines w:val="0"/>
            <w:pageBreakBefore w:val="0"/>
            <w:widowControl/>
            <w:tabs>
              <w:tab w:val="right" w:leader="dot" w:pos="14800"/>
            </w:tabs>
            <w:kinsoku/>
            <w:wordWrap/>
            <w:overflowPunct/>
            <w:topLinePunct w:val="0"/>
            <w:autoSpaceDE/>
            <w:autoSpaceDN/>
            <w:bidi w:val="0"/>
            <w:adjustRightInd/>
            <w:snapToGrid/>
            <w:spacing w:before="120"/>
            <w:ind w:firstLine="400" w:firstLineChars="200"/>
            <w:textAlignment w:val="auto"/>
          </w:pPr>
          <w:r>
            <w:rPr>
              <w:rFonts w:ascii="黑体" w:hAnsi="黑体" w:eastAsia="黑体" w:cs="黑体"/>
              <w:color w:val="000000"/>
            </w:rPr>
            <w:fldChar w:fldCharType="begin"/>
          </w:r>
          <w:r>
            <w:rPr>
              <w:rFonts w:ascii="黑体" w:hAnsi="黑体" w:eastAsia="黑体" w:cs="黑体"/>
            </w:rPr>
            <w:instrText xml:space="preserve"> HYPERLINK \l _Toc18071 </w:instrText>
          </w:r>
          <w:r>
            <w:rPr>
              <w:rFonts w:ascii="黑体" w:hAnsi="黑体" w:eastAsia="黑体" w:cs="黑体"/>
            </w:rPr>
            <w:fldChar w:fldCharType="separate"/>
          </w:r>
          <w:r>
            <w:rPr>
              <w:rFonts w:ascii="Times New Roman" w:hAnsi="Times New Roman" w:eastAsia="方正仿宋_GBK" w:cs="Times New Roman"/>
              <w:color w:val="000000"/>
              <w:sz w:val="28"/>
              <w:szCs w:val="24"/>
              <w:lang w:val="en-US" w:eastAsia="uk-UA" w:bidi="ar-SA"/>
            </w:rPr>
            <w:t>一、单位职责及机构设置情况</w:t>
          </w:r>
          <w:r>
            <w:tab/>
          </w:r>
          <w:r>
            <w:fldChar w:fldCharType="begin"/>
          </w:r>
          <w:r>
            <w:instrText xml:space="preserve"> PAGEREF _Toc18071 \h </w:instrText>
          </w:r>
          <w:r>
            <w:fldChar w:fldCharType="separate"/>
          </w:r>
          <w:r>
            <w:t>13</w:t>
          </w:r>
          <w:r>
            <w:fldChar w:fldCharType="end"/>
          </w:r>
          <w:r>
            <w:rPr>
              <w:rFonts w:ascii="黑体" w:hAnsi="黑体" w:eastAsia="黑体" w:cs="黑体"/>
              <w:color w:val="000000"/>
            </w:rPr>
            <w:fldChar w:fldCharType="end"/>
          </w:r>
        </w:p>
        <w:p>
          <w:pPr>
            <w:pStyle w:val="26"/>
            <w:keepNext w:val="0"/>
            <w:keepLines w:val="0"/>
            <w:pageBreakBefore w:val="0"/>
            <w:widowControl/>
            <w:tabs>
              <w:tab w:val="right" w:leader="dot" w:pos="14800"/>
            </w:tabs>
            <w:kinsoku/>
            <w:wordWrap/>
            <w:overflowPunct/>
            <w:topLinePunct w:val="0"/>
            <w:autoSpaceDE/>
            <w:autoSpaceDN/>
            <w:bidi w:val="0"/>
            <w:adjustRightInd/>
            <w:snapToGrid/>
            <w:spacing w:before="120"/>
            <w:ind w:firstLine="400" w:firstLineChars="200"/>
            <w:textAlignment w:val="auto"/>
          </w:pPr>
          <w:r>
            <w:rPr>
              <w:rFonts w:ascii="黑体" w:hAnsi="黑体" w:eastAsia="黑体" w:cs="黑体"/>
              <w:color w:val="000000"/>
            </w:rPr>
            <w:fldChar w:fldCharType="begin"/>
          </w:r>
          <w:r>
            <w:rPr>
              <w:rFonts w:ascii="黑体" w:hAnsi="黑体" w:eastAsia="黑体" w:cs="黑体"/>
            </w:rPr>
            <w:instrText xml:space="preserve"> HYPERLINK \l _Toc5603 </w:instrText>
          </w:r>
          <w:r>
            <w:rPr>
              <w:rFonts w:ascii="黑体" w:hAnsi="黑体" w:eastAsia="黑体" w:cs="黑体"/>
            </w:rPr>
            <w:fldChar w:fldCharType="separate"/>
          </w:r>
          <w:r>
            <w:rPr>
              <w:rFonts w:ascii="Times New Roman" w:hAnsi="Times New Roman" w:eastAsia="方正仿宋_GBK" w:cs="Times New Roman"/>
              <w:color w:val="000000"/>
              <w:sz w:val="28"/>
              <w:szCs w:val="24"/>
              <w:lang w:val="en-US" w:eastAsia="uk-UA" w:bidi="ar-SA"/>
            </w:rPr>
            <w:t>二、单位预算安排的总体情况</w:t>
          </w:r>
          <w:r>
            <w:tab/>
          </w:r>
          <w:r>
            <w:fldChar w:fldCharType="begin"/>
          </w:r>
          <w:r>
            <w:instrText xml:space="preserve"> PAGEREF _Toc5603 \h </w:instrText>
          </w:r>
          <w:r>
            <w:fldChar w:fldCharType="separate"/>
          </w:r>
          <w:r>
            <w:t>14</w:t>
          </w:r>
          <w:r>
            <w:fldChar w:fldCharType="end"/>
          </w:r>
          <w:r>
            <w:rPr>
              <w:rFonts w:ascii="黑体" w:hAnsi="黑体" w:eastAsia="黑体" w:cs="黑体"/>
              <w:color w:val="000000"/>
            </w:rPr>
            <w:fldChar w:fldCharType="end"/>
          </w:r>
        </w:p>
        <w:p>
          <w:pPr>
            <w:pStyle w:val="26"/>
            <w:keepNext w:val="0"/>
            <w:keepLines w:val="0"/>
            <w:pageBreakBefore w:val="0"/>
            <w:widowControl/>
            <w:tabs>
              <w:tab w:val="right" w:leader="dot" w:pos="14800"/>
            </w:tabs>
            <w:kinsoku/>
            <w:wordWrap/>
            <w:overflowPunct/>
            <w:topLinePunct w:val="0"/>
            <w:autoSpaceDE/>
            <w:autoSpaceDN/>
            <w:bidi w:val="0"/>
            <w:adjustRightInd/>
            <w:snapToGrid/>
            <w:spacing w:before="120"/>
            <w:ind w:firstLine="400" w:firstLineChars="200"/>
            <w:textAlignment w:val="auto"/>
          </w:pPr>
          <w:r>
            <w:rPr>
              <w:rFonts w:ascii="黑体" w:hAnsi="黑体" w:eastAsia="黑体" w:cs="黑体"/>
              <w:color w:val="000000"/>
            </w:rPr>
            <w:fldChar w:fldCharType="begin"/>
          </w:r>
          <w:r>
            <w:rPr>
              <w:rFonts w:ascii="黑体" w:hAnsi="黑体" w:eastAsia="黑体" w:cs="黑体"/>
            </w:rPr>
            <w:instrText xml:space="preserve"> HYPERLINK \l _Toc8782 </w:instrText>
          </w:r>
          <w:r>
            <w:rPr>
              <w:rFonts w:ascii="黑体" w:hAnsi="黑体" w:eastAsia="黑体" w:cs="黑体"/>
            </w:rPr>
            <w:fldChar w:fldCharType="separate"/>
          </w:r>
          <w:r>
            <w:rPr>
              <w:rFonts w:ascii="Times New Roman" w:hAnsi="Times New Roman" w:eastAsia="方正仿宋_GBK" w:cs="Times New Roman"/>
              <w:color w:val="000000"/>
              <w:sz w:val="28"/>
              <w:szCs w:val="24"/>
              <w:lang w:val="en-US" w:eastAsia="uk-UA" w:bidi="ar-SA"/>
            </w:rPr>
            <w:t>三、机关运行经费安排情况</w:t>
          </w:r>
          <w:r>
            <w:tab/>
          </w:r>
          <w:r>
            <w:fldChar w:fldCharType="begin"/>
          </w:r>
          <w:r>
            <w:instrText xml:space="preserve"> PAGEREF _Toc8782 \h </w:instrText>
          </w:r>
          <w:r>
            <w:fldChar w:fldCharType="separate"/>
          </w:r>
          <w:r>
            <w:t>14</w:t>
          </w:r>
          <w:r>
            <w:fldChar w:fldCharType="end"/>
          </w:r>
          <w:r>
            <w:rPr>
              <w:rFonts w:ascii="黑体" w:hAnsi="黑体" w:eastAsia="黑体" w:cs="黑体"/>
              <w:color w:val="000000"/>
            </w:rPr>
            <w:fldChar w:fldCharType="end"/>
          </w:r>
        </w:p>
        <w:p>
          <w:pPr>
            <w:pStyle w:val="26"/>
            <w:keepNext w:val="0"/>
            <w:keepLines w:val="0"/>
            <w:pageBreakBefore w:val="0"/>
            <w:widowControl/>
            <w:tabs>
              <w:tab w:val="right" w:leader="dot" w:pos="14800"/>
            </w:tabs>
            <w:kinsoku/>
            <w:wordWrap/>
            <w:overflowPunct/>
            <w:topLinePunct w:val="0"/>
            <w:autoSpaceDE/>
            <w:autoSpaceDN/>
            <w:bidi w:val="0"/>
            <w:adjustRightInd/>
            <w:snapToGrid/>
            <w:spacing w:before="120"/>
            <w:ind w:firstLine="400" w:firstLineChars="200"/>
            <w:textAlignment w:val="auto"/>
          </w:pPr>
          <w:r>
            <w:rPr>
              <w:rFonts w:ascii="黑体" w:hAnsi="黑体" w:eastAsia="黑体" w:cs="黑体"/>
              <w:color w:val="000000"/>
            </w:rPr>
            <w:fldChar w:fldCharType="begin"/>
          </w:r>
          <w:r>
            <w:rPr>
              <w:rFonts w:ascii="黑体" w:hAnsi="黑体" w:eastAsia="黑体" w:cs="黑体"/>
            </w:rPr>
            <w:instrText xml:space="preserve"> HYPERLINK \l _Toc11028 </w:instrText>
          </w:r>
          <w:r>
            <w:rPr>
              <w:rFonts w:ascii="黑体" w:hAnsi="黑体" w:eastAsia="黑体" w:cs="黑体"/>
            </w:rPr>
            <w:fldChar w:fldCharType="separate"/>
          </w:r>
          <w:r>
            <w:rPr>
              <w:rFonts w:ascii="Times New Roman" w:hAnsi="Times New Roman" w:eastAsia="方正仿宋_GBK" w:cs="Times New Roman"/>
              <w:color w:val="000000"/>
              <w:sz w:val="28"/>
              <w:szCs w:val="24"/>
              <w:lang w:val="en-US" w:eastAsia="uk-UA" w:bidi="ar-SA"/>
            </w:rPr>
            <w:t>四、财政拨款“三公”经费预算情况及增减变化原因</w:t>
          </w:r>
          <w:r>
            <w:tab/>
          </w:r>
          <w:r>
            <w:fldChar w:fldCharType="begin"/>
          </w:r>
          <w:r>
            <w:instrText xml:space="preserve"> PAGEREF _Toc11028 \h </w:instrText>
          </w:r>
          <w:r>
            <w:fldChar w:fldCharType="separate"/>
          </w:r>
          <w:r>
            <w:t>15</w:t>
          </w:r>
          <w:r>
            <w:fldChar w:fldCharType="end"/>
          </w:r>
          <w:r>
            <w:rPr>
              <w:rFonts w:ascii="黑体" w:hAnsi="黑体" w:eastAsia="黑体" w:cs="黑体"/>
              <w:color w:val="000000"/>
            </w:rPr>
            <w:fldChar w:fldCharType="end"/>
          </w:r>
        </w:p>
        <w:p>
          <w:pPr>
            <w:pStyle w:val="26"/>
            <w:keepNext w:val="0"/>
            <w:keepLines w:val="0"/>
            <w:pageBreakBefore w:val="0"/>
            <w:widowControl/>
            <w:tabs>
              <w:tab w:val="right" w:leader="dot" w:pos="14800"/>
            </w:tabs>
            <w:kinsoku/>
            <w:wordWrap/>
            <w:overflowPunct/>
            <w:topLinePunct w:val="0"/>
            <w:autoSpaceDE/>
            <w:autoSpaceDN/>
            <w:bidi w:val="0"/>
            <w:adjustRightInd/>
            <w:snapToGrid/>
            <w:spacing w:before="120"/>
            <w:ind w:firstLine="400" w:firstLineChars="200"/>
            <w:textAlignment w:val="auto"/>
          </w:pPr>
          <w:r>
            <w:rPr>
              <w:rFonts w:ascii="黑体" w:hAnsi="黑体" w:eastAsia="黑体" w:cs="黑体"/>
              <w:color w:val="000000"/>
            </w:rPr>
            <w:fldChar w:fldCharType="begin"/>
          </w:r>
          <w:r>
            <w:rPr>
              <w:rFonts w:ascii="黑体" w:hAnsi="黑体" w:eastAsia="黑体" w:cs="黑体"/>
            </w:rPr>
            <w:instrText xml:space="preserve"> HYPERLINK \l _Toc7687 </w:instrText>
          </w:r>
          <w:r>
            <w:rPr>
              <w:rFonts w:ascii="黑体" w:hAnsi="黑体" w:eastAsia="黑体" w:cs="黑体"/>
            </w:rPr>
            <w:fldChar w:fldCharType="separate"/>
          </w:r>
          <w:r>
            <w:rPr>
              <w:rFonts w:ascii="Times New Roman" w:hAnsi="Times New Roman" w:eastAsia="方正仿宋_GBK" w:cs="Times New Roman"/>
              <w:color w:val="000000"/>
              <w:sz w:val="28"/>
              <w:szCs w:val="24"/>
              <w:lang w:val="en-US" w:eastAsia="uk-UA" w:bidi="ar-SA"/>
            </w:rPr>
            <w:t>五、单位项目预算安排情况及绩效目标</w:t>
          </w:r>
          <w:r>
            <w:tab/>
          </w:r>
          <w:r>
            <w:fldChar w:fldCharType="begin"/>
          </w:r>
          <w:r>
            <w:instrText xml:space="preserve"> PAGEREF _Toc7687 \h </w:instrText>
          </w:r>
          <w:r>
            <w:fldChar w:fldCharType="separate"/>
          </w:r>
          <w:r>
            <w:t>15</w:t>
          </w:r>
          <w:r>
            <w:fldChar w:fldCharType="end"/>
          </w:r>
          <w:r>
            <w:rPr>
              <w:rFonts w:ascii="黑体" w:hAnsi="黑体" w:eastAsia="黑体" w:cs="黑体"/>
              <w:color w:val="000000"/>
            </w:rPr>
            <w:fldChar w:fldCharType="end"/>
          </w:r>
        </w:p>
        <w:p>
          <w:pPr>
            <w:pStyle w:val="26"/>
            <w:keepNext w:val="0"/>
            <w:keepLines w:val="0"/>
            <w:pageBreakBefore w:val="0"/>
            <w:widowControl/>
            <w:tabs>
              <w:tab w:val="right" w:leader="dot" w:pos="14800"/>
            </w:tabs>
            <w:kinsoku/>
            <w:wordWrap/>
            <w:overflowPunct/>
            <w:topLinePunct w:val="0"/>
            <w:autoSpaceDE/>
            <w:autoSpaceDN/>
            <w:bidi w:val="0"/>
            <w:adjustRightInd/>
            <w:snapToGrid/>
            <w:spacing w:before="120"/>
            <w:ind w:firstLine="400" w:firstLineChars="200"/>
            <w:textAlignment w:val="auto"/>
          </w:pPr>
          <w:r>
            <w:rPr>
              <w:rFonts w:ascii="黑体" w:hAnsi="黑体" w:eastAsia="黑体" w:cs="黑体"/>
              <w:color w:val="000000"/>
            </w:rPr>
            <w:fldChar w:fldCharType="begin"/>
          </w:r>
          <w:r>
            <w:rPr>
              <w:rFonts w:ascii="黑体" w:hAnsi="黑体" w:eastAsia="黑体" w:cs="黑体"/>
            </w:rPr>
            <w:instrText xml:space="preserve"> HYPERLINK \l _Toc26921 </w:instrText>
          </w:r>
          <w:r>
            <w:rPr>
              <w:rFonts w:ascii="黑体" w:hAnsi="黑体" w:eastAsia="黑体" w:cs="黑体"/>
            </w:rPr>
            <w:fldChar w:fldCharType="separate"/>
          </w:r>
          <w:r>
            <w:rPr>
              <w:rFonts w:ascii="Times New Roman" w:hAnsi="Times New Roman" w:eastAsia="方正仿宋_GBK" w:cs="Times New Roman"/>
              <w:color w:val="000000"/>
              <w:sz w:val="28"/>
              <w:szCs w:val="24"/>
              <w:lang w:val="en-US" w:eastAsia="uk-UA" w:bidi="ar-SA"/>
            </w:rPr>
            <w:t>六、政府采购预算情况</w:t>
          </w:r>
          <w:r>
            <w:tab/>
          </w:r>
          <w:r>
            <w:fldChar w:fldCharType="begin"/>
          </w:r>
          <w:r>
            <w:instrText xml:space="preserve"> PAGEREF _Toc26921 \h </w:instrText>
          </w:r>
          <w:r>
            <w:fldChar w:fldCharType="separate"/>
          </w:r>
          <w:r>
            <w:t>29</w:t>
          </w:r>
          <w:r>
            <w:fldChar w:fldCharType="end"/>
          </w:r>
          <w:r>
            <w:rPr>
              <w:rFonts w:ascii="黑体" w:hAnsi="黑体" w:eastAsia="黑体" w:cs="黑体"/>
              <w:color w:val="000000"/>
            </w:rPr>
            <w:fldChar w:fldCharType="end"/>
          </w:r>
        </w:p>
        <w:p>
          <w:pPr>
            <w:pStyle w:val="26"/>
            <w:keepNext w:val="0"/>
            <w:keepLines w:val="0"/>
            <w:pageBreakBefore w:val="0"/>
            <w:widowControl/>
            <w:tabs>
              <w:tab w:val="right" w:leader="dot" w:pos="14800"/>
            </w:tabs>
            <w:kinsoku/>
            <w:wordWrap/>
            <w:overflowPunct/>
            <w:topLinePunct w:val="0"/>
            <w:autoSpaceDE/>
            <w:autoSpaceDN/>
            <w:bidi w:val="0"/>
            <w:adjustRightInd/>
            <w:snapToGrid/>
            <w:spacing w:before="120"/>
            <w:ind w:firstLine="400" w:firstLineChars="200"/>
            <w:textAlignment w:val="auto"/>
          </w:pPr>
          <w:r>
            <w:rPr>
              <w:rFonts w:ascii="黑体" w:hAnsi="黑体" w:eastAsia="黑体" w:cs="黑体"/>
              <w:color w:val="000000"/>
            </w:rPr>
            <w:fldChar w:fldCharType="begin"/>
          </w:r>
          <w:r>
            <w:rPr>
              <w:rFonts w:ascii="黑体" w:hAnsi="黑体" w:eastAsia="黑体" w:cs="黑体"/>
            </w:rPr>
            <w:instrText xml:space="preserve"> HYPERLINK \l _Toc20223 </w:instrText>
          </w:r>
          <w:r>
            <w:rPr>
              <w:rFonts w:ascii="黑体" w:hAnsi="黑体" w:eastAsia="黑体" w:cs="黑体"/>
            </w:rPr>
            <w:fldChar w:fldCharType="separate"/>
          </w:r>
          <w:r>
            <w:rPr>
              <w:rFonts w:ascii="Times New Roman" w:hAnsi="Times New Roman" w:eastAsia="方正仿宋_GBK" w:cs="Times New Roman"/>
              <w:color w:val="000000"/>
              <w:sz w:val="28"/>
              <w:szCs w:val="24"/>
              <w:lang w:val="en-US" w:eastAsia="uk-UA" w:bidi="ar-SA"/>
            </w:rPr>
            <w:t>七、国有资产信息</w:t>
          </w:r>
          <w:r>
            <w:tab/>
          </w:r>
          <w:r>
            <w:fldChar w:fldCharType="begin"/>
          </w:r>
          <w:r>
            <w:instrText xml:space="preserve"> PAGEREF _Toc20223 \h </w:instrText>
          </w:r>
          <w:r>
            <w:fldChar w:fldCharType="separate"/>
          </w:r>
          <w:r>
            <w:t>29</w:t>
          </w:r>
          <w:r>
            <w:fldChar w:fldCharType="end"/>
          </w:r>
          <w:r>
            <w:rPr>
              <w:rFonts w:ascii="黑体" w:hAnsi="黑体" w:eastAsia="黑体" w:cs="黑体"/>
              <w:color w:val="000000"/>
            </w:rPr>
            <w:fldChar w:fldCharType="end"/>
          </w:r>
        </w:p>
        <w:p>
          <w:pPr>
            <w:pStyle w:val="26"/>
            <w:keepNext w:val="0"/>
            <w:keepLines w:val="0"/>
            <w:pageBreakBefore w:val="0"/>
            <w:widowControl/>
            <w:tabs>
              <w:tab w:val="right" w:leader="dot" w:pos="14800"/>
            </w:tabs>
            <w:kinsoku/>
            <w:wordWrap/>
            <w:overflowPunct/>
            <w:topLinePunct w:val="0"/>
            <w:autoSpaceDE/>
            <w:autoSpaceDN/>
            <w:bidi w:val="0"/>
            <w:adjustRightInd/>
            <w:snapToGrid/>
            <w:spacing w:before="120"/>
            <w:ind w:firstLine="400" w:firstLineChars="200"/>
            <w:textAlignment w:val="auto"/>
          </w:pPr>
          <w:r>
            <w:rPr>
              <w:rFonts w:ascii="黑体" w:hAnsi="黑体" w:eastAsia="黑体" w:cs="黑体"/>
              <w:color w:val="000000"/>
            </w:rPr>
            <w:fldChar w:fldCharType="begin"/>
          </w:r>
          <w:r>
            <w:rPr>
              <w:rFonts w:ascii="黑体" w:hAnsi="黑体" w:eastAsia="黑体" w:cs="黑体"/>
            </w:rPr>
            <w:instrText xml:space="preserve"> HYPERLINK \l _Toc13269 </w:instrText>
          </w:r>
          <w:r>
            <w:rPr>
              <w:rFonts w:ascii="黑体" w:hAnsi="黑体" w:eastAsia="黑体" w:cs="黑体"/>
            </w:rPr>
            <w:fldChar w:fldCharType="separate"/>
          </w:r>
          <w:r>
            <w:rPr>
              <w:rFonts w:ascii="Times New Roman" w:hAnsi="Times New Roman" w:eastAsia="方正仿宋_GBK" w:cs="Times New Roman"/>
              <w:color w:val="000000"/>
              <w:sz w:val="28"/>
              <w:szCs w:val="24"/>
              <w:lang w:val="en-US" w:eastAsia="uk-UA" w:bidi="ar-SA"/>
            </w:rPr>
            <w:t>八、名词解释</w:t>
          </w:r>
          <w:r>
            <w:tab/>
          </w:r>
          <w:r>
            <w:fldChar w:fldCharType="begin"/>
          </w:r>
          <w:r>
            <w:instrText xml:space="preserve"> PAGEREF _Toc13269 \h </w:instrText>
          </w:r>
          <w:r>
            <w:fldChar w:fldCharType="separate"/>
          </w:r>
          <w:r>
            <w:t>29</w:t>
          </w:r>
          <w:r>
            <w:fldChar w:fldCharType="end"/>
          </w:r>
          <w:r>
            <w:rPr>
              <w:rFonts w:ascii="黑体" w:hAnsi="黑体" w:eastAsia="黑体" w:cs="黑体"/>
              <w:color w:val="000000"/>
            </w:rPr>
            <w:fldChar w:fldCharType="end"/>
          </w:r>
        </w:p>
        <w:p>
          <w:pPr>
            <w:pStyle w:val="26"/>
            <w:keepNext w:val="0"/>
            <w:keepLines w:val="0"/>
            <w:pageBreakBefore w:val="0"/>
            <w:widowControl/>
            <w:tabs>
              <w:tab w:val="right" w:leader="dot" w:pos="14800"/>
            </w:tabs>
            <w:kinsoku/>
            <w:wordWrap/>
            <w:overflowPunct/>
            <w:topLinePunct w:val="0"/>
            <w:autoSpaceDE/>
            <w:autoSpaceDN/>
            <w:bidi w:val="0"/>
            <w:adjustRightInd/>
            <w:snapToGrid/>
            <w:spacing w:before="120"/>
            <w:ind w:firstLine="400" w:firstLineChars="200"/>
            <w:textAlignment w:val="auto"/>
          </w:pPr>
          <w:r>
            <w:rPr>
              <w:rFonts w:ascii="黑体" w:hAnsi="黑体" w:eastAsia="黑体" w:cs="黑体"/>
              <w:color w:val="000000"/>
            </w:rPr>
            <w:fldChar w:fldCharType="begin"/>
          </w:r>
          <w:r>
            <w:rPr>
              <w:rFonts w:ascii="黑体" w:hAnsi="黑体" w:eastAsia="黑体" w:cs="黑体"/>
            </w:rPr>
            <w:instrText xml:space="preserve"> HYPERLINK \l _Toc13863 </w:instrText>
          </w:r>
          <w:r>
            <w:rPr>
              <w:rFonts w:ascii="黑体" w:hAnsi="黑体" w:eastAsia="黑体" w:cs="黑体"/>
            </w:rPr>
            <w:fldChar w:fldCharType="separate"/>
          </w:r>
          <w:r>
            <w:rPr>
              <w:rFonts w:ascii="Times New Roman" w:hAnsi="Times New Roman" w:eastAsia="方正仿宋_GBK" w:cs="Times New Roman"/>
              <w:color w:val="000000"/>
              <w:sz w:val="28"/>
              <w:szCs w:val="24"/>
              <w:lang w:val="en-US" w:eastAsia="uk-UA" w:bidi="ar-SA"/>
            </w:rPr>
            <w:t>九、其他需要说明的事项</w:t>
          </w:r>
          <w:r>
            <w:tab/>
          </w:r>
          <w:r>
            <w:fldChar w:fldCharType="begin"/>
          </w:r>
          <w:r>
            <w:instrText xml:space="preserve"> PAGEREF _Toc13863 \h </w:instrText>
          </w:r>
          <w:r>
            <w:fldChar w:fldCharType="separate"/>
          </w:r>
          <w:r>
            <w:t>31</w:t>
          </w:r>
          <w:r>
            <w:fldChar w:fldCharType="end"/>
          </w:r>
          <w:r>
            <w:rPr>
              <w:rFonts w:ascii="黑体" w:hAnsi="黑体" w:eastAsia="黑体" w:cs="黑体"/>
              <w:color w:val="000000"/>
            </w:rPr>
            <w:fldChar w:fldCharType="end"/>
          </w:r>
        </w:p>
        <w:p>
          <w:pPr>
            <w:keepNext w:val="0"/>
            <w:keepLines w:val="0"/>
            <w:pageBreakBefore w:val="0"/>
            <w:widowControl/>
            <w:kinsoku/>
            <w:wordWrap/>
            <w:overflowPunct/>
            <w:topLinePunct w:val="0"/>
            <w:autoSpaceDE/>
            <w:autoSpaceDN/>
            <w:bidi w:val="0"/>
            <w:adjustRightInd/>
            <w:snapToGrid/>
            <w:jc w:val="center"/>
            <w:textAlignment w:val="auto"/>
            <w:outlineLvl w:val="9"/>
            <w:rPr>
              <w:rFonts w:ascii="黑体" w:hAnsi="黑体" w:eastAsia="黑体" w:cs="黑体"/>
              <w:b/>
              <w:color w:val="000000"/>
              <w:sz w:val="44"/>
            </w:rPr>
            <w:sectPr>
              <w:pgSz w:w="16840" w:h="11900" w:orient="landscape"/>
              <w:pgMar w:top="1361" w:right="1020" w:bottom="1134" w:left="1020" w:header="720" w:footer="720" w:gutter="0"/>
              <w:pgNumType w:start="1"/>
              <w:cols w:space="720" w:num="1"/>
            </w:sectPr>
          </w:pPr>
          <w:r>
            <w:rPr>
              <w:rFonts w:ascii="黑体" w:hAnsi="黑体" w:eastAsia="黑体" w:cs="黑体"/>
              <w:color w:val="000000"/>
            </w:rPr>
            <w:fldChar w:fldCharType="end"/>
          </w:r>
        </w:p>
      </w:sdtContent>
    </w:sdt>
    <w:p>
      <w:pPr>
        <w:outlineLvl w:val="9"/>
        <w:rPr>
          <w:lang w:val="uk-UA"/>
        </w:rPr>
      </w:pPr>
    </w:p>
    <w:p>
      <w:pPr>
        <w:jc w:val="center"/>
        <w:outlineLvl w:val="0"/>
      </w:pPr>
      <w:bookmarkStart w:id="1" w:name="_Toc19689"/>
      <w:r>
        <w:rPr>
          <w:rFonts w:ascii="方正小标宋_GBK" w:hAnsi="方正小标宋_GBK" w:eastAsia="方正小标宋_GBK" w:cs="方正小标宋_GBK"/>
          <w:color w:val="000000"/>
          <w:sz w:val="36"/>
        </w:rPr>
        <w:t>单位预算收支总表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807001保定市徐水区消防救援大队本级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1351.28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1351.28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1351.28</w:t>
            </w:r>
          </w:p>
        </w:tc>
        <w:tc>
          <w:tcPr>
            <w:tcW w:w="4535" w:type="dxa"/>
            <w:vAlign w:val="center"/>
          </w:tcPr>
          <w:p>
            <w:pPr>
              <w:pStyle w:val="16"/>
            </w:pPr>
            <w:r>
              <w:t>本年支出合计</w:t>
            </w:r>
          </w:p>
        </w:tc>
        <w:tc>
          <w:tcPr>
            <w:tcW w:w="2126" w:type="dxa"/>
            <w:vAlign w:val="center"/>
          </w:tcPr>
          <w:p>
            <w:pPr>
              <w:pStyle w:val="17"/>
            </w:pPr>
            <w:r>
              <w:t>1351.28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1351.28</w:t>
            </w:r>
          </w:p>
        </w:tc>
        <w:tc>
          <w:tcPr>
            <w:tcW w:w="4535" w:type="dxa"/>
            <w:vAlign w:val="center"/>
          </w:tcPr>
          <w:p>
            <w:pPr>
              <w:pStyle w:val="16"/>
            </w:pPr>
            <w:r>
              <w:t>支出总计</w:t>
            </w:r>
          </w:p>
        </w:tc>
        <w:tc>
          <w:tcPr>
            <w:tcW w:w="2126" w:type="dxa"/>
            <w:vAlign w:val="center"/>
          </w:tcPr>
          <w:p>
            <w:pPr>
              <w:pStyle w:val="17"/>
            </w:pPr>
            <w:r>
              <w:t>1351.28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0"/>
      </w:pPr>
      <w:bookmarkStart w:id="2" w:name="_Toc31099"/>
      <w:r>
        <w:rPr>
          <w:rFonts w:ascii="方正小标宋_GBK" w:hAnsi="方正小标宋_GBK" w:eastAsia="方正小标宋_GBK" w:cs="方正小标宋_GBK"/>
          <w:color w:val="000000"/>
          <w:sz w:val="36"/>
        </w:rPr>
        <w:t>单位预算收入总表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807001保定市徐水区消防救援大队本级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1351.28</w:t>
            </w:r>
          </w:p>
        </w:tc>
        <w:tc>
          <w:tcPr>
            <w:tcW w:w="1134" w:type="dxa"/>
            <w:vAlign w:val="center"/>
          </w:tcPr>
          <w:p>
            <w:pPr>
              <w:pStyle w:val="17"/>
            </w:pPr>
            <w:r>
              <w:t>1351.28</w:t>
            </w:r>
          </w:p>
        </w:tc>
        <w:tc>
          <w:tcPr>
            <w:tcW w:w="1134" w:type="dxa"/>
            <w:vAlign w:val="center"/>
          </w:tcPr>
          <w:p>
            <w:pPr>
              <w:pStyle w:val="17"/>
            </w:pPr>
            <w:r>
              <w:t>1351.28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1351.28</w:t>
            </w:r>
          </w:p>
        </w:tc>
        <w:tc>
          <w:tcPr>
            <w:tcW w:w="1134" w:type="dxa"/>
            <w:vAlign w:val="center"/>
          </w:tcPr>
          <w:p>
            <w:pPr>
              <w:pStyle w:val="13"/>
            </w:pPr>
            <w:r>
              <w:t>1351.28</w:t>
            </w:r>
          </w:p>
        </w:tc>
        <w:tc>
          <w:tcPr>
            <w:tcW w:w="1134" w:type="dxa"/>
            <w:vAlign w:val="center"/>
          </w:tcPr>
          <w:p>
            <w:pPr>
              <w:pStyle w:val="13"/>
            </w:pPr>
            <w:r>
              <w:t>1351.28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666.21</w:t>
            </w:r>
          </w:p>
        </w:tc>
        <w:tc>
          <w:tcPr>
            <w:tcW w:w="1134" w:type="dxa"/>
            <w:vAlign w:val="center"/>
          </w:tcPr>
          <w:p>
            <w:pPr>
              <w:pStyle w:val="13"/>
            </w:pPr>
            <w:r>
              <w:t>666.21</w:t>
            </w:r>
          </w:p>
        </w:tc>
        <w:tc>
          <w:tcPr>
            <w:tcW w:w="1134" w:type="dxa"/>
            <w:vAlign w:val="center"/>
          </w:tcPr>
          <w:p>
            <w:pPr>
              <w:pStyle w:val="13"/>
            </w:pPr>
            <w:r>
              <w:t>666.21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2240101</w:t>
            </w:r>
          </w:p>
        </w:tc>
        <w:tc>
          <w:tcPr>
            <w:tcW w:w="1559" w:type="dxa"/>
            <w:vAlign w:val="center"/>
          </w:tcPr>
          <w:p>
            <w:pPr>
              <w:pStyle w:val="14"/>
            </w:pPr>
            <w:r>
              <w:t>行政运行</w:t>
            </w:r>
          </w:p>
        </w:tc>
        <w:tc>
          <w:tcPr>
            <w:tcW w:w="1134" w:type="dxa"/>
            <w:vAlign w:val="center"/>
          </w:tcPr>
          <w:p>
            <w:pPr>
              <w:pStyle w:val="13"/>
            </w:pPr>
            <w:r>
              <w:t>666.21</w:t>
            </w:r>
          </w:p>
        </w:tc>
        <w:tc>
          <w:tcPr>
            <w:tcW w:w="1134" w:type="dxa"/>
            <w:vAlign w:val="center"/>
          </w:tcPr>
          <w:p>
            <w:pPr>
              <w:pStyle w:val="13"/>
            </w:pPr>
            <w:r>
              <w:t>666.21</w:t>
            </w:r>
          </w:p>
        </w:tc>
        <w:tc>
          <w:tcPr>
            <w:tcW w:w="1134" w:type="dxa"/>
            <w:vAlign w:val="center"/>
          </w:tcPr>
          <w:p>
            <w:pPr>
              <w:pStyle w:val="13"/>
            </w:pPr>
            <w:r>
              <w:t>666.21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22402</w:t>
            </w:r>
          </w:p>
        </w:tc>
        <w:tc>
          <w:tcPr>
            <w:tcW w:w="1559" w:type="dxa"/>
            <w:vAlign w:val="center"/>
          </w:tcPr>
          <w:p>
            <w:pPr>
              <w:pStyle w:val="14"/>
            </w:pPr>
            <w:r>
              <w:t>消防救援事务</w:t>
            </w:r>
          </w:p>
        </w:tc>
        <w:tc>
          <w:tcPr>
            <w:tcW w:w="1134" w:type="dxa"/>
            <w:vAlign w:val="center"/>
          </w:tcPr>
          <w:p>
            <w:pPr>
              <w:pStyle w:val="13"/>
            </w:pPr>
            <w:r>
              <w:t>685.07</w:t>
            </w:r>
          </w:p>
        </w:tc>
        <w:tc>
          <w:tcPr>
            <w:tcW w:w="1134" w:type="dxa"/>
            <w:vAlign w:val="center"/>
          </w:tcPr>
          <w:p>
            <w:pPr>
              <w:pStyle w:val="13"/>
            </w:pPr>
            <w:r>
              <w:t>685.07</w:t>
            </w:r>
          </w:p>
        </w:tc>
        <w:tc>
          <w:tcPr>
            <w:tcW w:w="1134" w:type="dxa"/>
            <w:vAlign w:val="center"/>
          </w:tcPr>
          <w:p>
            <w:pPr>
              <w:pStyle w:val="13"/>
            </w:pPr>
            <w:r>
              <w:t>685.07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2240201</w:t>
            </w:r>
          </w:p>
        </w:tc>
        <w:tc>
          <w:tcPr>
            <w:tcW w:w="1559" w:type="dxa"/>
            <w:vAlign w:val="center"/>
          </w:tcPr>
          <w:p>
            <w:pPr>
              <w:pStyle w:val="14"/>
            </w:pPr>
            <w:r>
              <w:t>行政运行</w:t>
            </w:r>
          </w:p>
        </w:tc>
        <w:tc>
          <w:tcPr>
            <w:tcW w:w="1134" w:type="dxa"/>
            <w:vAlign w:val="center"/>
          </w:tcPr>
          <w:p>
            <w:pPr>
              <w:pStyle w:val="13"/>
            </w:pPr>
            <w:r>
              <w:t>685.07</w:t>
            </w:r>
          </w:p>
        </w:tc>
        <w:tc>
          <w:tcPr>
            <w:tcW w:w="1134" w:type="dxa"/>
            <w:vAlign w:val="center"/>
          </w:tcPr>
          <w:p>
            <w:pPr>
              <w:pStyle w:val="13"/>
            </w:pPr>
            <w:r>
              <w:t>685.07</w:t>
            </w:r>
          </w:p>
        </w:tc>
        <w:tc>
          <w:tcPr>
            <w:tcW w:w="1134" w:type="dxa"/>
            <w:vAlign w:val="center"/>
          </w:tcPr>
          <w:p>
            <w:pPr>
              <w:pStyle w:val="13"/>
            </w:pPr>
            <w:r>
              <w:t>685.07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0"/>
      </w:pPr>
      <w:bookmarkStart w:id="3" w:name="_Toc17654"/>
      <w:r>
        <w:rPr>
          <w:rFonts w:ascii="方正小标宋_GBK" w:hAnsi="方正小标宋_GBK" w:eastAsia="方正小标宋_GBK" w:cs="方正小标宋_GBK"/>
          <w:color w:val="000000"/>
          <w:sz w:val="36"/>
        </w:rPr>
        <w:t>单位预算支出总表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807001保定市徐水区消防救援大队本级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1351.28</w:t>
            </w:r>
          </w:p>
        </w:tc>
        <w:tc>
          <w:tcPr>
            <w:tcW w:w="1361" w:type="dxa"/>
            <w:vAlign w:val="center"/>
          </w:tcPr>
          <w:p>
            <w:pPr>
              <w:pStyle w:val="17"/>
            </w:pPr>
          </w:p>
        </w:tc>
        <w:tc>
          <w:tcPr>
            <w:tcW w:w="1361" w:type="dxa"/>
            <w:vAlign w:val="center"/>
          </w:tcPr>
          <w:p>
            <w:pPr>
              <w:pStyle w:val="17"/>
            </w:pPr>
            <w:r>
              <w:t>1351.28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1351.28</w:t>
            </w:r>
          </w:p>
        </w:tc>
        <w:tc>
          <w:tcPr>
            <w:tcW w:w="1361" w:type="dxa"/>
            <w:vAlign w:val="center"/>
          </w:tcPr>
          <w:p>
            <w:pPr>
              <w:pStyle w:val="13"/>
            </w:pPr>
          </w:p>
        </w:tc>
        <w:tc>
          <w:tcPr>
            <w:tcW w:w="1361" w:type="dxa"/>
            <w:vAlign w:val="center"/>
          </w:tcPr>
          <w:p>
            <w:pPr>
              <w:pStyle w:val="13"/>
            </w:pPr>
            <w:r>
              <w:t>1351.28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666.21</w:t>
            </w:r>
          </w:p>
        </w:tc>
        <w:tc>
          <w:tcPr>
            <w:tcW w:w="1361" w:type="dxa"/>
            <w:vAlign w:val="center"/>
          </w:tcPr>
          <w:p>
            <w:pPr>
              <w:pStyle w:val="13"/>
            </w:pPr>
          </w:p>
        </w:tc>
        <w:tc>
          <w:tcPr>
            <w:tcW w:w="1361" w:type="dxa"/>
            <w:vAlign w:val="center"/>
          </w:tcPr>
          <w:p>
            <w:pPr>
              <w:pStyle w:val="13"/>
            </w:pPr>
            <w:r>
              <w:t>666.21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2240101</w:t>
            </w:r>
          </w:p>
        </w:tc>
        <w:tc>
          <w:tcPr>
            <w:tcW w:w="4535" w:type="dxa"/>
            <w:vAlign w:val="center"/>
          </w:tcPr>
          <w:p>
            <w:pPr>
              <w:pStyle w:val="14"/>
            </w:pPr>
            <w:r>
              <w:t>行政运行</w:t>
            </w:r>
          </w:p>
        </w:tc>
        <w:tc>
          <w:tcPr>
            <w:tcW w:w="1361" w:type="dxa"/>
            <w:vAlign w:val="center"/>
          </w:tcPr>
          <w:p>
            <w:pPr>
              <w:pStyle w:val="13"/>
            </w:pPr>
            <w:r>
              <w:t>666.21</w:t>
            </w:r>
          </w:p>
        </w:tc>
        <w:tc>
          <w:tcPr>
            <w:tcW w:w="1361" w:type="dxa"/>
            <w:vAlign w:val="center"/>
          </w:tcPr>
          <w:p>
            <w:pPr>
              <w:pStyle w:val="13"/>
            </w:pPr>
          </w:p>
        </w:tc>
        <w:tc>
          <w:tcPr>
            <w:tcW w:w="1361" w:type="dxa"/>
            <w:vAlign w:val="center"/>
          </w:tcPr>
          <w:p>
            <w:pPr>
              <w:pStyle w:val="13"/>
            </w:pPr>
            <w:r>
              <w:t>666.21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22402</w:t>
            </w:r>
          </w:p>
        </w:tc>
        <w:tc>
          <w:tcPr>
            <w:tcW w:w="4535" w:type="dxa"/>
            <w:vAlign w:val="center"/>
          </w:tcPr>
          <w:p>
            <w:pPr>
              <w:pStyle w:val="14"/>
            </w:pPr>
            <w:r>
              <w:t>消防救援事务</w:t>
            </w:r>
          </w:p>
        </w:tc>
        <w:tc>
          <w:tcPr>
            <w:tcW w:w="1361" w:type="dxa"/>
            <w:vAlign w:val="center"/>
          </w:tcPr>
          <w:p>
            <w:pPr>
              <w:pStyle w:val="13"/>
            </w:pPr>
            <w:r>
              <w:t>685.07</w:t>
            </w:r>
          </w:p>
        </w:tc>
        <w:tc>
          <w:tcPr>
            <w:tcW w:w="1361" w:type="dxa"/>
            <w:vAlign w:val="center"/>
          </w:tcPr>
          <w:p>
            <w:pPr>
              <w:pStyle w:val="13"/>
            </w:pPr>
          </w:p>
        </w:tc>
        <w:tc>
          <w:tcPr>
            <w:tcW w:w="1361" w:type="dxa"/>
            <w:vAlign w:val="center"/>
          </w:tcPr>
          <w:p>
            <w:pPr>
              <w:pStyle w:val="13"/>
            </w:pPr>
            <w:r>
              <w:t>685.07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2240201</w:t>
            </w:r>
          </w:p>
        </w:tc>
        <w:tc>
          <w:tcPr>
            <w:tcW w:w="4535" w:type="dxa"/>
            <w:vAlign w:val="center"/>
          </w:tcPr>
          <w:p>
            <w:pPr>
              <w:pStyle w:val="14"/>
            </w:pPr>
            <w:r>
              <w:t>行政运行</w:t>
            </w:r>
          </w:p>
        </w:tc>
        <w:tc>
          <w:tcPr>
            <w:tcW w:w="1361" w:type="dxa"/>
            <w:vAlign w:val="center"/>
          </w:tcPr>
          <w:p>
            <w:pPr>
              <w:pStyle w:val="13"/>
            </w:pPr>
            <w:r>
              <w:t>685.07</w:t>
            </w:r>
          </w:p>
        </w:tc>
        <w:tc>
          <w:tcPr>
            <w:tcW w:w="1361" w:type="dxa"/>
            <w:vAlign w:val="center"/>
          </w:tcPr>
          <w:p>
            <w:pPr>
              <w:pStyle w:val="13"/>
            </w:pPr>
          </w:p>
        </w:tc>
        <w:tc>
          <w:tcPr>
            <w:tcW w:w="1361" w:type="dxa"/>
            <w:vAlign w:val="center"/>
          </w:tcPr>
          <w:p>
            <w:pPr>
              <w:pStyle w:val="13"/>
            </w:pPr>
            <w:r>
              <w:t>685.07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0"/>
      </w:pPr>
      <w:bookmarkStart w:id="4" w:name="_Toc3359"/>
      <w:r>
        <w:rPr>
          <w:rFonts w:ascii="方正小标宋_GBK" w:hAnsi="方正小标宋_GBK" w:eastAsia="方正小标宋_GBK" w:cs="方正小标宋_GBK"/>
          <w:color w:val="000000"/>
          <w:sz w:val="36"/>
        </w:rPr>
        <w:t>单位预算财政拨款收支总表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807001保定市徐水区消防救援大队本级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1351.28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1351.28</w:t>
            </w:r>
          </w:p>
        </w:tc>
        <w:tc>
          <w:tcPr>
            <w:tcW w:w="1474" w:type="dxa"/>
            <w:vAlign w:val="center"/>
          </w:tcPr>
          <w:p>
            <w:pPr>
              <w:pStyle w:val="13"/>
            </w:pPr>
            <w:r>
              <w:t>1351.28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1351.28</w:t>
            </w:r>
          </w:p>
        </w:tc>
        <w:tc>
          <w:tcPr>
            <w:tcW w:w="3402" w:type="dxa"/>
            <w:vAlign w:val="center"/>
          </w:tcPr>
          <w:p>
            <w:pPr>
              <w:pStyle w:val="16"/>
            </w:pPr>
            <w:r>
              <w:t>本年支出合计</w:t>
            </w:r>
          </w:p>
        </w:tc>
        <w:tc>
          <w:tcPr>
            <w:tcW w:w="1474" w:type="dxa"/>
            <w:vAlign w:val="center"/>
          </w:tcPr>
          <w:p>
            <w:pPr>
              <w:pStyle w:val="17"/>
            </w:pPr>
            <w:r>
              <w:t>1351.28</w:t>
            </w:r>
          </w:p>
        </w:tc>
        <w:tc>
          <w:tcPr>
            <w:tcW w:w="1474" w:type="dxa"/>
            <w:vAlign w:val="center"/>
          </w:tcPr>
          <w:p>
            <w:pPr>
              <w:pStyle w:val="17"/>
            </w:pPr>
            <w:r>
              <w:t>1351.28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1351.28</w:t>
            </w:r>
          </w:p>
        </w:tc>
        <w:tc>
          <w:tcPr>
            <w:tcW w:w="3402" w:type="dxa"/>
            <w:vAlign w:val="center"/>
          </w:tcPr>
          <w:p>
            <w:pPr>
              <w:pStyle w:val="16"/>
            </w:pPr>
            <w:r>
              <w:t>支出总计</w:t>
            </w:r>
          </w:p>
        </w:tc>
        <w:tc>
          <w:tcPr>
            <w:tcW w:w="1474" w:type="dxa"/>
            <w:vAlign w:val="center"/>
          </w:tcPr>
          <w:p>
            <w:pPr>
              <w:pStyle w:val="17"/>
            </w:pPr>
            <w:r>
              <w:t>1351.28</w:t>
            </w:r>
          </w:p>
        </w:tc>
        <w:tc>
          <w:tcPr>
            <w:tcW w:w="1474" w:type="dxa"/>
            <w:vAlign w:val="center"/>
          </w:tcPr>
          <w:p>
            <w:pPr>
              <w:pStyle w:val="17"/>
            </w:pPr>
            <w:r>
              <w:t>1351.28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0"/>
      </w:pPr>
      <w:bookmarkStart w:id="5" w:name="_Toc6725"/>
      <w:r>
        <w:rPr>
          <w:rFonts w:ascii="方正小标宋_GBK" w:hAnsi="方正小标宋_GBK" w:eastAsia="方正小标宋_GBK" w:cs="方正小标宋_GBK"/>
          <w:color w:val="000000"/>
          <w:sz w:val="36"/>
        </w:rPr>
        <w:t>单位预算一般公共预算财政拨款支出表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807001保定市徐水区消防救援大队本级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1351.28</w:t>
            </w:r>
          </w:p>
        </w:tc>
        <w:tc>
          <w:tcPr>
            <w:tcW w:w="2551" w:type="dxa"/>
            <w:vAlign w:val="center"/>
          </w:tcPr>
          <w:p>
            <w:pPr>
              <w:pStyle w:val="17"/>
            </w:pPr>
          </w:p>
        </w:tc>
        <w:tc>
          <w:tcPr>
            <w:tcW w:w="2551" w:type="dxa"/>
            <w:vAlign w:val="center"/>
          </w:tcPr>
          <w:p>
            <w:pPr>
              <w:pStyle w:val="17"/>
            </w:pPr>
            <w:r>
              <w:t>1351.28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1351.28</w:t>
            </w:r>
          </w:p>
        </w:tc>
        <w:tc>
          <w:tcPr>
            <w:tcW w:w="2551" w:type="dxa"/>
            <w:vAlign w:val="center"/>
          </w:tcPr>
          <w:p>
            <w:pPr>
              <w:pStyle w:val="13"/>
            </w:pPr>
          </w:p>
        </w:tc>
        <w:tc>
          <w:tcPr>
            <w:tcW w:w="2551" w:type="dxa"/>
            <w:vAlign w:val="center"/>
          </w:tcPr>
          <w:p>
            <w:pPr>
              <w:pStyle w:val="13"/>
            </w:pPr>
            <w:r>
              <w:t>1351.28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666.21</w:t>
            </w:r>
          </w:p>
        </w:tc>
        <w:tc>
          <w:tcPr>
            <w:tcW w:w="2551" w:type="dxa"/>
            <w:vAlign w:val="center"/>
          </w:tcPr>
          <w:p>
            <w:pPr>
              <w:pStyle w:val="13"/>
            </w:pPr>
          </w:p>
        </w:tc>
        <w:tc>
          <w:tcPr>
            <w:tcW w:w="2551" w:type="dxa"/>
            <w:vAlign w:val="center"/>
          </w:tcPr>
          <w:p>
            <w:pPr>
              <w:pStyle w:val="13"/>
            </w:pPr>
            <w:r>
              <w:t>666.21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2240101</w:t>
            </w:r>
          </w:p>
        </w:tc>
        <w:tc>
          <w:tcPr>
            <w:tcW w:w="4535" w:type="dxa"/>
            <w:vAlign w:val="center"/>
          </w:tcPr>
          <w:p>
            <w:pPr>
              <w:pStyle w:val="14"/>
            </w:pPr>
            <w:r>
              <w:t>行政运行</w:t>
            </w:r>
          </w:p>
        </w:tc>
        <w:tc>
          <w:tcPr>
            <w:tcW w:w="2551" w:type="dxa"/>
            <w:vAlign w:val="center"/>
          </w:tcPr>
          <w:p>
            <w:pPr>
              <w:pStyle w:val="13"/>
            </w:pPr>
            <w:r>
              <w:t>666.21</w:t>
            </w:r>
          </w:p>
        </w:tc>
        <w:tc>
          <w:tcPr>
            <w:tcW w:w="2551" w:type="dxa"/>
            <w:vAlign w:val="center"/>
          </w:tcPr>
          <w:p>
            <w:pPr>
              <w:pStyle w:val="13"/>
            </w:pPr>
          </w:p>
        </w:tc>
        <w:tc>
          <w:tcPr>
            <w:tcW w:w="2551" w:type="dxa"/>
            <w:vAlign w:val="center"/>
          </w:tcPr>
          <w:p>
            <w:pPr>
              <w:pStyle w:val="13"/>
            </w:pPr>
            <w:r>
              <w:t>666.21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22402</w:t>
            </w:r>
          </w:p>
        </w:tc>
        <w:tc>
          <w:tcPr>
            <w:tcW w:w="4535" w:type="dxa"/>
            <w:vAlign w:val="center"/>
          </w:tcPr>
          <w:p>
            <w:pPr>
              <w:pStyle w:val="14"/>
            </w:pPr>
            <w:r>
              <w:t>消防救援事务</w:t>
            </w:r>
          </w:p>
        </w:tc>
        <w:tc>
          <w:tcPr>
            <w:tcW w:w="2551" w:type="dxa"/>
            <w:vAlign w:val="center"/>
          </w:tcPr>
          <w:p>
            <w:pPr>
              <w:pStyle w:val="13"/>
            </w:pPr>
            <w:r>
              <w:t>685.07</w:t>
            </w:r>
          </w:p>
        </w:tc>
        <w:tc>
          <w:tcPr>
            <w:tcW w:w="2551" w:type="dxa"/>
            <w:vAlign w:val="center"/>
          </w:tcPr>
          <w:p>
            <w:pPr>
              <w:pStyle w:val="13"/>
            </w:pPr>
          </w:p>
        </w:tc>
        <w:tc>
          <w:tcPr>
            <w:tcW w:w="2551" w:type="dxa"/>
            <w:vAlign w:val="center"/>
          </w:tcPr>
          <w:p>
            <w:pPr>
              <w:pStyle w:val="13"/>
            </w:pPr>
            <w:r>
              <w:t>685.07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2240201</w:t>
            </w:r>
          </w:p>
        </w:tc>
        <w:tc>
          <w:tcPr>
            <w:tcW w:w="4535" w:type="dxa"/>
            <w:vAlign w:val="center"/>
          </w:tcPr>
          <w:p>
            <w:pPr>
              <w:pStyle w:val="14"/>
            </w:pPr>
            <w:r>
              <w:t>行政运行</w:t>
            </w:r>
          </w:p>
        </w:tc>
        <w:tc>
          <w:tcPr>
            <w:tcW w:w="2551" w:type="dxa"/>
            <w:vAlign w:val="center"/>
          </w:tcPr>
          <w:p>
            <w:pPr>
              <w:pStyle w:val="13"/>
            </w:pPr>
            <w:r>
              <w:t>685.07</w:t>
            </w:r>
          </w:p>
        </w:tc>
        <w:tc>
          <w:tcPr>
            <w:tcW w:w="2551" w:type="dxa"/>
            <w:vAlign w:val="center"/>
          </w:tcPr>
          <w:p>
            <w:pPr>
              <w:pStyle w:val="13"/>
            </w:pPr>
          </w:p>
        </w:tc>
        <w:tc>
          <w:tcPr>
            <w:tcW w:w="2551" w:type="dxa"/>
            <w:vAlign w:val="center"/>
          </w:tcPr>
          <w:p>
            <w:pPr>
              <w:pStyle w:val="13"/>
            </w:pPr>
            <w:r>
              <w:t>685.07</w:t>
            </w:r>
          </w:p>
        </w:tc>
      </w:tr>
    </w:tbl>
    <w:p>
      <w:pPr>
        <w:sectPr>
          <w:pgSz w:w="16840" w:h="11900" w:orient="landscape"/>
          <w:pgMar w:top="1361" w:right="1020" w:bottom="1134" w:left="1020" w:header="720" w:footer="720" w:gutter="0"/>
          <w:cols w:space="720" w:num="1"/>
        </w:sectPr>
      </w:pPr>
    </w:p>
    <w:p>
      <w:pPr>
        <w:jc w:val="center"/>
        <w:outlineLvl w:val="0"/>
      </w:pPr>
      <w:bookmarkStart w:id="6" w:name="_Toc20898"/>
      <w:r>
        <w:rPr>
          <w:rFonts w:ascii="方正小标宋_GBK" w:hAnsi="方正小标宋_GBK" w:eastAsia="方正小标宋_GBK" w:cs="方正小标宋_GBK"/>
          <w:color w:val="000000"/>
          <w:sz w:val="36"/>
        </w:rPr>
        <w:t>单位预算一般公共预算财政拨款基本支出表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807001保定市徐水区消防救援大队本级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0"/>
      </w:pPr>
      <w:bookmarkStart w:id="7" w:name="_Toc8204"/>
      <w:r>
        <w:rPr>
          <w:rFonts w:ascii="方正小标宋_GBK" w:hAnsi="方正小标宋_GBK" w:eastAsia="方正小标宋_GBK" w:cs="方正小标宋_GBK"/>
          <w:color w:val="000000"/>
          <w:sz w:val="36"/>
        </w:rPr>
        <w:t>单位预算政府性基金预算财政拨款支出表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807001保定市徐水区消防救援大队本级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0"/>
      </w:pPr>
      <w:bookmarkStart w:id="8" w:name="_Toc25722"/>
      <w:r>
        <w:rPr>
          <w:rFonts w:ascii="方正小标宋_GBK" w:hAnsi="方正小标宋_GBK" w:eastAsia="方正小标宋_GBK" w:cs="方正小标宋_GBK"/>
          <w:color w:val="000000"/>
          <w:sz w:val="36"/>
        </w:rPr>
        <w:t>单位预算国有资本经营预算财政拨款支出表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807001保定市徐水区消防救援大队本级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0"/>
      </w:pPr>
      <w:bookmarkStart w:id="9" w:name="_Toc8350"/>
      <w:r>
        <w:rPr>
          <w:rFonts w:ascii="方正小标宋_GBK" w:hAnsi="方正小标宋_GBK" w:eastAsia="方正小标宋_GBK" w:cs="方正小标宋_GBK"/>
          <w:color w:val="000000"/>
          <w:sz w:val="36"/>
        </w:rPr>
        <w:t>单位预算财政拨款“三公”经费支出表</w:t>
      </w:r>
      <w:bookmarkEnd w:id="9"/>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807001保定市徐水区消防救援大队本级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保定市徐水区消防救援大队本级2024年单位预算信息公开情况说明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按照《中华人民共和国预算法》、《地方预决算公开操作规程》和《关于进一步推进预算公开工作的实施意见》规定，现将保定市徐水区消防救援大队本级2024年单位预算公开如下：</w:t>
      </w:r>
    </w:p>
    <w:p>
      <w:pPr>
        <w:spacing w:before="10" w:after="10"/>
        <w:ind w:firstLine="640"/>
        <w:outlineLvl w:val="0"/>
      </w:pPr>
      <w:bookmarkStart w:id="10" w:name="_Toc18071"/>
      <w:r>
        <w:rPr>
          <w:rFonts w:ascii="黑体" w:hAnsi="黑体" w:eastAsia="黑体" w:cs="黑体"/>
          <w:color w:val="000000"/>
          <w:sz w:val="32"/>
        </w:rPr>
        <w:t>一、单位职责及机构设置情况</w:t>
      </w:r>
      <w:bookmarkEnd w:id="10"/>
    </w:p>
    <w:p>
      <w:pPr>
        <w:ind w:firstLine="640"/>
        <w:outlineLvl w:val="1"/>
      </w:pPr>
      <w:bookmarkStart w:id="11" w:name="_Toc8555"/>
      <w:r>
        <w:rPr>
          <w:rFonts w:ascii="方正楷体_GBK" w:hAnsi="方正楷体_GBK" w:eastAsia="方正楷体_GBK" w:cs="方正楷体_GBK"/>
          <w:b/>
          <w:color w:val="000000"/>
          <w:sz w:val="32"/>
        </w:rPr>
        <w:t>单位职责：</w:t>
      </w:r>
      <w:bookmarkEnd w:id="11"/>
    </w:p>
    <w:p>
      <w:pPr>
        <w:pStyle w:val="19"/>
      </w:pPr>
      <w:r>
        <w:t>根据《保定市徐水区消防救援大队职能配置、内设机构和人员编制规定》，保定市徐水区消防救援大队的主要职责是：</w:t>
      </w:r>
    </w:p>
    <w:p>
      <w:pPr>
        <w:pStyle w:val="19"/>
      </w:pPr>
      <w:r>
        <w:t>(一)承担城乡综合性消防救援工作，负责指挥调度相关灾害事故救援行动，承担重要会议、大型活动消防安全保卫工作。</w:t>
      </w:r>
    </w:p>
    <w:p>
      <w:pPr>
        <w:pStyle w:val="19"/>
      </w:pPr>
      <w:r>
        <w:t>（二）承担火灾预防、消防监督执法以及火灾事故调查处理相关工作，依法行使消防安全综合监管职能，推动落实消防安全责任制。</w:t>
      </w:r>
    </w:p>
    <w:p>
      <w:pPr>
        <w:pStyle w:val="19"/>
      </w:pPr>
      <w:r>
        <w:t>（三）参与拟订消防专项规划，参与起草地方性消防法规、规章草案并监督实施。</w:t>
      </w:r>
    </w:p>
    <w:p>
      <w:pPr>
        <w:pStyle w:val="19"/>
      </w:pPr>
      <w:r>
        <w:t>（四）负责消防救援队伍综合性消防救援预案编制，战术研究和执勤备战、训练演练等工作。</w:t>
      </w:r>
    </w:p>
    <w:p>
      <w:pPr>
        <w:pStyle w:val="19"/>
      </w:pPr>
      <w:r>
        <w:t>（五）负责消防救援信息化和应急通信，承担综合性消防救援行动应急通信保障工作。</w:t>
      </w:r>
    </w:p>
    <w:p>
      <w:pPr>
        <w:pStyle w:val="19"/>
      </w:pPr>
      <w:r>
        <w:t>负责消防安全宣传教育，组织指导社会消防力量建设。</w:t>
      </w:r>
    </w:p>
    <w:p>
      <w:pPr>
        <w:pStyle w:val="19"/>
      </w:pPr>
      <w:r>
        <w:t>（六）负责消防应急救援专业队伍规划，建设与调度指挥，参与组织协调动员各类社会救援力量参加救援任务。</w:t>
      </w:r>
    </w:p>
    <w:p>
      <w:pPr>
        <w:pStyle w:val="19"/>
      </w:pPr>
      <w:r>
        <w:t>（七）负责消防救援队伍建设与管理。</w:t>
      </w:r>
    </w:p>
    <w:p>
      <w:pPr>
        <w:pStyle w:val="19"/>
      </w:pPr>
      <w:r>
        <w:t>（八）完成应急管理部和所在省（市、县）党委政府交办的相关任务。</w:t>
      </w:r>
    </w:p>
    <w:p>
      <w:pPr>
        <w:ind w:firstLine="640"/>
        <w:outlineLvl w:val="1"/>
      </w:pPr>
      <w:bookmarkStart w:id="12" w:name="_Toc22248"/>
      <w:r>
        <w:rPr>
          <w:rFonts w:ascii="方正楷体_GBK" w:hAnsi="方正楷体_GBK" w:eastAsia="方正楷体_GBK" w:cs="方正楷体_GBK"/>
          <w:b/>
          <w:color w:val="000000"/>
          <w:sz w:val="32"/>
        </w:rPr>
        <w:t>机构设置：</w:t>
      </w:r>
      <w:bookmarkEnd w:id="12"/>
    </w:p>
    <w:p>
      <w:pPr>
        <w:jc w:val="center"/>
        <w:outlineLvl w:val="1"/>
      </w:pPr>
      <w:bookmarkStart w:id="13" w:name="_Toc8183"/>
      <w:r>
        <w:rPr>
          <w:rFonts w:ascii="方正小标宋_GBK" w:hAnsi="方正小标宋_GBK" w:eastAsia="方正小标宋_GBK" w:cs="方正小标宋_GBK"/>
          <w:color w:val="000000"/>
          <w:sz w:val="32"/>
        </w:rPr>
        <w:t>单位机构设置情况</w:t>
      </w:r>
      <w:bookmarkEnd w:id="1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保定市徐水区消防救援大队本级</w:t>
            </w:r>
          </w:p>
        </w:tc>
        <w:tc>
          <w:tcPr>
            <w:tcW w:w="1843" w:type="dxa"/>
            <w:vAlign w:val="center"/>
          </w:tcPr>
          <w:p>
            <w:pPr>
              <w:pStyle w:val="15"/>
            </w:pPr>
            <w:r>
              <w:t>行政</w:t>
            </w:r>
          </w:p>
        </w:tc>
        <w:tc>
          <w:tcPr>
            <w:tcW w:w="2126" w:type="dxa"/>
            <w:vAlign w:val="center"/>
          </w:tcPr>
          <w:p>
            <w:pPr>
              <w:pStyle w:val="15"/>
            </w:pPr>
            <w:r>
              <w:t>未定行政级别</w:t>
            </w:r>
          </w:p>
        </w:tc>
        <w:tc>
          <w:tcPr>
            <w:tcW w:w="3827" w:type="dxa"/>
            <w:vAlign w:val="center"/>
          </w:tcPr>
          <w:p>
            <w:pPr>
              <w:pStyle w:val="15"/>
            </w:pPr>
            <w:r>
              <w:t>财政拨款</w:t>
            </w:r>
          </w:p>
        </w:tc>
      </w:tr>
    </w:tbl>
    <w:p>
      <w:pPr>
        <w:spacing w:before="10" w:after="10"/>
        <w:ind w:firstLine="640"/>
        <w:outlineLvl w:val="0"/>
      </w:pPr>
      <w:bookmarkStart w:id="14" w:name="_Toc5603"/>
      <w:r>
        <w:rPr>
          <w:rFonts w:ascii="黑体" w:hAnsi="黑体" w:eastAsia="黑体" w:cs="黑体"/>
          <w:color w:val="000000"/>
          <w:sz w:val="32"/>
        </w:rPr>
        <w:t>二、单位预算安排的总体情况</w:t>
      </w:r>
      <w:bookmarkEnd w:id="14"/>
    </w:p>
    <w:p>
      <w:pPr>
        <w:pStyle w:val="20"/>
        <w:outlineLvl w:val="1"/>
      </w:pPr>
      <w:bookmarkStart w:id="15" w:name="_Toc22469"/>
      <w:r>
        <w:t>一、收入说明</w:t>
      </w:r>
      <w:bookmarkEnd w:id="15"/>
    </w:p>
    <w:p>
      <w:pPr>
        <w:pStyle w:val="20"/>
      </w:pPr>
      <w:r>
        <w:t>反映本单位当年全部收入。2024年预算收入为1351.28万元,其中：一般公共预算收入1351.28万元，基金预算收入0万元，国有资本经营预算收入0万元，财政专户核拨收入0万元，单位资金收入0万元，上年结转结余0万元。 </w:t>
      </w:r>
    </w:p>
    <w:p>
      <w:pPr>
        <w:pStyle w:val="20"/>
        <w:outlineLvl w:val="1"/>
      </w:pPr>
      <w:bookmarkStart w:id="16" w:name="_Toc8800"/>
      <w:r>
        <w:t>二、支出说明</w:t>
      </w:r>
      <w:bookmarkEnd w:id="16"/>
    </w:p>
    <w:p>
      <w:pPr>
        <w:pStyle w:val="20"/>
      </w:pPr>
      <w:r>
        <w:t>收支预算总表支出栏、基本支出表、项目支出表按经济分类和支出功能分类科目编制，反映保定市徐水区消防救援大队本级年度单位预算中支出预算的总体情况。2024年单位支出预算：1351.28万元，其中基本支出0万元，包括人员经费0万元和日常公用经费0万元；项目支出1351.28万元，主要为地方财政保障的办公业务支出、人员工经费、消防车运行维护、消防救援装备购置等等经费。</w:t>
      </w:r>
    </w:p>
    <w:p>
      <w:pPr>
        <w:pStyle w:val="20"/>
        <w:outlineLvl w:val="1"/>
      </w:pPr>
      <w:bookmarkStart w:id="17" w:name="_Toc24637"/>
      <w:r>
        <w:t>三、比上年增减情况</w:t>
      </w:r>
      <w:bookmarkEnd w:id="17"/>
    </w:p>
    <w:p>
      <w:pPr>
        <w:pStyle w:val="20"/>
      </w:pPr>
      <w:r>
        <w:t>本年度预算收支安排1351.28万元，较上年减少0.01万元。其中基本支出减少0万元，主要原因是无此项预算安排；项目支出减少0.01万元，主要原因是结合实际适当调整，基本保持持平。</w:t>
      </w:r>
    </w:p>
    <w:p>
      <w:pPr>
        <w:spacing w:before="10" w:after="10"/>
        <w:ind w:firstLine="640"/>
        <w:outlineLvl w:val="0"/>
      </w:pPr>
      <w:bookmarkStart w:id="18" w:name="_Toc8782"/>
      <w:r>
        <w:rPr>
          <w:rFonts w:ascii="黑体" w:hAnsi="黑体" w:eastAsia="黑体" w:cs="黑体"/>
          <w:color w:val="000000"/>
          <w:sz w:val="32"/>
        </w:rPr>
        <w:t>三、机关运行经费安排情况</w:t>
      </w:r>
      <w:bookmarkEnd w:id="18"/>
    </w:p>
    <w:p>
      <w:pPr>
        <w:pStyle w:val="21"/>
      </w:pPr>
      <w:r>
        <w:t>2024年我单位机关运行经费安排0万元，其中办公费0万元，邮电费0万元，工会经费、福利费0万元、公务用车运行维护费0万元，其他支出0万元。</w:t>
      </w:r>
    </w:p>
    <w:p>
      <w:pPr>
        <w:spacing w:before="10" w:after="10"/>
        <w:ind w:firstLine="640"/>
        <w:outlineLvl w:val="0"/>
      </w:pPr>
      <w:bookmarkStart w:id="19" w:name="_Toc11028"/>
      <w:r>
        <w:rPr>
          <w:rFonts w:ascii="黑体" w:hAnsi="黑体" w:eastAsia="黑体" w:cs="黑体"/>
          <w:color w:val="000000"/>
          <w:sz w:val="32"/>
        </w:rPr>
        <w:t>四、财政拨款“三公”经费预算情况及增减变化原因</w:t>
      </w:r>
      <w:bookmarkEnd w:id="19"/>
    </w:p>
    <w:p>
      <w:pPr>
        <w:pStyle w:val="22"/>
      </w:pPr>
      <w:r>
        <w:t>2024年，我单位财政拨款“三公”经费预算安排0万元，其中因公出国（境）费用0万元；公务用车购置及运维费0万元（其中：公务用车购置费为0万元，公务用车运维费0万元）；公务接待费0万元。与2023年相比减少0万元，减少的主要原因是无此项支出安排。</w:t>
      </w:r>
    </w:p>
    <w:p>
      <w:pPr>
        <w:spacing w:before="10" w:after="10"/>
        <w:ind w:firstLine="640"/>
        <w:outlineLvl w:val="0"/>
        <w:sectPr>
          <w:pgSz w:w="16840" w:h="11900" w:orient="landscape"/>
          <w:pgMar w:top="1361" w:right="1020" w:bottom="1361" w:left="1020" w:header="720" w:footer="720" w:gutter="0"/>
          <w:cols w:space="720" w:num="1"/>
        </w:sectPr>
      </w:pPr>
      <w:bookmarkStart w:id="20" w:name="_Toc7687"/>
      <w:r>
        <w:rPr>
          <w:rFonts w:ascii="黑体" w:hAnsi="黑体" w:eastAsia="黑体" w:cs="黑体"/>
          <w:color w:val="000000"/>
          <w:sz w:val="32"/>
        </w:rPr>
        <w:t>五、单位项目预算安排情况及绩效目标</w:t>
      </w:r>
      <w:bookmarkEnd w:id="20"/>
    </w:p>
    <w:p>
      <w:pPr>
        <w:ind w:firstLine="560"/>
        <w:outlineLvl w:val="1"/>
      </w:pPr>
      <w:bookmarkStart w:id="21" w:name="_Toc28363"/>
      <w:r>
        <w:rPr>
          <w:rFonts w:ascii="方正仿宋_GBK" w:hAnsi="方正仿宋_GBK" w:eastAsia="方正仿宋_GBK" w:cs="方正仿宋_GBK"/>
          <w:b/>
          <w:color w:val="000000"/>
          <w:sz w:val="28"/>
        </w:rPr>
        <w:t>1、消防队运转类公用业务基本支出经费绩效目标表</w:t>
      </w:r>
      <w:bookmarkEnd w:id="2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13062524P00001510808R</w:t>
            </w:r>
          </w:p>
        </w:tc>
        <w:tc>
          <w:tcPr>
            <w:tcW w:w="2835" w:type="dxa"/>
            <w:vAlign w:val="center"/>
          </w:tcPr>
          <w:p>
            <w:pPr>
              <w:pStyle w:val="12"/>
            </w:pPr>
            <w:r>
              <w:t>项目名称</w:t>
            </w:r>
          </w:p>
        </w:tc>
        <w:tc>
          <w:tcPr>
            <w:tcW w:w="6094" w:type="dxa"/>
            <w:gridSpan w:val="3"/>
            <w:vAlign w:val="center"/>
          </w:tcPr>
          <w:p>
            <w:pPr>
              <w:pStyle w:val="14"/>
            </w:pPr>
            <w:r>
              <w:t>消防队运转类公用业务基本支出经费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360.00</w:t>
            </w:r>
          </w:p>
        </w:tc>
        <w:tc>
          <w:tcPr>
            <w:tcW w:w="2835" w:type="dxa"/>
            <w:vAlign w:val="center"/>
          </w:tcPr>
          <w:p>
            <w:pPr>
              <w:pStyle w:val="12"/>
            </w:pPr>
            <w:r>
              <w:t>其中：财政    资金</w:t>
            </w:r>
          </w:p>
        </w:tc>
        <w:tc>
          <w:tcPr>
            <w:tcW w:w="2551" w:type="dxa"/>
            <w:vAlign w:val="center"/>
          </w:tcPr>
          <w:p>
            <w:pPr>
              <w:pStyle w:val="14"/>
            </w:pPr>
            <w:r>
              <w:t>360.00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确保经常性消防工作顺利完成，完成日常办公运转、灭火救援、消防监督执法、火灾事故调查。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w:t>
            </w:r>
          </w:p>
        </w:tc>
        <w:tc>
          <w:tcPr>
            <w:tcW w:w="2835" w:type="dxa"/>
            <w:vAlign w:val="center"/>
          </w:tcPr>
          <w:p>
            <w:pPr>
              <w:pStyle w:val="15"/>
            </w:pPr>
            <w:r>
              <w:t>31%</w:t>
            </w:r>
          </w:p>
        </w:tc>
        <w:tc>
          <w:tcPr>
            <w:tcW w:w="2551" w:type="dxa"/>
            <w:vAlign w:val="center"/>
          </w:tcPr>
          <w:p>
            <w:pPr>
              <w:pStyle w:val="15"/>
            </w:pPr>
            <w:r>
              <w:t>55%</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1.确保经常性消防工作顺利完成，完成日常办公运转、灭火救援、消防监督执法、火灾事故调查处理以及消防宣传相关工作。</w:t>
            </w:r>
          </w:p>
          <w:p>
            <w:pPr>
              <w:pStyle w:val="14"/>
            </w:pPr>
            <w:r>
              <w:t>2.完成消防宣传任务，年内不少于10次，提升社会面火灾防控能力。</w:t>
            </w:r>
          </w:p>
          <w:p>
            <w:pPr>
              <w:pStyle w:val="14"/>
            </w:pPr>
            <w:r>
              <w:t>3.做好各类火灾及抢险救援事故处置。</w:t>
            </w:r>
          </w:p>
          <w:p>
            <w:pPr>
              <w:pStyle w:val="14"/>
            </w:pPr>
            <w:r>
              <w:t>4.完成重点单位监督检查，年内不少于10次，排查整治安全隐患。</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宣传次数</w:t>
            </w:r>
          </w:p>
        </w:tc>
        <w:tc>
          <w:tcPr>
            <w:tcW w:w="5386" w:type="dxa"/>
            <w:vAlign w:val="center"/>
          </w:tcPr>
          <w:p>
            <w:pPr>
              <w:pStyle w:val="14"/>
            </w:pPr>
            <w:r>
              <w:t>完成宣传次数</w:t>
            </w:r>
          </w:p>
        </w:tc>
        <w:tc>
          <w:tcPr>
            <w:tcW w:w="2268" w:type="dxa"/>
            <w:vAlign w:val="center"/>
          </w:tcPr>
          <w:p>
            <w:pPr>
              <w:pStyle w:val="14"/>
            </w:pPr>
            <w:r>
              <w:t>≥10次</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监督检查次数</w:t>
            </w:r>
          </w:p>
        </w:tc>
        <w:tc>
          <w:tcPr>
            <w:tcW w:w="5386" w:type="dxa"/>
            <w:vAlign w:val="center"/>
          </w:tcPr>
          <w:p>
            <w:pPr>
              <w:pStyle w:val="14"/>
            </w:pPr>
            <w:r>
              <w:t>年内完成重点单位消防监督检查次数</w:t>
            </w:r>
          </w:p>
        </w:tc>
        <w:tc>
          <w:tcPr>
            <w:tcW w:w="2268" w:type="dxa"/>
            <w:vAlign w:val="center"/>
          </w:tcPr>
          <w:p>
            <w:pPr>
              <w:pStyle w:val="14"/>
            </w:pPr>
            <w:r>
              <w:t>≥10次</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火灾隐患整改率</w:t>
            </w:r>
          </w:p>
        </w:tc>
        <w:tc>
          <w:tcPr>
            <w:tcW w:w="5386" w:type="dxa"/>
            <w:vAlign w:val="center"/>
          </w:tcPr>
          <w:p>
            <w:pPr>
              <w:pStyle w:val="14"/>
            </w:pPr>
            <w:r>
              <w:t>整改火灾隐患与发现火灾隐患总数的比例</w:t>
            </w:r>
          </w:p>
        </w:tc>
        <w:tc>
          <w:tcPr>
            <w:tcW w:w="2268" w:type="dxa"/>
            <w:vAlign w:val="center"/>
          </w:tcPr>
          <w:p>
            <w:pPr>
              <w:pStyle w:val="14"/>
            </w:pPr>
            <w:r>
              <w:t>≥95%</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火灾处置速度</w:t>
            </w:r>
          </w:p>
        </w:tc>
        <w:tc>
          <w:tcPr>
            <w:tcW w:w="5386" w:type="dxa"/>
            <w:vAlign w:val="center"/>
          </w:tcPr>
          <w:p>
            <w:pPr>
              <w:pStyle w:val="14"/>
            </w:pPr>
            <w:r>
              <w:t>接警出动时间</w:t>
            </w:r>
          </w:p>
        </w:tc>
        <w:tc>
          <w:tcPr>
            <w:tcW w:w="2268" w:type="dxa"/>
            <w:vAlign w:val="center"/>
          </w:tcPr>
          <w:p>
            <w:pPr>
              <w:pStyle w:val="14"/>
            </w:pPr>
            <w:r>
              <w:t>≤2分钟</w:t>
            </w:r>
          </w:p>
        </w:tc>
        <w:tc>
          <w:tcPr>
            <w:tcW w:w="1276" w:type="dxa"/>
            <w:vAlign w:val="center"/>
          </w:tcPr>
          <w:p>
            <w:pPr>
              <w:pStyle w:val="14"/>
            </w:pPr>
            <w:r>
              <w:t>灭火救援实际需要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预算控制数范围内支出</w:t>
            </w:r>
          </w:p>
        </w:tc>
        <w:tc>
          <w:tcPr>
            <w:tcW w:w="2268" w:type="dxa"/>
            <w:vAlign w:val="center"/>
          </w:tcPr>
          <w:p>
            <w:pPr>
              <w:pStyle w:val="14"/>
            </w:pPr>
            <w:r>
              <w:t>≤360万元</w:t>
            </w:r>
          </w:p>
        </w:tc>
        <w:tc>
          <w:tcPr>
            <w:tcW w:w="1276" w:type="dxa"/>
            <w:vAlign w:val="center"/>
          </w:tcPr>
          <w:p>
            <w:pPr>
              <w:pStyle w:val="14"/>
            </w:pPr>
            <w:r>
              <w:t>河北省财政厅关于转发财政部《地方消防经费管理办法》的通知冀财行(2012)168号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应急响应率</w:t>
            </w:r>
          </w:p>
        </w:tc>
        <w:tc>
          <w:tcPr>
            <w:tcW w:w="5386" w:type="dxa"/>
            <w:vAlign w:val="center"/>
          </w:tcPr>
          <w:p>
            <w:pPr>
              <w:pStyle w:val="14"/>
            </w:pPr>
            <w:r>
              <w:t>应急响应数与总数比例</w:t>
            </w:r>
          </w:p>
        </w:tc>
        <w:tc>
          <w:tcPr>
            <w:tcW w:w="2268" w:type="dxa"/>
            <w:vAlign w:val="center"/>
          </w:tcPr>
          <w:p>
            <w:pPr>
              <w:pStyle w:val="14"/>
            </w:pPr>
            <w:r>
              <w:t>100%</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受益群众满意率</w:t>
            </w:r>
          </w:p>
        </w:tc>
        <w:tc>
          <w:tcPr>
            <w:tcW w:w="2268" w:type="dxa"/>
            <w:vAlign w:val="center"/>
          </w:tcPr>
          <w:p>
            <w:pPr>
              <w:pStyle w:val="14"/>
            </w:pPr>
            <w:r>
              <w:t>≥98%</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outlineLvl w:val="1"/>
      </w:pPr>
      <w:bookmarkStart w:id="22" w:name="_Toc19281"/>
      <w:r>
        <w:rPr>
          <w:rFonts w:ascii="方正仿宋_GBK" w:hAnsi="方正仿宋_GBK" w:eastAsia="方正仿宋_GBK" w:cs="方正仿宋_GBK"/>
          <w:b/>
          <w:color w:val="000000"/>
          <w:sz w:val="28"/>
        </w:rPr>
        <w:t>2、消防队执勤消防车运行维护经费绩效目标表</w:t>
      </w:r>
      <w:bookmarkEnd w:id="2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13062524P00001510805Y</w:t>
            </w:r>
          </w:p>
        </w:tc>
        <w:tc>
          <w:tcPr>
            <w:tcW w:w="2835" w:type="dxa"/>
            <w:vAlign w:val="center"/>
          </w:tcPr>
          <w:p>
            <w:pPr>
              <w:pStyle w:val="12"/>
            </w:pPr>
            <w:r>
              <w:t>项目名称</w:t>
            </w:r>
          </w:p>
        </w:tc>
        <w:tc>
          <w:tcPr>
            <w:tcW w:w="6094" w:type="dxa"/>
            <w:gridSpan w:val="3"/>
            <w:vAlign w:val="center"/>
          </w:tcPr>
          <w:p>
            <w:pPr>
              <w:pStyle w:val="14"/>
            </w:pPr>
            <w:r>
              <w:t>消防队执勤消防车运行维护经费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90.00</w:t>
            </w:r>
          </w:p>
        </w:tc>
        <w:tc>
          <w:tcPr>
            <w:tcW w:w="2835" w:type="dxa"/>
            <w:vAlign w:val="center"/>
          </w:tcPr>
          <w:p>
            <w:pPr>
              <w:pStyle w:val="12"/>
            </w:pPr>
            <w:r>
              <w:t>其中：财政    资金</w:t>
            </w:r>
          </w:p>
        </w:tc>
        <w:tc>
          <w:tcPr>
            <w:tcW w:w="2551" w:type="dxa"/>
            <w:vAlign w:val="center"/>
          </w:tcPr>
          <w:p>
            <w:pPr>
              <w:pStyle w:val="14"/>
            </w:pPr>
            <w:r>
              <w:t>90.00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用于消防车维修、油料采购。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15%</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1.做好执勤备战、消防演练，确保执勤车辆完整好用，完成灭火及抢险救援任务，保护公共财产和人民生命财产安全。</w:t>
            </w:r>
          </w:p>
          <w:p>
            <w:pPr>
              <w:pStyle w:val="14"/>
            </w:pPr>
            <w:r>
              <w:t>2.完成15辆消防车的日常维护保养，及时对故障消防车辆进行维修。确保车辆完好率达到90%，维及时率达到98%。</w:t>
            </w:r>
          </w:p>
          <w:p>
            <w:pPr>
              <w:pStyle w:val="14"/>
            </w:pPr>
            <w:r>
              <w:t>3.及时对15辆消防车进行加油，确保油料充足车辆达到90%，加油及时率达到98%。</w:t>
            </w:r>
          </w:p>
          <w:p>
            <w:pPr>
              <w:pStyle w:val="14"/>
            </w:pPr>
            <w:r>
              <w:t>4.确保各项灭火救援任务圆满完成。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加油维修执勤车情况</w:t>
            </w:r>
          </w:p>
        </w:tc>
        <w:tc>
          <w:tcPr>
            <w:tcW w:w="5386" w:type="dxa"/>
            <w:vAlign w:val="center"/>
          </w:tcPr>
          <w:p>
            <w:pPr>
              <w:pStyle w:val="14"/>
            </w:pPr>
            <w:r>
              <w:t>加油、维修维护执勤车数量</w:t>
            </w:r>
          </w:p>
        </w:tc>
        <w:tc>
          <w:tcPr>
            <w:tcW w:w="2268" w:type="dxa"/>
            <w:vAlign w:val="center"/>
          </w:tcPr>
          <w:p>
            <w:pPr>
              <w:pStyle w:val="14"/>
            </w:pPr>
            <w:r>
              <w:t>15辆</w:t>
            </w:r>
          </w:p>
        </w:tc>
        <w:tc>
          <w:tcPr>
            <w:tcW w:w="1276" w:type="dxa"/>
            <w:vAlign w:val="center"/>
          </w:tcPr>
          <w:p>
            <w:pPr>
              <w:pStyle w:val="14"/>
            </w:pPr>
            <w:r>
              <w:t>单位车辆实际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执勤车辆故障率</w:t>
            </w:r>
          </w:p>
        </w:tc>
        <w:tc>
          <w:tcPr>
            <w:tcW w:w="5386" w:type="dxa"/>
            <w:vAlign w:val="center"/>
          </w:tcPr>
          <w:p>
            <w:pPr>
              <w:pStyle w:val="14"/>
            </w:pPr>
            <w:r>
              <w:t>故障、油料不足执勤车辆与总数的比例</w:t>
            </w:r>
          </w:p>
        </w:tc>
        <w:tc>
          <w:tcPr>
            <w:tcW w:w="2268" w:type="dxa"/>
            <w:vAlign w:val="center"/>
          </w:tcPr>
          <w:p>
            <w:pPr>
              <w:pStyle w:val="14"/>
            </w:pPr>
            <w:r>
              <w:t>≤10%</w:t>
            </w:r>
          </w:p>
        </w:tc>
        <w:tc>
          <w:tcPr>
            <w:tcW w:w="1276" w:type="dxa"/>
            <w:vAlign w:val="center"/>
          </w:tcPr>
          <w:p>
            <w:pPr>
              <w:pStyle w:val="14"/>
            </w:pPr>
            <w:r>
              <w:t>灭火救援实际需要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维修维护及时率</w:t>
            </w:r>
          </w:p>
        </w:tc>
        <w:tc>
          <w:tcPr>
            <w:tcW w:w="5386" w:type="dxa"/>
            <w:vAlign w:val="center"/>
          </w:tcPr>
          <w:p>
            <w:pPr>
              <w:pStyle w:val="14"/>
            </w:pPr>
            <w:r>
              <w:t>维修维护执勤车及时情况</w:t>
            </w:r>
          </w:p>
        </w:tc>
        <w:tc>
          <w:tcPr>
            <w:tcW w:w="2268" w:type="dxa"/>
            <w:vAlign w:val="center"/>
          </w:tcPr>
          <w:p>
            <w:pPr>
              <w:pStyle w:val="14"/>
            </w:pPr>
            <w:r>
              <w:t>≥98%</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加油及时率</w:t>
            </w:r>
          </w:p>
        </w:tc>
        <w:tc>
          <w:tcPr>
            <w:tcW w:w="5386" w:type="dxa"/>
            <w:vAlign w:val="center"/>
          </w:tcPr>
          <w:p>
            <w:pPr>
              <w:pStyle w:val="14"/>
            </w:pPr>
            <w:r>
              <w:t>对执勤车加油及时情况</w:t>
            </w:r>
          </w:p>
        </w:tc>
        <w:tc>
          <w:tcPr>
            <w:tcW w:w="2268" w:type="dxa"/>
            <w:vAlign w:val="center"/>
          </w:tcPr>
          <w:p>
            <w:pPr>
              <w:pStyle w:val="14"/>
            </w:pPr>
            <w:r>
              <w:t>≥98%</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预算控制范围内支出</w:t>
            </w:r>
          </w:p>
        </w:tc>
        <w:tc>
          <w:tcPr>
            <w:tcW w:w="2268" w:type="dxa"/>
            <w:vAlign w:val="center"/>
          </w:tcPr>
          <w:p>
            <w:pPr>
              <w:pStyle w:val="14"/>
            </w:pPr>
            <w:r>
              <w:t>≤90万元</w:t>
            </w:r>
          </w:p>
        </w:tc>
        <w:tc>
          <w:tcPr>
            <w:tcW w:w="1276" w:type="dxa"/>
            <w:vAlign w:val="center"/>
          </w:tcPr>
          <w:p>
            <w:pPr>
              <w:pStyle w:val="14"/>
            </w:pPr>
            <w:r>
              <w:t>河北省财政厅关于转发财政部《地方消防经费管理办法》的通知冀财行(2012)168号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应急响应率</w:t>
            </w:r>
          </w:p>
        </w:tc>
        <w:tc>
          <w:tcPr>
            <w:tcW w:w="5386" w:type="dxa"/>
            <w:vAlign w:val="center"/>
          </w:tcPr>
          <w:p>
            <w:pPr>
              <w:pStyle w:val="14"/>
            </w:pPr>
            <w:r>
              <w:t>应急响应数与总数比例</w:t>
            </w:r>
          </w:p>
        </w:tc>
        <w:tc>
          <w:tcPr>
            <w:tcW w:w="2268" w:type="dxa"/>
            <w:vAlign w:val="center"/>
          </w:tcPr>
          <w:p>
            <w:pPr>
              <w:pStyle w:val="14"/>
            </w:pPr>
            <w:r>
              <w:t>100%</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人民群众对消防工作满意程度</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outlineLvl w:val="1"/>
      </w:pPr>
      <w:bookmarkStart w:id="23" w:name="_Toc9784"/>
      <w:r>
        <w:rPr>
          <w:rFonts w:ascii="方正仿宋_GBK" w:hAnsi="方正仿宋_GBK" w:eastAsia="方正仿宋_GBK" w:cs="方正仿宋_GBK"/>
          <w:b/>
          <w:color w:val="000000"/>
          <w:sz w:val="28"/>
        </w:rPr>
        <w:t>3、消防救援人员津贴补贴绩效目标表</w:t>
      </w:r>
      <w:bookmarkEnd w:id="2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13062524P000015108076</w:t>
            </w:r>
          </w:p>
        </w:tc>
        <w:tc>
          <w:tcPr>
            <w:tcW w:w="2835" w:type="dxa"/>
            <w:vAlign w:val="center"/>
          </w:tcPr>
          <w:p>
            <w:pPr>
              <w:pStyle w:val="12"/>
            </w:pPr>
            <w:r>
              <w:t>项目名称</w:t>
            </w:r>
          </w:p>
        </w:tc>
        <w:tc>
          <w:tcPr>
            <w:tcW w:w="6094" w:type="dxa"/>
            <w:gridSpan w:val="3"/>
            <w:vAlign w:val="center"/>
          </w:tcPr>
          <w:p>
            <w:pPr>
              <w:pStyle w:val="14"/>
            </w:pPr>
            <w:r>
              <w:t>消防救援人员津贴补贴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50.77</w:t>
            </w:r>
          </w:p>
        </w:tc>
        <w:tc>
          <w:tcPr>
            <w:tcW w:w="2835" w:type="dxa"/>
            <w:vAlign w:val="center"/>
          </w:tcPr>
          <w:p>
            <w:pPr>
              <w:pStyle w:val="12"/>
            </w:pPr>
            <w:r>
              <w:t>其中：财政    资金</w:t>
            </w:r>
          </w:p>
        </w:tc>
        <w:tc>
          <w:tcPr>
            <w:tcW w:w="2551" w:type="dxa"/>
            <w:vAlign w:val="center"/>
          </w:tcPr>
          <w:p>
            <w:pPr>
              <w:pStyle w:val="14"/>
            </w:pPr>
            <w:r>
              <w:t>50.77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发放人员津贴补贴。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w:t>
            </w:r>
          </w:p>
        </w:tc>
        <w:tc>
          <w:tcPr>
            <w:tcW w:w="2835" w:type="dxa"/>
            <w:vAlign w:val="center"/>
          </w:tcPr>
          <w:p>
            <w:pPr>
              <w:pStyle w:val="15"/>
            </w:pPr>
            <w:r>
              <w:t>25%</w:t>
            </w:r>
          </w:p>
        </w:tc>
        <w:tc>
          <w:tcPr>
            <w:tcW w:w="2551" w:type="dxa"/>
            <w:vAlign w:val="center"/>
          </w:tcPr>
          <w:p>
            <w:pPr>
              <w:pStyle w:val="15"/>
            </w:pPr>
            <w:r>
              <w:t>40%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1.通过发放消防救援人员津贴补贴，提高消防救援人员工作积极性。</w:t>
            </w:r>
          </w:p>
          <w:p>
            <w:pPr>
              <w:pStyle w:val="14"/>
            </w:pPr>
            <w:r>
              <w:t>2.根据标准及时足额发放13名消防救援人员津贴补贴。</w:t>
            </w:r>
          </w:p>
          <w:p>
            <w:pPr>
              <w:pStyle w:val="14"/>
            </w:pPr>
            <w:r>
              <w:t>3.成功处置各类灭火救援任务，保障人民生命财产安全。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5386" w:type="dxa"/>
            <w:vAlign w:val="center"/>
          </w:tcPr>
          <w:p>
            <w:pPr>
              <w:pStyle w:val="14"/>
            </w:pPr>
            <w:r>
              <w:t>无人员调整情况下发放人数</w:t>
            </w:r>
          </w:p>
        </w:tc>
        <w:tc>
          <w:tcPr>
            <w:tcW w:w="2268" w:type="dxa"/>
            <w:vAlign w:val="center"/>
          </w:tcPr>
          <w:p>
            <w:pPr>
              <w:pStyle w:val="14"/>
            </w:pPr>
            <w:r>
              <w:t>13人</w:t>
            </w:r>
          </w:p>
        </w:tc>
        <w:tc>
          <w:tcPr>
            <w:tcW w:w="1276" w:type="dxa"/>
            <w:vAlign w:val="center"/>
          </w:tcPr>
          <w:p>
            <w:pPr>
              <w:pStyle w:val="14"/>
            </w:pPr>
            <w:r>
              <w:t>单位实际人数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补贴发放准确率</w:t>
            </w:r>
          </w:p>
        </w:tc>
        <w:tc>
          <w:tcPr>
            <w:tcW w:w="5386" w:type="dxa"/>
            <w:vAlign w:val="center"/>
          </w:tcPr>
          <w:p>
            <w:pPr>
              <w:pStyle w:val="14"/>
            </w:pPr>
            <w:r>
              <w:t>补贴发放是否正确</w:t>
            </w:r>
          </w:p>
        </w:tc>
        <w:tc>
          <w:tcPr>
            <w:tcW w:w="2268" w:type="dxa"/>
            <w:vAlign w:val="center"/>
          </w:tcPr>
          <w:p>
            <w:pPr>
              <w:pStyle w:val="14"/>
            </w:pPr>
            <w:r>
              <w:t>100%</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补贴发放及时性</w:t>
            </w:r>
          </w:p>
        </w:tc>
        <w:tc>
          <w:tcPr>
            <w:tcW w:w="5386" w:type="dxa"/>
            <w:vAlign w:val="center"/>
          </w:tcPr>
          <w:p>
            <w:pPr>
              <w:pStyle w:val="14"/>
            </w:pPr>
            <w:r>
              <w:t>补贴发放延迟时间</w:t>
            </w:r>
          </w:p>
        </w:tc>
        <w:tc>
          <w:tcPr>
            <w:tcW w:w="2268" w:type="dxa"/>
            <w:vAlign w:val="center"/>
          </w:tcPr>
          <w:p>
            <w:pPr>
              <w:pStyle w:val="14"/>
            </w:pPr>
            <w:r>
              <w:t>≤3月</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补贴人均标准</w:t>
            </w:r>
          </w:p>
        </w:tc>
        <w:tc>
          <w:tcPr>
            <w:tcW w:w="5386" w:type="dxa"/>
            <w:vAlign w:val="center"/>
          </w:tcPr>
          <w:p>
            <w:pPr>
              <w:pStyle w:val="14"/>
            </w:pPr>
            <w:r>
              <w:t>补贴人均标准</w:t>
            </w:r>
          </w:p>
        </w:tc>
        <w:tc>
          <w:tcPr>
            <w:tcW w:w="2268" w:type="dxa"/>
            <w:vAlign w:val="center"/>
          </w:tcPr>
          <w:p>
            <w:pPr>
              <w:pStyle w:val="14"/>
            </w:pPr>
            <w:r>
              <w:t>≤5万元</w:t>
            </w:r>
          </w:p>
        </w:tc>
        <w:tc>
          <w:tcPr>
            <w:tcW w:w="1276" w:type="dxa"/>
            <w:vAlign w:val="center"/>
          </w:tcPr>
          <w:p>
            <w:pPr>
              <w:pStyle w:val="14"/>
            </w:pPr>
            <w:r>
              <w:t>组织部、人社局测算标准（具体文件涉密无法提供）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火灾事故处置率</w:t>
            </w:r>
          </w:p>
        </w:tc>
        <w:tc>
          <w:tcPr>
            <w:tcW w:w="5386" w:type="dxa"/>
            <w:vAlign w:val="center"/>
          </w:tcPr>
          <w:p>
            <w:pPr>
              <w:pStyle w:val="14"/>
            </w:pPr>
            <w:r>
              <w:t>成功处置火灾事故占总数的百分比</w:t>
            </w:r>
          </w:p>
        </w:tc>
        <w:tc>
          <w:tcPr>
            <w:tcW w:w="2268" w:type="dxa"/>
            <w:vAlign w:val="center"/>
          </w:tcPr>
          <w:p>
            <w:pPr>
              <w:pStyle w:val="14"/>
            </w:pPr>
            <w:r>
              <w:t>100%</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受益指战员满意度</w:t>
            </w:r>
          </w:p>
        </w:tc>
        <w:tc>
          <w:tcPr>
            <w:tcW w:w="5386" w:type="dxa"/>
            <w:vAlign w:val="center"/>
          </w:tcPr>
          <w:p>
            <w:pPr>
              <w:pStyle w:val="14"/>
            </w:pPr>
            <w:r>
              <w:t>发放津贴补贴人员的满意率</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outlineLvl w:val="1"/>
      </w:pPr>
      <w:bookmarkStart w:id="24" w:name="_Toc27977"/>
      <w:r>
        <w:rPr>
          <w:rFonts w:ascii="方正仿宋_GBK" w:hAnsi="方正仿宋_GBK" w:eastAsia="方正仿宋_GBK" w:cs="方正仿宋_GBK"/>
          <w:b/>
          <w:color w:val="000000"/>
          <w:sz w:val="28"/>
        </w:rPr>
        <w:t>4、政府专职消防队员保障经费绩效目标表</w:t>
      </w:r>
      <w:bookmarkEnd w:id="2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13062524P00001510806J</w:t>
            </w:r>
          </w:p>
        </w:tc>
        <w:tc>
          <w:tcPr>
            <w:tcW w:w="2835" w:type="dxa"/>
            <w:vAlign w:val="center"/>
          </w:tcPr>
          <w:p>
            <w:pPr>
              <w:pStyle w:val="12"/>
            </w:pPr>
            <w:r>
              <w:t>项目名称</w:t>
            </w:r>
          </w:p>
        </w:tc>
        <w:tc>
          <w:tcPr>
            <w:tcW w:w="6094" w:type="dxa"/>
            <w:gridSpan w:val="3"/>
            <w:vAlign w:val="center"/>
          </w:tcPr>
          <w:p>
            <w:pPr>
              <w:pStyle w:val="14"/>
            </w:pPr>
            <w:r>
              <w:t>政府专职消防队员保障经费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666.21</w:t>
            </w:r>
          </w:p>
        </w:tc>
        <w:tc>
          <w:tcPr>
            <w:tcW w:w="2835" w:type="dxa"/>
            <w:vAlign w:val="center"/>
          </w:tcPr>
          <w:p>
            <w:pPr>
              <w:pStyle w:val="12"/>
            </w:pPr>
            <w:r>
              <w:t>其中：财政    资金</w:t>
            </w:r>
          </w:p>
        </w:tc>
        <w:tc>
          <w:tcPr>
            <w:tcW w:w="2551" w:type="dxa"/>
            <w:vAlign w:val="center"/>
          </w:tcPr>
          <w:p>
            <w:pPr>
              <w:pStyle w:val="14"/>
            </w:pPr>
            <w:r>
              <w:t>666.21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用于发放消防队员工资缴纳保险。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1.按照《保定市人民政府关于贯彻〈河北省专职消防队伍建设管理办法〉的实施意见》（保政发【2017】32号）确定人员工资标准。</w:t>
            </w:r>
          </w:p>
          <w:p>
            <w:pPr>
              <w:pStyle w:val="14"/>
            </w:pPr>
            <w:r>
              <w:t>2.根据标准及时发放不少于60名政府专职消防队员工资，完成社会保障缴纳，为每名专职消防员购置人身意外险，工资发放准确率达到100%，延迟发放不超过1个月。</w:t>
            </w:r>
          </w:p>
          <w:p>
            <w:pPr>
              <w:pStyle w:val="14"/>
            </w:pPr>
            <w:r>
              <w:t>3.通过工资发放，加强政府专职消防队凝聚力，提高政府专职消防队员工作积极性。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5386" w:type="dxa"/>
            <w:vAlign w:val="center"/>
          </w:tcPr>
          <w:p>
            <w:pPr>
              <w:pStyle w:val="14"/>
            </w:pPr>
            <w:r>
              <w:t>工资发放人数</w:t>
            </w:r>
          </w:p>
        </w:tc>
        <w:tc>
          <w:tcPr>
            <w:tcW w:w="2268" w:type="dxa"/>
            <w:vAlign w:val="center"/>
          </w:tcPr>
          <w:p>
            <w:pPr>
              <w:pStyle w:val="14"/>
            </w:pPr>
            <w:r>
              <w:t>≥60人</w:t>
            </w:r>
          </w:p>
        </w:tc>
        <w:tc>
          <w:tcPr>
            <w:tcW w:w="1276" w:type="dxa"/>
            <w:vAlign w:val="center"/>
          </w:tcPr>
          <w:p>
            <w:pPr>
              <w:pStyle w:val="14"/>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保险人数</w:t>
            </w:r>
          </w:p>
        </w:tc>
        <w:tc>
          <w:tcPr>
            <w:tcW w:w="5386" w:type="dxa"/>
            <w:vAlign w:val="center"/>
          </w:tcPr>
          <w:p>
            <w:pPr>
              <w:pStyle w:val="14"/>
            </w:pPr>
            <w:r>
              <w:t>缴纳社会保险、购置人身意外险人数</w:t>
            </w:r>
          </w:p>
        </w:tc>
        <w:tc>
          <w:tcPr>
            <w:tcW w:w="2268" w:type="dxa"/>
            <w:vAlign w:val="center"/>
          </w:tcPr>
          <w:p>
            <w:pPr>
              <w:pStyle w:val="14"/>
            </w:pPr>
            <w:r>
              <w:t>≥60人</w:t>
            </w:r>
          </w:p>
        </w:tc>
        <w:tc>
          <w:tcPr>
            <w:tcW w:w="1276" w:type="dxa"/>
            <w:vAlign w:val="center"/>
          </w:tcPr>
          <w:p>
            <w:pPr>
              <w:pStyle w:val="14"/>
            </w:pPr>
            <w:r>
              <w:t>城市消防站建设标准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工资发放准确率</w:t>
            </w:r>
          </w:p>
        </w:tc>
        <w:tc>
          <w:tcPr>
            <w:tcW w:w="5386" w:type="dxa"/>
            <w:vAlign w:val="center"/>
          </w:tcPr>
          <w:p>
            <w:pPr>
              <w:pStyle w:val="14"/>
            </w:pPr>
            <w:r>
              <w:t>工资发放是否正确</w:t>
            </w:r>
          </w:p>
        </w:tc>
        <w:tc>
          <w:tcPr>
            <w:tcW w:w="2268" w:type="dxa"/>
            <w:vAlign w:val="center"/>
          </w:tcPr>
          <w:p>
            <w:pPr>
              <w:pStyle w:val="14"/>
            </w:pPr>
            <w:r>
              <w:t>100%</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发放及时性</w:t>
            </w:r>
          </w:p>
        </w:tc>
        <w:tc>
          <w:tcPr>
            <w:tcW w:w="5386" w:type="dxa"/>
            <w:vAlign w:val="center"/>
          </w:tcPr>
          <w:p>
            <w:pPr>
              <w:pStyle w:val="14"/>
            </w:pPr>
            <w:r>
              <w:t>工资发放延迟时间</w:t>
            </w:r>
          </w:p>
        </w:tc>
        <w:tc>
          <w:tcPr>
            <w:tcW w:w="2268" w:type="dxa"/>
            <w:vAlign w:val="center"/>
          </w:tcPr>
          <w:p>
            <w:pPr>
              <w:pStyle w:val="14"/>
            </w:pPr>
            <w:r>
              <w:t>≤1月</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5386" w:type="dxa"/>
            <w:vAlign w:val="center"/>
          </w:tcPr>
          <w:p>
            <w:pPr>
              <w:pStyle w:val="14"/>
            </w:pPr>
            <w:r>
              <w:t>预算范围内支出</w:t>
            </w:r>
          </w:p>
        </w:tc>
        <w:tc>
          <w:tcPr>
            <w:tcW w:w="2268" w:type="dxa"/>
            <w:vAlign w:val="center"/>
          </w:tcPr>
          <w:p>
            <w:pPr>
              <w:pStyle w:val="14"/>
            </w:pPr>
            <w:r>
              <w:t>≤667万元</w:t>
            </w:r>
          </w:p>
        </w:tc>
        <w:tc>
          <w:tcPr>
            <w:tcW w:w="1276" w:type="dxa"/>
            <w:vAlign w:val="center"/>
          </w:tcPr>
          <w:p>
            <w:pPr>
              <w:pStyle w:val="14"/>
            </w:pPr>
            <w:r>
              <w:t>《保定市人民政府关于贯彻〈河北省专职消防队伍建设管理办法〉的实施意见》（保政发【2017】32号）保政发【2017】32号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政府专职消防队员基本生活保障度</w:t>
            </w:r>
          </w:p>
        </w:tc>
        <w:tc>
          <w:tcPr>
            <w:tcW w:w="5386" w:type="dxa"/>
            <w:vAlign w:val="center"/>
          </w:tcPr>
          <w:p>
            <w:pPr>
              <w:pStyle w:val="14"/>
            </w:pPr>
            <w:r>
              <w:t>通过调研政府专职消防队员基本生活保障情况</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政府专职消防队员满意度</w:t>
            </w:r>
          </w:p>
        </w:tc>
        <w:tc>
          <w:tcPr>
            <w:tcW w:w="5386" w:type="dxa"/>
            <w:vAlign w:val="center"/>
          </w:tcPr>
          <w:p>
            <w:pPr>
              <w:pStyle w:val="14"/>
            </w:pPr>
            <w:r>
              <w:t>政府专职消防队员满意率</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outlineLvl w:val="1"/>
      </w:pPr>
      <w:bookmarkStart w:id="25" w:name="_Toc21812"/>
      <w:r>
        <w:rPr>
          <w:rFonts w:ascii="方正仿宋_GBK" w:hAnsi="方正仿宋_GBK" w:eastAsia="方正仿宋_GBK" w:cs="方正仿宋_GBK"/>
          <w:b/>
          <w:color w:val="000000"/>
          <w:sz w:val="28"/>
        </w:rPr>
        <w:t>5、政府专职消防队员被装保障经费绩效目标表</w:t>
      </w:r>
      <w:bookmarkEnd w:id="2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13062524P00001510804B</w:t>
            </w:r>
          </w:p>
        </w:tc>
        <w:tc>
          <w:tcPr>
            <w:tcW w:w="2835" w:type="dxa"/>
            <w:vAlign w:val="center"/>
          </w:tcPr>
          <w:p>
            <w:pPr>
              <w:pStyle w:val="12"/>
            </w:pPr>
            <w:r>
              <w:t>项目名称</w:t>
            </w:r>
          </w:p>
        </w:tc>
        <w:tc>
          <w:tcPr>
            <w:tcW w:w="6094" w:type="dxa"/>
            <w:gridSpan w:val="3"/>
            <w:vAlign w:val="center"/>
          </w:tcPr>
          <w:p>
            <w:pPr>
              <w:pStyle w:val="14"/>
            </w:pPr>
            <w:r>
              <w:t>政府专职消防队员被装保障经费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17.93</w:t>
            </w:r>
          </w:p>
        </w:tc>
        <w:tc>
          <w:tcPr>
            <w:tcW w:w="2835" w:type="dxa"/>
            <w:vAlign w:val="center"/>
          </w:tcPr>
          <w:p>
            <w:pPr>
              <w:pStyle w:val="12"/>
            </w:pPr>
            <w:r>
              <w:t>其中：财政    资金</w:t>
            </w:r>
          </w:p>
        </w:tc>
        <w:tc>
          <w:tcPr>
            <w:tcW w:w="2551" w:type="dxa"/>
            <w:vAlign w:val="center"/>
          </w:tcPr>
          <w:p>
            <w:pPr>
              <w:pStyle w:val="14"/>
            </w:pPr>
            <w:r>
              <w:t>17.93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用于购置专职消防队员被装。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1.完成不少于60名在职人员被装发放。被装完好率达到100%。</w:t>
            </w:r>
          </w:p>
          <w:p>
            <w:pPr>
              <w:pStyle w:val="14"/>
            </w:pPr>
            <w:r>
              <w:t>2.严格按照《河北省消防救援总队关于做好专职消防员被装保障工作的通知》（冀消函【2020】482号）确定个人被装发放标准。个人年标准不超过2258.38元。</w:t>
            </w:r>
          </w:p>
          <w:p>
            <w:pPr>
              <w:pStyle w:val="14"/>
            </w:pPr>
            <w:r>
              <w:t>3.通过被装购置发放，统一大队人员日常服饰，保障人员生活、执勤，强化单位正规化管理。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5386" w:type="dxa"/>
            <w:vAlign w:val="center"/>
          </w:tcPr>
          <w:p>
            <w:pPr>
              <w:pStyle w:val="14"/>
            </w:pPr>
            <w:r>
              <w:t>发放人数</w:t>
            </w:r>
          </w:p>
        </w:tc>
        <w:tc>
          <w:tcPr>
            <w:tcW w:w="2268" w:type="dxa"/>
            <w:vAlign w:val="center"/>
          </w:tcPr>
          <w:p>
            <w:pPr>
              <w:pStyle w:val="14"/>
            </w:pPr>
            <w:r>
              <w:t>≥60人</w:t>
            </w:r>
          </w:p>
        </w:tc>
        <w:tc>
          <w:tcPr>
            <w:tcW w:w="1276" w:type="dxa"/>
            <w:vAlign w:val="center"/>
          </w:tcPr>
          <w:p>
            <w:pPr>
              <w:pStyle w:val="14"/>
            </w:pPr>
            <w:r>
              <w:t>单位实际人数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发放服装数</w:t>
            </w:r>
          </w:p>
        </w:tc>
        <w:tc>
          <w:tcPr>
            <w:tcW w:w="5386" w:type="dxa"/>
            <w:vAlign w:val="center"/>
          </w:tcPr>
          <w:p>
            <w:pPr>
              <w:pStyle w:val="14"/>
            </w:pPr>
            <w:r>
              <w:t>每人发放服装数量占发放标准数量比例</w:t>
            </w:r>
          </w:p>
        </w:tc>
        <w:tc>
          <w:tcPr>
            <w:tcW w:w="2268" w:type="dxa"/>
            <w:vAlign w:val="center"/>
          </w:tcPr>
          <w:p>
            <w:pPr>
              <w:pStyle w:val="14"/>
            </w:pPr>
            <w:r>
              <w:t>100%</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被装完好率</w:t>
            </w:r>
          </w:p>
        </w:tc>
        <w:tc>
          <w:tcPr>
            <w:tcW w:w="5386" w:type="dxa"/>
            <w:vAlign w:val="center"/>
          </w:tcPr>
          <w:p>
            <w:pPr>
              <w:pStyle w:val="14"/>
            </w:pPr>
            <w:r>
              <w:t>被装发放是否完好</w:t>
            </w:r>
          </w:p>
        </w:tc>
        <w:tc>
          <w:tcPr>
            <w:tcW w:w="2268" w:type="dxa"/>
            <w:vAlign w:val="center"/>
          </w:tcPr>
          <w:p>
            <w:pPr>
              <w:pStyle w:val="14"/>
            </w:pPr>
            <w:r>
              <w:t>100%</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被装发放及时率</w:t>
            </w:r>
          </w:p>
        </w:tc>
        <w:tc>
          <w:tcPr>
            <w:tcW w:w="5386" w:type="dxa"/>
            <w:vAlign w:val="center"/>
          </w:tcPr>
          <w:p>
            <w:pPr>
              <w:pStyle w:val="14"/>
            </w:pPr>
            <w:r>
              <w:t>新入职队员被装发放完成及时性</w:t>
            </w:r>
          </w:p>
        </w:tc>
        <w:tc>
          <w:tcPr>
            <w:tcW w:w="2268" w:type="dxa"/>
            <w:vAlign w:val="center"/>
          </w:tcPr>
          <w:p>
            <w:pPr>
              <w:pStyle w:val="14"/>
            </w:pPr>
            <w:r>
              <w:t>≥98%</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被装换发标准</w:t>
            </w:r>
          </w:p>
        </w:tc>
        <w:tc>
          <w:tcPr>
            <w:tcW w:w="5386" w:type="dxa"/>
            <w:vAlign w:val="center"/>
          </w:tcPr>
          <w:p>
            <w:pPr>
              <w:pStyle w:val="14"/>
            </w:pPr>
            <w:r>
              <w:t>全品种被装发放标准</w:t>
            </w:r>
          </w:p>
        </w:tc>
        <w:tc>
          <w:tcPr>
            <w:tcW w:w="2268" w:type="dxa"/>
            <w:vAlign w:val="center"/>
          </w:tcPr>
          <w:p>
            <w:pPr>
              <w:pStyle w:val="14"/>
            </w:pPr>
            <w:r>
              <w:t>≤2258.38元/人</w:t>
            </w:r>
          </w:p>
        </w:tc>
        <w:tc>
          <w:tcPr>
            <w:tcW w:w="1276" w:type="dxa"/>
            <w:vAlign w:val="center"/>
          </w:tcPr>
          <w:p>
            <w:pPr>
              <w:pStyle w:val="14"/>
            </w:pPr>
            <w:r>
              <w:t>《河北省消防救援总队关于做好专职消防员被装保障工作的通知》冀消函(2020)482号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人员服饰统一率</w:t>
            </w:r>
          </w:p>
        </w:tc>
        <w:tc>
          <w:tcPr>
            <w:tcW w:w="5386" w:type="dxa"/>
            <w:vAlign w:val="center"/>
          </w:tcPr>
          <w:p>
            <w:pPr>
              <w:pStyle w:val="14"/>
            </w:pPr>
            <w:r>
              <w:t>服饰是否统一</w:t>
            </w:r>
          </w:p>
        </w:tc>
        <w:tc>
          <w:tcPr>
            <w:tcW w:w="2268" w:type="dxa"/>
            <w:vAlign w:val="center"/>
          </w:tcPr>
          <w:p>
            <w:pPr>
              <w:pStyle w:val="14"/>
            </w:pPr>
            <w:r>
              <w:t>≥98%</w:t>
            </w:r>
          </w:p>
        </w:tc>
        <w:tc>
          <w:tcPr>
            <w:tcW w:w="1276" w:type="dxa"/>
            <w:vAlign w:val="center"/>
          </w:tcPr>
          <w:p>
            <w:pPr>
              <w:pStyle w:val="14"/>
            </w:pPr>
            <w:r>
              <w:t>《河北省消防救援总队关于做好专职消防员被装保障工作的通知》冀消函(2020)482号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受益人员满意度</w:t>
            </w:r>
          </w:p>
        </w:tc>
        <w:tc>
          <w:tcPr>
            <w:tcW w:w="5386" w:type="dxa"/>
            <w:vAlign w:val="center"/>
          </w:tcPr>
          <w:p>
            <w:pPr>
              <w:pStyle w:val="14"/>
            </w:pPr>
            <w:r>
              <w:t>领取被装人员满意率</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outlineLvl w:val="1"/>
      </w:pPr>
      <w:bookmarkStart w:id="26" w:name="_Toc22734"/>
      <w:r>
        <w:rPr>
          <w:rFonts w:ascii="方正仿宋_GBK" w:hAnsi="方正仿宋_GBK" w:eastAsia="方正仿宋_GBK" w:cs="方正仿宋_GBK"/>
          <w:b/>
          <w:color w:val="000000"/>
          <w:sz w:val="28"/>
        </w:rPr>
        <w:t>6、政府专职消防队员伙食保障经费绩效目标表</w:t>
      </w:r>
      <w:bookmarkEnd w:id="2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13062524P00001510803P</w:t>
            </w:r>
          </w:p>
        </w:tc>
        <w:tc>
          <w:tcPr>
            <w:tcW w:w="2835" w:type="dxa"/>
            <w:vAlign w:val="center"/>
          </w:tcPr>
          <w:p>
            <w:pPr>
              <w:pStyle w:val="12"/>
            </w:pPr>
            <w:r>
              <w:t>项目名称</w:t>
            </w:r>
          </w:p>
        </w:tc>
        <w:tc>
          <w:tcPr>
            <w:tcW w:w="6094" w:type="dxa"/>
            <w:gridSpan w:val="3"/>
            <w:vAlign w:val="center"/>
          </w:tcPr>
          <w:p>
            <w:pPr>
              <w:pStyle w:val="14"/>
            </w:pPr>
            <w:r>
              <w:t>政府专职消防队员伙食保障经费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102.04</w:t>
            </w:r>
          </w:p>
        </w:tc>
        <w:tc>
          <w:tcPr>
            <w:tcW w:w="2835" w:type="dxa"/>
            <w:vAlign w:val="center"/>
          </w:tcPr>
          <w:p>
            <w:pPr>
              <w:pStyle w:val="12"/>
            </w:pPr>
            <w:r>
              <w:t>其中：财政    资金</w:t>
            </w:r>
          </w:p>
        </w:tc>
        <w:tc>
          <w:tcPr>
            <w:tcW w:w="2551" w:type="dxa"/>
            <w:vAlign w:val="center"/>
          </w:tcPr>
          <w:p>
            <w:pPr>
              <w:pStyle w:val="14"/>
            </w:pPr>
            <w:r>
              <w:t>102.04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用于保障消防队员伙食。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15%</w:t>
            </w:r>
          </w:p>
        </w:tc>
        <w:tc>
          <w:tcPr>
            <w:tcW w:w="2835" w:type="dxa"/>
            <w:vAlign w:val="center"/>
          </w:tcPr>
          <w:p>
            <w:pPr>
              <w:pStyle w:val="15"/>
            </w:pPr>
            <w:r>
              <w:t>35%</w:t>
            </w:r>
          </w:p>
        </w:tc>
        <w:tc>
          <w:tcPr>
            <w:tcW w:w="2551" w:type="dxa"/>
            <w:vAlign w:val="center"/>
          </w:tcPr>
          <w:p>
            <w:pPr>
              <w:pStyle w:val="15"/>
            </w:pPr>
            <w:r>
              <w:t>60%</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1.根据标准每人每天41元足额保障。</w:t>
            </w:r>
          </w:p>
          <w:p>
            <w:pPr>
              <w:pStyle w:val="14"/>
            </w:pPr>
            <w:r>
              <w:t>2.确保每日伙食饭菜量充足、营养丰富、荤素搭配合理、干净卫生。</w:t>
            </w:r>
          </w:p>
          <w:p>
            <w:pPr>
              <w:pStyle w:val="14"/>
            </w:pPr>
            <w:r>
              <w:t>3.备齐日常保障物资，确保消防员夜间出警、长时间外出执勤等情况的伙食保障。</w:t>
            </w:r>
          </w:p>
          <w:p>
            <w:pPr>
              <w:pStyle w:val="14"/>
            </w:pPr>
            <w:r>
              <w:t>4.通过伙食保障，确保消防员吃得饱、吃得好，为完成各项业务训练、处置各类火灾事故打好体能素质基础。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保障人数</w:t>
            </w:r>
          </w:p>
        </w:tc>
        <w:tc>
          <w:tcPr>
            <w:tcW w:w="5386" w:type="dxa"/>
            <w:vAlign w:val="center"/>
          </w:tcPr>
          <w:p>
            <w:pPr>
              <w:pStyle w:val="14"/>
            </w:pPr>
            <w:r>
              <w:t>保障人数</w:t>
            </w:r>
          </w:p>
        </w:tc>
        <w:tc>
          <w:tcPr>
            <w:tcW w:w="2268" w:type="dxa"/>
            <w:vAlign w:val="center"/>
          </w:tcPr>
          <w:p>
            <w:pPr>
              <w:pStyle w:val="14"/>
            </w:pPr>
            <w:r>
              <w:t>≥60人</w:t>
            </w:r>
          </w:p>
        </w:tc>
        <w:tc>
          <w:tcPr>
            <w:tcW w:w="1276" w:type="dxa"/>
            <w:vAlign w:val="center"/>
          </w:tcPr>
          <w:p>
            <w:pPr>
              <w:pStyle w:val="14"/>
            </w:pPr>
            <w:r>
              <w:t>单位实际人数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夜餐保障情况</w:t>
            </w:r>
          </w:p>
        </w:tc>
        <w:tc>
          <w:tcPr>
            <w:tcW w:w="5386" w:type="dxa"/>
            <w:vAlign w:val="center"/>
          </w:tcPr>
          <w:p>
            <w:pPr>
              <w:pStyle w:val="14"/>
            </w:pPr>
            <w:r>
              <w:t>夜间出警夜餐保障到位率</w:t>
            </w:r>
          </w:p>
        </w:tc>
        <w:tc>
          <w:tcPr>
            <w:tcW w:w="2268" w:type="dxa"/>
            <w:vAlign w:val="center"/>
          </w:tcPr>
          <w:p>
            <w:pPr>
              <w:pStyle w:val="14"/>
            </w:pPr>
            <w:r>
              <w:t>≥80%</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保障充足情况</w:t>
            </w:r>
          </w:p>
        </w:tc>
        <w:tc>
          <w:tcPr>
            <w:tcW w:w="5386" w:type="dxa"/>
            <w:vAlign w:val="center"/>
          </w:tcPr>
          <w:p>
            <w:pPr>
              <w:pStyle w:val="14"/>
            </w:pPr>
            <w:r>
              <w:t>每餐伙食保障充足率</w:t>
            </w:r>
          </w:p>
        </w:tc>
        <w:tc>
          <w:tcPr>
            <w:tcW w:w="2268" w:type="dxa"/>
            <w:vAlign w:val="center"/>
          </w:tcPr>
          <w:p>
            <w:pPr>
              <w:pStyle w:val="14"/>
            </w:pPr>
            <w:r>
              <w:t>100%</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伙食保障及时率</w:t>
            </w:r>
          </w:p>
        </w:tc>
        <w:tc>
          <w:tcPr>
            <w:tcW w:w="5386" w:type="dxa"/>
            <w:vAlign w:val="center"/>
          </w:tcPr>
          <w:p>
            <w:pPr>
              <w:pStyle w:val="14"/>
            </w:pPr>
            <w:r>
              <w:t>按时开饭占比</w:t>
            </w:r>
          </w:p>
        </w:tc>
        <w:tc>
          <w:tcPr>
            <w:tcW w:w="2268" w:type="dxa"/>
            <w:vAlign w:val="center"/>
          </w:tcPr>
          <w:p>
            <w:pPr>
              <w:pStyle w:val="14"/>
            </w:pPr>
            <w:r>
              <w:t>≥95%</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伙食保障标准</w:t>
            </w:r>
          </w:p>
        </w:tc>
        <w:tc>
          <w:tcPr>
            <w:tcW w:w="5386" w:type="dxa"/>
            <w:vAlign w:val="center"/>
          </w:tcPr>
          <w:p>
            <w:pPr>
              <w:pStyle w:val="14"/>
            </w:pPr>
            <w:r>
              <w:t>每人每天保障标准</w:t>
            </w:r>
          </w:p>
        </w:tc>
        <w:tc>
          <w:tcPr>
            <w:tcW w:w="2268" w:type="dxa"/>
            <w:vAlign w:val="center"/>
          </w:tcPr>
          <w:p>
            <w:pPr>
              <w:pStyle w:val="14"/>
            </w:pPr>
            <w:r>
              <w:t>41元/天</w:t>
            </w:r>
          </w:p>
        </w:tc>
        <w:tc>
          <w:tcPr>
            <w:tcW w:w="1276" w:type="dxa"/>
            <w:vAlign w:val="center"/>
          </w:tcPr>
          <w:p>
            <w:pPr>
              <w:pStyle w:val="14"/>
            </w:pPr>
            <w:r>
              <w:t>《关于伙食费保障管理事宜的通知》（应急消函〔2020〕1号）《关于调整提高伙食补助费标准的通知》（应急消【2022】152号）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火灾事故处置率</w:t>
            </w:r>
          </w:p>
        </w:tc>
        <w:tc>
          <w:tcPr>
            <w:tcW w:w="5386" w:type="dxa"/>
            <w:vAlign w:val="center"/>
          </w:tcPr>
          <w:p>
            <w:pPr>
              <w:pStyle w:val="14"/>
            </w:pPr>
            <w:r>
              <w:t>成功处置火灾事故占比</w:t>
            </w:r>
          </w:p>
        </w:tc>
        <w:tc>
          <w:tcPr>
            <w:tcW w:w="2268" w:type="dxa"/>
            <w:vAlign w:val="center"/>
          </w:tcPr>
          <w:p>
            <w:pPr>
              <w:pStyle w:val="14"/>
            </w:pPr>
            <w:r>
              <w:t>100%</w:t>
            </w:r>
          </w:p>
        </w:tc>
        <w:tc>
          <w:tcPr>
            <w:tcW w:w="1276" w:type="dxa"/>
            <w:vAlign w:val="center"/>
          </w:tcPr>
          <w:p>
            <w:pPr>
              <w:pStyle w:val="14"/>
            </w:pPr>
            <w:r>
              <w:t>社会面火灾防控需求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政府专职消防队员满意度</w:t>
            </w:r>
          </w:p>
        </w:tc>
        <w:tc>
          <w:tcPr>
            <w:tcW w:w="5386" w:type="dxa"/>
            <w:vAlign w:val="center"/>
          </w:tcPr>
          <w:p>
            <w:pPr>
              <w:pStyle w:val="14"/>
            </w:pPr>
            <w:r>
              <w:t>政府专职消防队员对单位伙食的满意率</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outlineLvl w:val="1"/>
      </w:pPr>
      <w:bookmarkStart w:id="27" w:name="_Toc994"/>
      <w:r>
        <w:rPr>
          <w:rFonts w:ascii="方正仿宋_GBK" w:hAnsi="方正仿宋_GBK" w:eastAsia="方正仿宋_GBK" w:cs="方正仿宋_GBK"/>
          <w:b/>
          <w:color w:val="000000"/>
          <w:sz w:val="28"/>
        </w:rPr>
        <w:t>7、政府专职消防队装备器材购置绩效目标表</w:t>
      </w:r>
      <w:bookmarkEnd w:id="2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13062524P000015108024</w:t>
            </w:r>
          </w:p>
        </w:tc>
        <w:tc>
          <w:tcPr>
            <w:tcW w:w="2835" w:type="dxa"/>
            <w:vAlign w:val="center"/>
          </w:tcPr>
          <w:p>
            <w:pPr>
              <w:pStyle w:val="12"/>
            </w:pPr>
            <w:r>
              <w:t>项目名称</w:t>
            </w:r>
          </w:p>
        </w:tc>
        <w:tc>
          <w:tcPr>
            <w:tcW w:w="6094" w:type="dxa"/>
            <w:gridSpan w:val="3"/>
            <w:vAlign w:val="center"/>
          </w:tcPr>
          <w:p>
            <w:pPr>
              <w:pStyle w:val="14"/>
            </w:pPr>
            <w:r>
              <w:t>政府专职消防队装备器材购置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64.33</w:t>
            </w:r>
          </w:p>
        </w:tc>
        <w:tc>
          <w:tcPr>
            <w:tcW w:w="2835" w:type="dxa"/>
            <w:vAlign w:val="center"/>
          </w:tcPr>
          <w:p>
            <w:pPr>
              <w:pStyle w:val="12"/>
            </w:pPr>
            <w:r>
              <w:t>其中：财政    资金</w:t>
            </w:r>
          </w:p>
        </w:tc>
        <w:tc>
          <w:tcPr>
            <w:tcW w:w="2551" w:type="dxa"/>
            <w:vAlign w:val="center"/>
          </w:tcPr>
          <w:p>
            <w:pPr>
              <w:pStyle w:val="14"/>
            </w:pPr>
            <w:r>
              <w:t>64.33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用于购置消防装备器材。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3"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1.通过购置装备器材，以提高消防救援处置各类灾害、应急突发事件能力和水平。</w:t>
            </w:r>
          </w:p>
          <w:p>
            <w:pPr>
              <w:pStyle w:val="14"/>
            </w:pPr>
            <w:r>
              <w:t>2.购置灭火、个人防护、侦检、破拆、水域救援等消防器材100件，采购设备合格率达98%，使人员防护装备覆盖率达100%。</w:t>
            </w:r>
          </w:p>
          <w:p>
            <w:pPr>
              <w:pStyle w:val="14"/>
            </w:pPr>
            <w:r>
              <w:t>3.通过新配器材，更好的完成好各类灭火救援任务。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新购器材配备率</w:t>
            </w:r>
          </w:p>
        </w:tc>
        <w:tc>
          <w:tcPr>
            <w:tcW w:w="5386" w:type="dxa"/>
            <w:vAlign w:val="center"/>
          </w:tcPr>
          <w:p>
            <w:pPr>
              <w:pStyle w:val="14"/>
            </w:pPr>
            <w:r>
              <w:t>采购消防器材装配使用的比率</w:t>
            </w:r>
          </w:p>
        </w:tc>
        <w:tc>
          <w:tcPr>
            <w:tcW w:w="2268" w:type="dxa"/>
            <w:vAlign w:val="center"/>
          </w:tcPr>
          <w:p>
            <w:pPr>
              <w:pStyle w:val="14"/>
            </w:pPr>
            <w:r>
              <w:t>≥80%</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购置合格率</w:t>
            </w:r>
          </w:p>
        </w:tc>
        <w:tc>
          <w:tcPr>
            <w:tcW w:w="5386" w:type="dxa"/>
            <w:vAlign w:val="center"/>
          </w:tcPr>
          <w:p>
            <w:pPr>
              <w:pStyle w:val="14"/>
            </w:pPr>
            <w:r>
              <w:t>购置消防器材合格数量占购置总数量的比率</w:t>
            </w:r>
          </w:p>
        </w:tc>
        <w:tc>
          <w:tcPr>
            <w:tcW w:w="2268" w:type="dxa"/>
            <w:vAlign w:val="center"/>
          </w:tcPr>
          <w:p>
            <w:pPr>
              <w:pStyle w:val="14"/>
            </w:pPr>
            <w:r>
              <w:t>≥98%</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器材采购及时性</w:t>
            </w:r>
          </w:p>
        </w:tc>
        <w:tc>
          <w:tcPr>
            <w:tcW w:w="5386" w:type="dxa"/>
            <w:vAlign w:val="center"/>
          </w:tcPr>
          <w:p>
            <w:pPr>
              <w:pStyle w:val="14"/>
            </w:pPr>
            <w:r>
              <w:t>器材采购完成所需时间</w:t>
            </w:r>
          </w:p>
        </w:tc>
        <w:tc>
          <w:tcPr>
            <w:tcW w:w="2268" w:type="dxa"/>
            <w:vAlign w:val="center"/>
          </w:tcPr>
          <w:p>
            <w:pPr>
              <w:pStyle w:val="14"/>
            </w:pPr>
            <w:r>
              <w:t>≤12月</w:t>
            </w:r>
          </w:p>
        </w:tc>
        <w:tc>
          <w:tcPr>
            <w:tcW w:w="1276" w:type="dxa"/>
            <w:vAlign w:val="center"/>
          </w:tcPr>
          <w:p>
            <w:pPr>
              <w:pStyle w:val="14"/>
            </w:pPr>
            <w:r>
              <w:t>依据项目实施计划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消防器材采购金额</w:t>
            </w:r>
          </w:p>
        </w:tc>
        <w:tc>
          <w:tcPr>
            <w:tcW w:w="5386" w:type="dxa"/>
            <w:vAlign w:val="center"/>
          </w:tcPr>
          <w:p>
            <w:pPr>
              <w:pStyle w:val="14"/>
            </w:pPr>
            <w:r>
              <w:t>器材采购金额</w:t>
            </w:r>
          </w:p>
        </w:tc>
        <w:tc>
          <w:tcPr>
            <w:tcW w:w="2268" w:type="dxa"/>
            <w:vAlign w:val="center"/>
          </w:tcPr>
          <w:p>
            <w:pPr>
              <w:pStyle w:val="14"/>
            </w:pPr>
            <w:r>
              <w:t xml:space="preserve">≤65万元 </w:t>
            </w:r>
          </w:p>
        </w:tc>
        <w:tc>
          <w:tcPr>
            <w:tcW w:w="1276" w:type="dxa"/>
            <w:vAlign w:val="center"/>
          </w:tcPr>
          <w:p>
            <w:pPr>
              <w:pStyle w:val="14"/>
            </w:pPr>
            <w:r>
              <w:t>单位工作实际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人员防护装备覆盖率</w:t>
            </w:r>
          </w:p>
        </w:tc>
        <w:tc>
          <w:tcPr>
            <w:tcW w:w="5386" w:type="dxa"/>
            <w:vAlign w:val="center"/>
          </w:tcPr>
          <w:p>
            <w:pPr>
              <w:pStyle w:val="14"/>
            </w:pPr>
            <w:r>
              <w:t>防护装备配发已完成人数与总人数比率</w:t>
            </w:r>
          </w:p>
        </w:tc>
        <w:tc>
          <w:tcPr>
            <w:tcW w:w="2268" w:type="dxa"/>
            <w:vAlign w:val="center"/>
          </w:tcPr>
          <w:p>
            <w:pPr>
              <w:pStyle w:val="14"/>
            </w:pPr>
            <w:r>
              <w:t>100%</w:t>
            </w:r>
          </w:p>
        </w:tc>
        <w:tc>
          <w:tcPr>
            <w:tcW w:w="1276" w:type="dxa"/>
            <w:vAlign w:val="center"/>
          </w:tcPr>
          <w:p>
            <w:pPr>
              <w:pStyle w:val="14"/>
            </w:pPr>
            <w:r>
              <w:t>灭火救援实际需求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5386" w:type="dxa"/>
            <w:vAlign w:val="center"/>
          </w:tcPr>
          <w:p>
            <w:pPr>
              <w:pStyle w:val="14"/>
            </w:pPr>
            <w:r>
              <w:t>单位内使用人员满意率</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0"/>
      </w:pPr>
      <w:bookmarkStart w:id="28" w:name="_Toc26921"/>
      <w:r>
        <w:rPr>
          <w:rFonts w:ascii="黑体" w:hAnsi="黑体" w:eastAsia="黑体" w:cs="黑体"/>
          <w:color w:val="000000"/>
          <w:sz w:val="32"/>
        </w:rPr>
        <w:t>六、政府采购预算情况</w:t>
      </w:r>
      <w:bookmarkEnd w:id="28"/>
    </w:p>
    <w:p>
      <w:pPr>
        <w:jc w:val="center"/>
        <w:outlineLvl w:val="0"/>
      </w:pPr>
      <w:bookmarkStart w:id="29" w:name="_Toc11580"/>
      <w:r>
        <w:rPr>
          <w:rFonts w:ascii="方正小标宋_GBK" w:hAnsi="方正小标宋_GBK" w:eastAsia="方正小标宋_GBK" w:cs="方正小标宋_GBK"/>
          <w:color w:val="000000"/>
          <w:sz w:val="36"/>
        </w:rPr>
        <w:t>单位政府采购预算</w:t>
      </w:r>
      <w:bookmarkEnd w:id="29"/>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807001保定市徐水区消防救援大队本级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0"/>
      </w:pPr>
      <w:bookmarkStart w:id="30" w:name="_Toc20223"/>
      <w:r>
        <w:rPr>
          <w:rFonts w:ascii="黑体" w:hAnsi="黑体" w:eastAsia="黑体" w:cs="黑体"/>
          <w:color w:val="000000"/>
          <w:sz w:val="32"/>
        </w:rPr>
        <w:t>七、国有资产信息</w:t>
      </w:r>
      <w:bookmarkEnd w:id="30"/>
    </w:p>
    <w:p>
      <w:pPr>
        <w:spacing w:line="500" w:lineRule="exact"/>
        <w:ind w:firstLine="560"/>
      </w:pPr>
      <w:r>
        <w:rPr>
          <w:rFonts w:eastAsia="方正仿宋_GBK"/>
          <w:color w:val="000000"/>
          <w:sz w:val="28"/>
        </w:rPr>
        <w:t>保定市徐水区消防救援大队本级上年末固定资产金额为0.00万元（详见下表）。本年度拟购置固定资产总额为0.00万元，已按要求列入政府采购预算，详见政府采购预算表。</w:t>
      </w:r>
    </w:p>
    <w:p>
      <w:pPr>
        <w:jc w:val="center"/>
        <w:outlineLvl w:val="0"/>
      </w:pPr>
      <w:bookmarkStart w:id="31" w:name="_Toc690"/>
      <w:r>
        <w:rPr>
          <w:rFonts w:ascii="方正小标宋_GBK" w:hAnsi="方正小标宋_GBK" w:eastAsia="方正小标宋_GBK" w:cs="方正小标宋_GBK"/>
          <w:color w:val="000000"/>
          <w:sz w:val="36"/>
        </w:rPr>
        <w:t>单位固定资产占用情况表</w:t>
      </w:r>
      <w:bookmarkEnd w:id="3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807001保定市徐水区消防救援大队本级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0"/>
      </w:pPr>
      <w:bookmarkStart w:id="32" w:name="_Toc13269"/>
      <w:r>
        <w:rPr>
          <w:rFonts w:ascii="黑体" w:hAnsi="黑体" w:eastAsia="黑体" w:cs="黑体"/>
          <w:color w:val="000000"/>
          <w:sz w:val="32"/>
        </w:rPr>
        <w:t>八、名词解释</w:t>
      </w:r>
      <w:bookmarkEnd w:id="32"/>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0"/>
      </w:pPr>
      <w:bookmarkStart w:id="33" w:name="_Toc13863"/>
      <w:r>
        <w:rPr>
          <w:rFonts w:ascii="黑体" w:hAnsi="黑体" w:eastAsia="黑体" w:cs="黑体"/>
          <w:color w:val="000000"/>
          <w:sz w:val="32"/>
        </w:rPr>
        <w:t>九、其他需要说明的事项</w:t>
      </w:r>
      <w:bookmarkEnd w:id="33"/>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2ZDQ0MjNkY2Y1YzllYjA2MWFjNGZjMDYzZTQ2MzkifQ=="/>
  </w:docVars>
  <w:rsids>
    <w:rsidRoot w:val="0007604B"/>
    <w:rsid w:val="0007604B"/>
    <w:rsid w:val="00136E95"/>
    <w:rsid w:val="00826042"/>
    <w:rsid w:val="00890778"/>
    <w:rsid w:val="0093666F"/>
    <w:rsid w:val="00EB2B98"/>
    <w:rsid w:val="13081D2B"/>
    <w:rsid w:val="23B15C7C"/>
    <w:rsid w:val="39EC3562"/>
    <w:rsid w:val="51BE7808"/>
    <w:rsid w:val="5F057868"/>
    <w:rsid w:val="7BD00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5"/>
    <w:unhideWhenUsed/>
    <w:uiPriority w:val="99"/>
    <w:pPr>
      <w:tabs>
        <w:tab w:val="center" w:pos="4153"/>
        <w:tab w:val="right" w:pos="8306"/>
      </w:tabs>
      <w:snapToGrid w:val="0"/>
    </w:pPr>
    <w:rPr>
      <w:sz w:val="18"/>
      <w:szCs w:val="18"/>
    </w:rPr>
  </w:style>
  <w:style w:type="paragraph" w:styleId="3">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sz w:val="28"/>
    </w:rPr>
  </w:style>
  <w:style w:type="paragraph" w:customStyle="1" w:styleId="2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character" w:customStyle="1" w:styleId="24">
    <w:name w:val="页眉 字符"/>
    <w:basedOn w:val="8"/>
    <w:link w:val="3"/>
    <w:uiPriority w:val="99"/>
    <w:rPr>
      <w:rFonts w:eastAsia="Times New Roman"/>
      <w:sz w:val="18"/>
      <w:szCs w:val="18"/>
      <w:lang w:eastAsia="uk-UA"/>
    </w:rPr>
  </w:style>
  <w:style w:type="character" w:customStyle="1" w:styleId="25">
    <w:name w:val="页脚 字符"/>
    <w:basedOn w:val="8"/>
    <w:link w:val="2"/>
    <w:uiPriority w:val="99"/>
    <w:rPr>
      <w:rFonts w:eastAsia="Times New Roman"/>
      <w:sz w:val="18"/>
      <w:szCs w:val="18"/>
      <w:lang w:eastAsia="uk-UA"/>
    </w:rPr>
  </w:style>
  <w:style w:type="paragraph" w:customStyle="1" w:styleId="26">
    <w:name w:val="WPSOffice手动目录 1"/>
    <w:uiPriority w:val="0"/>
    <w:pPr>
      <w:ind w:leftChars="0"/>
    </w:pPr>
    <w:rPr>
      <w:rFonts w:ascii="Times New Roman" w:hAnsi="Times New Roman" w:cs="Times New Roman" w:eastAsiaTheme="minorEastAsia"/>
      <w:sz w:val="20"/>
      <w:szCs w:val="20"/>
    </w:rPr>
  </w:style>
  <w:style w:type="paragraph" w:customStyle="1" w:styleId="27">
    <w:name w:val="WPSOffice手动目录 2"/>
    <w:uiPriority w:val="0"/>
    <w:pPr>
      <w:ind w:leftChars="200"/>
    </w:pPr>
    <w:rPr>
      <w:rFonts w:ascii="Times New Roman" w:hAnsi="Times New Roman" w:cs="Times New Roman" w:eastAsiaTheme="minorEastAsia"/>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2024-04-08T14:43:30Z</dcterms:created>
  <dcterms:modified xsi:type="dcterms:W3CDTF">2024-04-08T06:43:30Z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2024-04-08T14:43:30Z</dcterms:created>
  <dcterms:modified xsi:type="dcterms:W3CDTF">2024-04-08T06:43:30Z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2024-04-08T14:43:28Z</dcterms:created>
  <dcterms:modified xsi:type="dcterms:W3CDTF">2024-04-08T06:43:28Z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2024-04-08T14:43:29Z</dcterms:created>
  <dcterms:modified xsi:type="dcterms:W3CDTF">2024-04-08T06:43:29Z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2024-04-08T14:43:29Z</dcterms:created>
  <dcterms:modified xsi:type="dcterms:W3CDTF">2024-04-08T06:43:29Z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2024-04-08T14:43:30Z</dcterms:created>
  <dcterms:modified xsi:type="dcterms:W3CDTF">2024-04-08T06:43:30Z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2024-04-08T14:43:26Z</dcterms:created>
  <dcterms:modified xsi:type="dcterms:W3CDTF">2024-04-08T06:43:26Z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2024-04-08T14:43:29Z</dcterms:created>
  <dcterms:modified xsi:type="dcterms:W3CDTF">2024-04-08T06:43:29Z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2024-04-08T14:43:29Z</dcterms:created>
  <dcterms:modified xsi:type="dcterms:W3CDTF">2024-04-08T06:43:29Z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2024-04-08T14:43:29Z</dcterms:created>
  <dcterms:modified xsi:type="dcterms:W3CDTF">2024-04-08T06:43:29Z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D7F10BB-3ABC-4A5C-9020-2D4A5CAE297A}">
  <ds:schemaRefs/>
</ds:datastoreItem>
</file>

<file path=customXml/itemProps10.xml><?xml version="1.0" encoding="utf-8"?>
<ds:datastoreItem xmlns:ds="http://schemas.openxmlformats.org/officeDocument/2006/customXml" ds:itemID="{EC422F54-B956-4C31-B45E-253AE926369A}">
  <ds:schemaRefs/>
</ds:datastoreItem>
</file>

<file path=customXml/itemProps11.xml><?xml version="1.0" encoding="utf-8"?>
<ds:datastoreItem xmlns:ds="http://schemas.openxmlformats.org/officeDocument/2006/customXml" ds:itemID="{2202C8EF-2052-47D9-9046-9BF090C501CA}">
  <ds:schemaRefs/>
</ds:datastoreItem>
</file>

<file path=customXml/itemProps12.xml><?xml version="1.0" encoding="utf-8"?>
<ds:datastoreItem xmlns:ds="http://schemas.openxmlformats.org/officeDocument/2006/customXml" ds:itemID="{12691F85-9297-4D94-9C5B-00CD8021DF89}">
  <ds:schemaRefs/>
</ds:datastoreItem>
</file>

<file path=customXml/itemProps13.xml><?xml version="1.0" encoding="utf-8"?>
<ds:datastoreItem xmlns:ds="http://schemas.openxmlformats.org/officeDocument/2006/customXml" ds:itemID="{DBF7D678-1C99-476F-9D9D-2830DB694E36}">
  <ds:schemaRefs/>
</ds:datastoreItem>
</file>

<file path=customXml/itemProps14.xml><?xml version="1.0" encoding="utf-8"?>
<ds:datastoreItem xmlns:ds="http://schemas.openxmlformats.org/officeDocument/2006/customXml" ds:itemID="{6FC46063-E47A-4570-83F4-1AA3631768AD}">
  <ds:schemaRefs/>
</ds:datastoreItem>
</file>

<file path=customXml/itemProps15.xml><?xml version="1.0" encoding="utf-8"?>
<ds:datastoreItem xmlns:ds="http://schemas.openxmlformats.org/officeDocument/2006/customXml" ds:itemID="{5AFB1FD7-D0D4-4669-95EF-DD3218C606BB}">
  <ds:schemaRefs/>
</ds:datastoreItem>
</file>

<file path=customXml/itemProps16.xml><?xml version="1.0" encoding="utf-8"?>
<ds:datastoreItem xmlns:ds="http://schemas.openxmlformats.org/officeDocument/2006/customXml" ds:itemID="{45B5D77F-85B6-4493-9709-629A69D19BE9}">
  <ds:schemaRefs/>
</ds:datastoreItem>
</file>

<file path=customXml/itemProps17.xml><?xml version="1.0" encoding="utf-8"?>
<ds:datastoreItem xmlns:ds="http://schemas.openxmlformats.org/officeDocument/2006/customXml" ds:itemID="{652BDC05-362F-47E1-B4CE-BEE8B274DB80}">
  <ds:schemaRefs/>
</ds:datastoreItem>
</file>

<file path=customXml/itemProps18.xml><?xml version="1.0" encoding="utf-8"?>
<ds:datastoreItem xmlns:ds="http://schemas.openxmlformats.org/officeDocument/2006/customXml" ds:itemID="{3EBC75E0-D21A-4DC6-A44B-4075772D0ABE}">
  <ds:schemaRefs/>
</ds:datastoreItem>
</file>

<file path=customXml/itemProps19.xml><?xml version="1.0" encoding="utf-8"?>
<ds:datastoreItem xmlns:ds="http://schemas.openxmlformats.org/officeDocument/2006/customXml" ds:itemID="{477CEA63-803D-4661-8BB9-BB421CF91FA6}">
  <ds:schemaRefs/>
</ds:datastoreItem>
</file>

<file path=customXml/itemProps2.xml><?xml version="1.0" encoding="utf-8"?>
<ds:datastoreItem xmlns:ds="http://schemas.openxmlformats.org/officeDocument/2006/customXml" ds:itemID="{94C36923-740C-4A80-B1A0-5CA1E4E64B5E}">
  <ds:schemaRefs/>
</ds:datastoreItem>
</file>

<file path=customXml/itemProps20.xml><?xml version="1.0" encoding="utf-8"?>
<ds:datastoreItem xmlns:ds="http://schemas.openxmlformats.org/officeDocument/2006/customXml" ds:itemID="{EA7D76B2-1811-4E8D-9650-89F9C3C871CA}">
  <ds:schemaRefs/>
</ds:datastoreItem>
</file>

<file path=customXml/itemProps3.xml><?xml version="1.0" encoding="utf-8"?>
<ds:datastoreItem xmlns:ds="http://schemas.openxmlformats.org/officeDocument/2006/customXml" ds:itemID="{791EBA8A-71F4-460F-99AF-415FECF775FF}">
  <ds:schemaRefs/>
</ds:datastoreItem>
</file>

<file path=customXml/itemProps4.xml><?xml version="1.0" encoding="utf-8"?>
<ds:datastoreItem xmlns:ds="http://schemas.openxmlformats.org/officeDocument/2006/customXml" ds:itemID="{F58031F0-DB9C-4711-9B78-542B72767D32}">
  <ds:schemaRefs/>
</ds:datastoreItem>
</file>

<file path=customXml/itemProps5.xml><?xml version="1.0" encoding="utf-8"?>
<ds:datastoreItem xmlns:ds="http://schemas.openxmlformats.org/officeDocument/2006/customXml" ds:itemID="{7202023E-0082-41F8-AD05-FA03C477E500}">
  <ds:schemaRefs/>
</ds:datastoreItem>
</file>

<file path=customXml/itemProps6.xml><?xml version="1.0" encoding="utf-8"?>
<ds:datastoreItem xmlns:ds="http://schemas.openxmlformats.org/officeDocument/2006/customXml" ds:itemID="{E787F2DA-6583-41DC-BA74-9ADDCE88876E}">
  <ds:schemaRefs/>
</ds:datastoreItem>
</file>

<file path=customXml/itemProps7.xml><?xml version="1.0" encoding="utf-8"?>
<ds:datastoreItem xmlns:ds="http://schemas.openxmlformats.org/officeDocument/2006/customXml" ds:itemID="{1E005E40-F937-4EF2-8B56-C2A9BDB74DE8}">
  <ds:schemaRefs/>
</ds:datastoreItem>
</file>

<file path=customXml/itemProps8.xml><?xml version="1.0" encoding="utf-8"?>
<ds:datastoreItem xmlns:ds="http://schemas.openxmlformats.org/officeDocument/2006/customXml" ds:itemID="{2CE9EC72-0BA2-41A3-B170-F3178AB1B0AD}">
  <ds:schemaRefs/>
</ds:datastoreItem>
</file>

<file path=customXml/itemProps9.xml><?xml version="1.0" encoding="utf-8"?>
<ds:datastoreItem xmlns:ds="http://schemas.openxmlformats.org/officeDocument/2006/customXml" ds:itemID="{2E93A676-8AF0-42CA-ABA7-70C4883454A0}">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8305</Words>
  <Characters>9371</Characters>
  <Lines>78</Lines>
  <Paragraphs>21</Paragraphs>
  <TotalTime>5</TotalTime>
  <ScaleCrop>false</ScaleCrop>
  <LinksUpToDate>false</LinksUpToDate>
  <CharactersWithSpaces>9579</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2024-04-08T06:40:00Z</dcterms:created>
  <dc:creator>Administrator</dc:creator>
  <cp:lastModifiedBy>119</cp:lastModifiedBy>
  <dcterms:modified xsi:type="dcterms:W3CDTF">2024-04-08T08:35:40Z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B74CE17AD97641F9A4B56F4976A7F0AD</vt:lpwstr>
  </property>
</Properties>
</file>