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p>
    <w:p>
      <w:pPr>
        <w:spacing w:before="0" w:after="0" w:line="240" w:lineRule="auto"/>
        <w:ind w:firstLine="0"/>
        <w:jc w:val="left"/>
        <w:outlineLvl w:val="9"/>
      </w:pPr>
      <w:r>
        <w:fldChar w:fldCharType="end"/>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2</w:t>
      </w:r>
      <w:r>
        <w:fldChar w:fldCharType="end"/>
      </w:r>
      <w:r>
        <w:rPr>
          <w:rFonts w:hint="eastAsia"/>
          <w:lang w:val="en-US" w:eastAsia="zh-CN"/>
        </w:rPr>
        <w:t>1</w:t>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rPr>
          <w:rFonts w:hint="eastAsia"/>
          <w:lang w:val="en-US" w:eastAsia="zh-CN"/>
        </w:rPr>
        <w:t>22</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4</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4</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4</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4</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756.92</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r>
              <w:t>648.70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82.01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756.92</w:t>
            </w:r>
          </w:p>
        </w:tc>
        <w:tc>
          <w:tcPr>
            <w:tcW w:w="2959" w:type="dxa"/>
            <w:vAlign w:val="center"/>
          </w:tcPr>
          <w:p>
            <w:pPr>
              <w:pStyle w:val="14"/>
            </w:pPr>
            <w:r>
              <w:t>本年支出合计</w:t>
            </w:r>
          </w:p>
        </w:tc>
        <w:tc>
          <w:tcPr>
            <w:tcW w:w="2959" w:type="dxa"/>
            <w:vAlign w:val="center"/>
          </w:tcPr>
          <w:p>
            <w:pPr>
              <w:pStyle w:val="15"/>
            </w:pPr>
            <w:r>
              <w:t>756.92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756.92</w:t>
            </w:r>
          </w:p>
        </w:tc>
        <w:tc>
          <w:tcPr>
            <w:tcW w:w="2959" w:type="dxa"/>
            <w:vAlign w:val="center"/>
          </w:tcPr>
          <w:p>
            <w:pPr>
              <w:pStyle w:val="14"/>
            </w:pPr>
            <w:r>
              <w:t>支出总计</w:t>
            </w:r>
          </w:p>
        </w:tc>
        <w:tc>
          <w:tcPr>
            <w:tcW w:w="2959" w:type="dxa"/>
            <w:vAlign w:val="center"/>
          </w:tcPr>
          <w:p>
            <w:pPr>
              <w:pStyle w:val="15"/>
            </w:pPr>
            <w:r>
              <w:t>756.92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756.92</w:t>
            </w:r>
          </w:p>
        </w:tc>
        <w:tc>
          <w:tcPr>
            <w:tcW w:w="758" w:type="dxa"/>
            <w:vAlign w:val="center"/>
          </w:tcPr>
          <w:p>
            <w:pPr>
              <w:pStyle w:val="15"/>
            </w:pPr>
            <w:r>
              <w:t>756.92</w:t>
            </w:r>
          </w:p>
        </w:tc>
        <w:tc>
          <w:tcPr>
            <w:tcW w:w="758" w:type="dxa"/>
            <w:vAlign w:val="center"/>
          </w:tcPr>
          <w:p>
            <w:pPr>
              <w:pStyle w:val="15"/>
            </w:pPr>
            <w:r>
              <w:t>756.92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204</w:t>
            </w:r>
          </w:p>
        </w:tc>
        <w:tc>
          <w:tcPr>
            <w:tcW w:w="758" w:type="dxa"/>
            <w:vAlign w:val="center"/>
          </w:tcPr>
          <w:p>
            <w:pPr>
              <w:pStyle w:val="12"/>
            </w:pPr>
            <w:r>
              <w:t>公共安全支出</w:t>
            </w:r>
          </w:p>
        </w:tc>
        <w:tc>
          <w:tcPr>
            <w:tcW w:w="758" w:type="dxa"/>
            <w:vAlign w:val="center"/>
          </w:tcPr>
          <w:p>
            <w:pPr>
              <w:pStyle w:val="11"/>
            </w:pPr>
            <w:r>
              <w:t>648.70</w:t>
            </w:r>
          </w:p>
        </w:tc>
        <w:tc>
          <w:tcPr>
            <w:tcW w:w="758" w:type="dxa"/>
            <w:vAlign w:val="center"/>
          </w:tcPr>
          <w:p>
            <w:pPr>
              <w:pStyle w:val="11"/>
            </w:pPr>
            <w:r>
              <w:t>648.70</w:t>
            </w:r>
          </w:p>
        </w:tc>
        <w:tc>
          <w:tcPr>
            <w:tcW w:w="758" w:type="dxa"/>
            <w:vAlign w:val="center"/>
          </w:tcPr>
          <w:p>
            <w:pPr>
              <w:pStyle w:val="11"/>
            </w:pPr>
            <w:r>
              <w:t>648.70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20402</w:t>
            </w:r>
          </w:p>
        </w:tc>
        <w:tc>
          <w:tcPr>
            <w:tcW w:w="758" w:type="dxa"/>
            <w:vAlign w:val="center"/>
          </w:tcPr>
          <w:p>
            <w:pPr>
              <w:pStyle w:val="12"/>
            </w:pPr>
            <w:r>
              <w:t>公安</w:t>
            </w:r>
          </w:p>
        </w:tc>
        <w:tc>
          <w:tcPr>
            <w:tcW w:w="758" w:type="dxa"/>
            <w:vAlign w:val="center"/>
          </w:tcPr>
          <w:p>
            <w:pPr>
              <w:pStyle w:val="11"/>
            </w:pPr>
            <w:r>
              <w:t>648.70</w:t>
            </w:r>
          </w:p>
        </w:tc>
        <w:tc>
          <w:tcPr>
            <w:tcW w:w="758" w:type="dxa"/>
            <w:vAlign w:val="center"/>
          </w:tcPr>
          <w:p>
            <w:pPr>
              <w:pStyle w:val="11"/>
            </w:pPr>
            <w:r>
              <w:t>648.70</w:t>
            </w:r>
          </w:p>
        </w:tc>
        <w:tc>
          <w:tcPr>
            <w:tcW w:w="758" w:type="dxa"/>
            <w:vAlign w:val="center"/>
          </w:tcPr>
          <w:p>
            <w:pPr>
              <w:pStyle w:val="11"/>
            </w:pPr>
            <w:r>
              <w:t>648.70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2040201</w:t>
            </w:r>
          </w:p>
        </w:tc>
        <w:tc>
          <w:tcPr>
            <w:tcW w:w="758" w:type="dxa"/>
            <w:vAlign w:val="center"/>
          </w:tcPr>
          <w:p>
            <w:pPr>
              <w:pStyle w:val="12"/>
            </w:pPr>
            <w:r>
              <w:t>行政运行</w:t>
            </w:r>
          </w:p>
        </w:tc>
        <w:tc>
          <w:tcPr>
            <w:tcW w:w="758" w:type="dxa"/>
            <w:vAlign w:val="center"/>
          </w:tcPr>
          <w:p>
            <w:pPr>
              <w:pStyle w:val="11"/>
            </w:pPr>
            <w:r>
              <w:t>235.62</w:t>
            </w:r>
          </w:p>
        </w:tc>
        <w:tc>
          <w:tcPr>
            <w:tcW w:w="758" w:type="dxa"/>
            <w:vAlign w:val="center"/>
          </w:tcPr>
          <w:p>
            <w:pPr>
              <w:pStyle w:val="11"/>
            </w:pPr>
            <w:r>
              <w:t>235.62</w:t>
            </w:r>
          </w:p>
        </w:tc>
        <w:tc>
          <w:tcPr>
            <w:tcW w:w="758" w:type="dxa"/>
            <w:vAlign w:val="center"/>
          </w:tcPr>
          <w:p>
            <w:pPr>
              <w:pStyle w:val="11"/>
            </w:pPr>
            <w:r>
              <w:t>235.62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2040202</w:t>
            </w:r>
          </w:p>
        </w:tc>
        <w:tc>
          <w:tcPr>
            <w:tcW w:w="758" w:type="dxa"/>
            <w:vAlign w:val="center"/>
          </w:tcPr>
          <w:p>
            <w:pPr>
              <w:pStyle w:val="12"/>
            </w:pPr>
            <w:r>
              <w:t>一般行政管理事务</w:t>
            </w:r>
          </w:p>
        </w:tc>
        <w:tc>
          <w:tcPr>
            <w:tcW w:w="758" w:type="dxa"/>
            <w:vAlign w:val="center"/>
          </w:tcPr>
          <w:p>
            <w:pPr>
              <w:pStyle w:val="11"/>
            </w:pPr>
            <w:r>
              <w:t>413.08</w:t>
            </w:r>
          </w:p>
        </w:tc>
        <w:tc>
          <w:tcPr>
            <w:tcW w:w="758" w:type="dxa"/>
            <w:vAlign w:val="center"/>
          </w:tcPr>
          <w:p>
            <w:pPr>
              <w:pStyle w:val="11"/>
            </w:pPr>
            <w:r>
              <w:t>413.08</w:t>
            </w:r>
          </w:p>
        </w:tc>
        <w:tc>
          <w:tcPr>
            <w:tcW w:w="758" w:type="dxa"/>
            <w:vAlign w:val="center"/>
          </w:tcPr>
          <w:p>
            <w:pPr>
              <w:pStyle w:val="11"/>
            </w:pPr>
            <w:r>
              <w:t>413.08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82.01</w:t>
            </w:r>
          </w:p>
        </w:tc>
        <w:tc>
          <w:tcPr>
            <w:tcW w:w="758" w:type="dxa"/>
            <w:vAlign w:val="center"/>
          </w:tcPr>
          <w:p>
            <w:pPr>
              <w:pStyle w:val="11"/>
            </w:pPr>
            <w:r>
              <w:t>82.01</w:t>
            </w:r>
          </w:p>
        </w:tc>
        <w:tc>
          <w:tcPr>
            <w:tcW w:w="758" w:type="dxa"/>
            <w:vAlign w:val="center"/>
          </w:tcPr>
          <w:p>
            <w:pPr>
              <w:pStyle w:val="11"/>
            </w:pPr>
            <w:r>
              <w:t>82.01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82.01</w:t>
            </w:r>
          </w:p>
        </w:tc>
        <w:tc>
          <w:tcPr>
            <w:tcW w:w="758" w:type="dxa"/>
            <w:vAlign w:val="center"/>
          </w:tcPr>
          <w:p>
            <w:pPr>
              <w:pStyle w:val="11"/>
            </w:pPr>
            <w:r>
              <w:t>82.01</w:t>
            </w:r>
          </w:p>
        </w:tc>
        <w:tc>
          <w:tcPr>
            <w:tcW w:w="758" w:type="dxa"/>
            <w:vAlign w:val="center"/>
          </w:tcPr>
          <w:p>
            <w:pPr>
              <w:pStyle w:val="11"/>
            </w:pPr>
            <w:r>
              <w:t>82.01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59.22</w:t>
            </w:r>
          </w:p>
        </w:tc>
        <w:tc>
          <w:tcPr>
            <w:tcW w:w="758" w:type="dxa"/>
            <w:vAlign w:val="center"/>
          </w:tcPr>
          <w:p>
            <w:pPr>
              <w:pStyle w:val="11"/>
            </w:pPr>
            <w:r>
              <w:t>59.22</w:t>
            </w:r>
          </w:p>
        </w:tc>
        <w:tc>
          <w:tcPr>
            <w:tcW w:w="758" w:type="dxa"/>
            <w:vAlign w:val="center"/>
          </w:tcPr>
          <w:p>
            <w:pPr>
              <w:pStyle w:val="11"/>
            </w:pPr>
            <w:r>
              <w:t>59.22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22.79</w:t>
            </w:r>
          </w:p>
        </w:tc>
        <w:tc>
          <w:tcPr>
            <w:tcW w:w="758" w:type="dxa"/>
            <w:vAlign w:val="center"/>
          </w:tcPr>
          <w:p>
            <w:pPr>
              <w:pStyle w:val="11"/>
            </w:pPr>
            <w:r>
              <w:t>22.79</w:t>
            </w:r>
          </w:p>
        </w:tc>
        <w:tc>
          <w:tcPr>
            <w:tcW w:w="758" w:type="dxa"/>
            <w:vAlign w:val="center"/>
          </w:tcPr>
          <w:p>
            <w:pPr>
              <w:pStyle w:val="11"/>
            </w:pPr>
            <w:r>
              <w:t>22.79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7.63</w:t>
            </w:r>
          </w:p>
        </w:tc>
        <w:tc>
          <w:tcPr>
            <w:tcW w:w="758" w:type="dxa"/>
            <w:vAlign w:val="center"/>
          </w:tcPr>
          <w:p>
            <w:pPr>
              <w:pStyle w:val="11"/>
            </w:pPr>
            <w:r>
              <w:t>7.63</w:t>
            </w:r>
          </w:p>
        </w:tc>
        <w:tc>
          <w:tcPr>
            <w:tcW w:w="758" w:type="dxa"/>
            <w:vAlign w:val="center"/>
          </w:tcPr>
          <w:p>
            <w:pPr>
              <w:pStyle w:val="11"/>
            </w:pPr>
            <w:r>
              <w:t>7.63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7.63</w:t>
            </w:r>
          </w:p>
        </w:tc>
        <w:tc>
          <w:tcPr>
            <w:tcW w:w="758" w:type="dxa"/>
            <w:vAlign w:val="center"/>
          </w:tcPr>
          <w:p>
            <w:pPr>
              <w:pStyle w:val="11"/>
            </w:pPr>
            <w:r>
              <w:t>7.63</w:t>
            </w:r>
          </w:p>
        </w:tc>
        <w:tc>
          <w:tcPr>
            <w:tcW w:w="758" w:type="dxa"/>
            <w:vAlign w:val="center"/>
          </w:tcPr>
          <w:p>
            <w:pPr>
              <w:pStyle w:val="11"/>
            </w:pPr>
            <w:r>
              <w:t>7.63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7.63</w:t>
            </w:r>
          </w:p>
        </w:tc>
        <w:tc>
          <w:tcPr>
            <w:tcW w:w="758" w:type="dxa"/>
            <w:vAlign w:val="center"/>
          </w:tcPr>
          <w:p>
            <w:pPr>
              <w:pStyle w:val="11"/>
            </w:pPr>
            <w:r>
              <w:t>7.63</w:t>
            </w:r>
          </w:p>
        </w:tc>
        <w:tc>
          <w:tcPr>
            <w:tcW w:w="758" w:type="dxa"/>
            <w:vAlign w:val="center"/>
          </w:tcPr>
          <w:p>
            <w:pPr>
              <w:pStyle w:val="11"/>
            </w:pPr>
            <w:r>
              <w:t>7.63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18.58</w:t>
            </w:r>
          </w:p>
        </w:tc>
        <w:tc>
          <w:tcPr>
            <w:tcW w:w="758" w:type="dxa"/>
            <w:vAlign w:val="center"/>
          </w:tcPr>
          <w:p>
            <w:pPr>
              <w:pStyle w:val="11"/>
            </w:pPr>
            <w:r>
              <w:t>18.58</w:t>
            </w:r>
          </w:p>
        </w:tc>
        <w:tc>
          <w:tcPr>
            <w:tcW w:w="758" w:type="dxa"/>
            <w:vAlign w:val="center"/>
          </w:tcPr>
          <w:p>
            <w:pPr>
              <w:pStyle w:val="11"/>
            </w:pPr>
            <w:r>
              <w:t>18.58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18.58</w:t>
            </w:r>
          </w:p>
        </w:tc>
        <w:tc>
          <w:tcPr>
            <w:tcW w:w="758" w:type="dxa"/>
            <w:vAlign w:val="center"/>
          </w:tcPr>
          <w:p>
            <w:pPr>
              <w:pStyle w:val="11"/>
            </w:pPr>
            <w:r>
              <w:t>18.58</w:t>
            </w:r>
          </w:p>
        </w:tc>
        <w:tc>
          <w:tcPr>
            <w:tcW w:w="758" w:type="dxa"/>
            <w:vAlign w:val="center"/>
          </w:tcPr>
          <w:p>
            <w:pPr>
              <w:pStyle w:val="11"/>
            </w:pPr>
            <w:r>
              <w:t>18.58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18.58</w:t>
            </w:r>
          </w:p>
        </w:tc>
        <w:tc>
          <w:tcPr>
            <w:tcW w:w="758" w:type="dxa"/>
            <w:vAlign w:val="center"/>
          </w:tcPr>
          <w:p>
            <w:pPr>
              <w:pStyle w:val="11"/>
            </w:pPr>
            <w:r>
              <w:t>18.58</w:t>
            </w:r>
          </w:p>
        </w:tc>
        <w:tc>
          <w:tcPr>
            <w:tcW w:w="758" w:type="dxa"/>
            <w:vAlign w:val="center"/>
          </w:tcPr>
          <w:p>
            <w:pPr>
              <w:pStyle w:val="11"/>
            </w:pPr>
            <w:r>
              <w:t>18.58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756.92</w:t>
            </w:r>
          </w:p>
        </w:tc>
        <w:tc>
          <w:tcPr>
            <w:tcW w:w="1095" w:type="dxa"/>
            <w:vAlign w:val="center"/>
          </w:tcPr>
          <w:p>
            <w:pPr>
              <w:pStyle w:val="15"/>
            </w:pPr>
            <w:r>
              <w:t>343.84</w:t>
            </w:r>
          </w:p>
        </w:tc>
        <w:tc>
          <w:tcPr>
            <w:tcW w:w="1095" w:type="dxa"/>
            <w:vAlign w:val="center"/>
          </w:tcPr>
          <w:p>
            <w:pPr>
              <w:pStyle w:val="15"/>
            </w:pPr>
            <w:r>
              <w:t>413.08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204</w:t>
            </w:r>
          </w:p>
        </w:tc>
        <w:tc>
          <w:tcPr>
            <w:tcW w:w="1095" w:type="dxa"/>
            <w:vAlign w:val="center"/>
          </w:tcPr>
          <w:p>
            <w:pPr>
              <w:pStyle w:val="12"/>
            </w:pPr>
            <w:r>
              <w:t>公共安全支出</w:t>
            </w:r>
          </w:p>
        </w:tc>
        <w:tc>
          <w:tcPr>
            <w:tcW w:w="1095" w:type="dxa"/>
            <w:vAlign w:val="center"/>
          </w:tcPr>
          <w:p>
            <w:pPr>
              <w:pStyle w:val="11"/>
            </w:pPr>
            <w:r>
              <w:t>648.70</w:t>
            </w:r>
          </w:p>
        </w:tc>
        <w:tc>
          <w:tcPr>
            <w:tcW w:w="1095" w:type="dxa"/>
            <w:vAlign w:val="center"/>
          </w:tcPr>
          <w:p>
            <w:pPr>
              <w:pStyle w:val="11"/>
            </w:pPr>
            <w:r>
              <w:t>235.62</w:t>
            </w:r>
          </w:p>
        </w:tc>
        <w:tc>
          <w:tcPr>
            <w:tcW w:w="1095" w:type="dxa"/>
            <w:vAlign w:val="center"/>
          </w:tcPr>
          <w:p>
            <w:pPr>
              <w:pStyle w:val="11"/>
            </w:pPr>
            <w:r>
              <w:t>413.08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20402</w:t>
            </w:r>
          </w:p>
        </w:tc>
        <w:tc>
          <w:tcPr>
            <w:tcW w:w="1095" w:type="dxa"/>
            <w:vAlign w:val="center"/>
          </w:tcPr>
          <w:p>
            <w:pPr>
              <w:pStyle w:val="12"/>
            </w:pPr>
            <w:r>
              <w:t>公安</w:t>
            </w:r>
          </w:p>
        </w:tc>
        <w:tc>
          <w:tcPr>
            <w:tcW w:w="1095" w:type="dxa"/>
            <w:vAlign w:val="center"/>
          </w:tcPr>
          <w:p>
            <w:pPr>
              <w:pStyle w:val="11"/>
            </w:pPr>
            <w:r>
              <w:t>648.70</w:t>
            </w:r>
          </w:p>
        </w:tc>
        <w:tc>
          <w:tcPr>
            <w:tcW w:w="1095" w:type="dxa"/>
            <w:vAlign w:val="center"/>
          </w:tcPr>
          <w:p>
            <w:pPr>
              <w:pStyle w:val="11"/>
            </w:pPr>
            <w:r>
              <w:t>235.62</w:t>
            </w:r>
          </w:p>
        </w:tc>
        <w:tc>
          <w:tcPr>
            <w:tcW w:w="1095" w:type="dxa"/>
            <w:vAlign w:val="center"/>
          </w:tcPr>
          <w:p>
            <w:pPr>
              <w:pStyle w:val="11"/>
            </w:pPr>
            <w:r>
              <w:t>413.08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2040201</w:t>
            </w:r>
          </w:p>
        </w:tc>
        <w:tc>
          <w:tcPr>
            <w:tcW w:w="1095" w:type="dxa"/>
            <w:vAlign w:val="center"/>
          </w:tcPr>
          <w:p>
            <w:pPr>
              <w:pStyle w:val="12"/>
            </w:pPr>
            <w:r>
              <w:t>行政运行</w:t>
            </w:r>
          </w:p>
        </w:tc>
        <w:tc>
          <w:tcPr>
            <w:tcW w:w="1095" w:type="dxa"/>
            <w:vAlign w:val="center"/>
          </w:tcPr>
          <w:p>
            <w:pPr>
              <w:pStyle w:val="11"/>
            </w:pPr>
            <w:r>
              <w:t>235.62</w:t>
            </w:r>
          </w:p>
        </w:tc>
        <w:tc>
          <w:tcPr>
            <w:tcW w:w="1095" w:type="dxa"/>
            <w:vAlign w:val="center"/>
          </w:tcPr>
          <w:p>
            <w:pPr>
              <w:pStyle w:val="11"/>
            </w:pPr>
            <w:r>
              <w:t>235.62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2040202</w:t>
            </w:r>
          </w:p>
        </w:tc>
        <w:tc>
          <w:tcPr>
            <w:tcW w:w="1095" w:type="dxa"/>
            <w:vAlign w:val="center"/>
          </w:tcPr>
          <w:p>
            <w:pPr>
              <w:pStyle w:val="12"/>
            </w:pPr>
            <w:r>
              <w:t>一般行政管理事务</w:t>
            </w:r>
          </w:p>
        </w:tc>
        <w:tc>
          <w:tcPr>
            <w:tcW w:w="1095" w:type="dxa"/>
            <w:vAlign w:val="center"/>
          </w:tcPr>
          <w:p>
            <w:pPr>
              <w:pStyle w:val="11"/>
            </w:pPr>
            <w:r>
              <w:t>413.08</w:t>
            </w:r>
          </w:p>
        </w:tc>
        <w:tc>
          <w:tcPr>
            <w:tcW w:w="1095" w:type="dxa"/>
            <w:vAlign w:val="center"/>
          </w:tcPr>
          <w:p>
            <w:pPr>
              <w:pStyle w:val="11"/>
            </w:pPr>
          </w:p>
        </w:tc>
        <w:tc>
          <w:tcPr>
            <w:tcW w:w="1095" w:type="dxa"/>
            <w:vAlign w:val="center"/>
          </w:tcPr>
          <w:p>
            <w:pPr>
              <w:pStyle w:val="11"/>
            </w:pPr>
            <w:r>
              <w:t>413.08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82.01</w:t>
            </w:r>
          </w:p>
        </w:tc>
        <w:tc>
          <w:tcPr>
            <w:tcW w:w="1095" w:type="dxa"/>
            <w:vAlign w:val="center"/>
          </w:tcPr>
          <w:p>
            <w:pPr>
              <w:pStyle w:val="11"/>
            </w:pPr>
            <w:r>
              <w:t>82.01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82.01</w:t>
            </w:r>
          </w:p>
        </w:tc>
        <w:tc>
          <w:tcPr>
            <w:tcW w:w="1095" w:type="dxa"/>
            <w:vAlign w:val="center"/>
          </w:tcPr>
          <w:p>
            <w:pPr>
              <w:pStyle w:val="11"/>
            </w:pPr>
            <w:r>
              <w:t>82.01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59.22</w:t>
            </w:r>
          </w:p>
        </w:tc>
        <w:tc>
          <w:tcPr>
            <w:tcW w:w="1095" w:type="dxa"/>
            <w:vAlign w:val="center"/>
          </w:tcPr>
          <w:p>
            <w:pPr>
              <w:pStyle w:val="11"/>
            </w:pPr>
            <w:r>
              <w:t>59.22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22.79</w:t>
            </w:r>
          </w:p>
        </w:tc>
        <w:tc>
          <w:tcPr>
            <w:tcW w:w="1095" w:type="dxa"/>
            <w:vAlign w:val="center"/>
          </w:tcPr>
          <w:p>
            <w:pPr>
              <w:pStyle w:val="11"/>
            </w:pPr>
            <w:r>
              <w:t>22.79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7.63</w:t>
            </w:r>
          </w:p>
        </w:tc>
        <w:tc>
          <w:tcPr>
            <w:tcW w:w="1095" w:type="dxa"/>
            <w:vAlign w:val="center"/>
          </w:tcPr>
          <w:p>
            <w:pPr>
              <w:pStyle w:val="11"/>
            </w:pPr>
            <w:r>
              <w:t>7.63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7.63</w:t>
            </w:r>
          </w:p>
        </w:tc>
        <w:tc>
          <w:tcPr>
            <w:tcW w:w="1095" w:type="dxa"/>
            <w:vAlign w:val="center"/>
          </w:tcPr>
          <w:p>
            <w:pPr>
              <w:pStyle w:val="11"/>
            </w:pPr>
            <w:r>
              <w:t>7.63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7.63</w:t>
            </w:r>
          </w:p>
        </w:tc>
        <w:tc>
          <w:tcPr>
            <w:tcW w:w="1095" w:type="dxa"/>
            <w:vAlign w:val="center"/>
          </w:tcPr>
          <w:p>
            <w:pPr>
              <w:pStyle w:val="11"/>
            </w:pPr>
            <w:r>
              <w:t>7.63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18.58</w:t>
            </w:r>
          </w:p>
        </w:tc>
        <w:tc>
          <w:tcPr>
            <w:tcW w:w="1095" w:type="dxa"/>
            <w:vAlign w:val="center"/>
          </w:tcPr>
          <w:p>
            <w:pPr>
              <w:pStyle w:val="11"/>
            </w:pPr>
            <w:r>
              <w:t>18.58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18.58</w:t>
            </w:r>
          </w:p>
        </w:tc>
        <w:tc>
          <w:tcPr>
            <w:tcW w:w="1095" w:type="dxa"/>
            <w:vAlign w:val="center"/>
          </w:tcPr>
          <w:p>
            <w:pPr>
              <w:pStyle w:val="11"/>
            </w:pPr>
            <w:r>
              <w:t>18.58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18.58</w:t>
            </w:r>
          </w:p>
        </w:tc>
        <w:tc>
          <w:tcPr>
            <w:tcW w:w="1095" w:type="dxa"/>
            <w:vAlign w:val="center"/>
          </w:tcPr>
          <w:p>
            <w:pPr>
              <w:pStyle w:val="11"/>
            </w:pPr>
            <w:r>
              <w:t>18.58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756.92</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r>
              <w:t>648.70</w:t>
            </w:r>
          </w:p>
        </w:tc>
        <w:tc>
          <w:tcPr>
            <w:tcW w:w="1232" w:type="dxa"/>
            <w:vAlign w:val="center"/>
          </w:tcPr>
          <w:p>
            <w:pPr>
              <w:pStyle w:val="11"/>
            </w:pPr>
            <w:r>
              <w:t>648.70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82.01</w:t>
            </w:r>
          </w:p>
        </w:tc>
        <w:tc>
          <w:tcPr>
            <w:tcW w:w="1232" w:type="dxa"/>
            <w:vAlign w:val="center"/>
          </w:tcPr>
          <w:p>
            <w:pPr>
              <w:pStyle w:val="11"/>
            </w:pPr>
            <w:r>
              <w:t>82.01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7.63</w:t>
            </w:r>
          </w:p>
        </w:tc>
        <w:tc>
          <w:tcPr>
            <w:tcW w:w="1232" w:type="dxa"/>
            <w:vAlign w:val="center"/>
          </w:tcPr>
          <w:p>
            <w:pPr>
              <w:pStyle w:val="11"/>
            </w:pPr>
            <w:r>
              <w:t>7.63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18.58</w:t>
            </w:r>
          </w:p>
        </w:tc>
        <w:tc>
          <w:tcPr>
            <w:tcW w:w="1232" w:type="dxa"/>
            <w:vAlign w:val="center"/>
          </w:tcPr>
          <w:p>
            <w:pPr>
              <w:pStyle w:val="11"/>
            </w:pPr>
            <w:r>
              <w:t>18.58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756.92</w:t>
            </w:r>
          </w:p>
        </w:tc>
        <w:tc>
          <w:tcPr>
            <w:tcW w:w="1232" w:type="dxa"/>
            <w:vAlign w:val="center"/>
          </w:tcPr>
          <w:p>
            <w:pPr>
              <w:pStyle w:val="14"/>
            </w:pPr>
            <w:r>
              <w:t>本年支出合计</w:t>
            </w:r>
          </w:p>
        </w:tc>
        <w:tc>
          <w:tcPr>
            <w:tcW w:w="1232" w:type="dxa"/>
            <w:vAlign w:val="center"/>
          </w:tcPr>
          <w:p>
            <w:pPr>
              <w:pStyle w:val="15"/>
            </w:pPr>
            <w:r>
              <w:t>756.92</w:t>
            </w:r>
          </w:p>
        </w:tc>
        <w:tc>
          <w:tcPr>
            <w:tcW w:w="1232" w:type="dxa"/>
            <w:vAlign w:val="center"/>
          </w:tcPr>
          <w:p>
            <w:pPr>
              <w:pStyle w:val="15"/>
            </w:pPr>
            <w:r>
              <w:t>756.92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756.92</w:t>
            </w:r>
          </w:p>
        </w:tc>
        <w:tc>
          <w:tcPr>
            <w:tcW w:w="1232" w:type="dxa"/>
            <w:vAlign w:val="center"/>
          </w:tcPr>
          <w:p>
            <w:pPr>
              <w:pStyle w:val="14"/>
            </w:pPr>
            <w:r>
              <w:t>支出总计</w:t>
            </w:r>
          </w:p>
        </w:tc>
        <w:tc>
          <w:tcPr>
            <w:tcW w:w="1232" w:type="dxa"/>
            <w:vAlign w:val="center"/>
          </w:tcPr>
          <w:p>
            <w:pPr>
              <w:pStyle w:val="15"/>
            </w:pPr>
            <w:r>
              <w:t>756.92</w:t>
            </w:r>
          </w:p>
        </w:tc>
        <w:tc>
          <w:tcPr>
            <w:tcW w:w="1232" w:type="dxa"/>
            <w:vAlign w:val="center"/>
          </w:tcPr>
          <w:p>
            <w:pPr>
              <w:pStyle w:val="15"/>
            </w:pPr>
            <w:r>
              <w:t>756.92</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756.92</w:t>
            </w:r>
          </w:p>
        </w:tc>
        <w:tc>
          <w:tcPr>
            <w:tcW w:w="1643" w:type="dxa"/>
            <w:vAlign w:val="center"/>
          </w:tcPr>
          <w:p>
            <w:pPr>
              <w:pStyle w:val="15"/>
            </w:pPr>
            <w:r>
              <w:t>343.84</w:t>
            </w:r>
          </w:p>
        </w:tc>
        <w:tc>
          <w:tcPr>
            <w:tcW w:w="1643" w:type="dxa"/>
            <w:vAlign w:val="center"/>
          </w:tcPr>
          <w:p>
            <w:pPr>
              <w:pStyle w:val="15"/>
            </w:pPr>
            <w:r>
              <w:t>413.08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204</w:t>
            </w:r>
          </w:p>
        </w:tc>
        <w:tc>
          <w:tcPr>
            <w:tcW w:w="1643" w:type="dxa"/>
            <w:vAlign w:val="center"/>
          </w:tcPr>
          <w:p>
            <w:pPr>
              <w:pStyle w:val="12"/>
            </w:pPr>
            <w:r>
              <w:t>公共安全支出</w:t>
            </w:r>
          </w:p>
        </w:tc>
        <w:tc>
          <w:tcPr>
            <w:tcW w:w="1643" w:type="dxa"/>
            <w:vAlign w:val="center"/>
          </w:tcPr>
          <w:p>
            <w:pPr>
              <w:pStyle w:val="11"/>
            </w:pPr>
            <w:r>
              <w:t>648.70</w:t>
            </w:r>
          </w:p>
        </w:tc>
        <w:tc>
          <w:tcPr>
            <w:tcW w:w="1643" w:type="dxa"/>
            <w:vAlign w:val="center"/>
          </w:tcPr>
          <w:p>
            <w:pPr>
              <w:pStyle w:val="11"/>
            </w:pPr>
            <w:r>
              <w:t>235.62</w:t>
            </w:r>
          </w:p>
        </w:tc>
        <w:tc>
          <w:tcPr>
            <w:tcW w:w="1643" w:type="dxa"/>
            <w:vAlign w:val="center"/>
          </w:tcPr>
          <w:p>
            <w:pPr>
              <w:pStyle w:val="11"/>
            </w:pPr>
            <w:r>
              <w:t>413.08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20402</w:t>
            </w:r>
          </w:p>
        </w:tc>
        <w:tc>
          <w:tcPr>
            <w:tcW w:w="1643" w:type="dxa"/>
            <w:vAlign w:val="center"/>
          </w:tcPr>
          <w:p>
            <w:pPr>
              <w:pStyle w:val="12"/>
            </w:pPr>
            <w:r>
              <w:t>公安</w:t>
            </w:r>
          </w:p>
        </w:tc>
        <w:tc>
          <w:tcPr>
            <w:tcW w:w="1643" w:type="dxa"/>
            <w:vAlign w:val="center"/>
          </w:tcPr>
          <w:p>
            <w:pPr>
              <w:pStyle w:val="11"/>
            </w:pPr>
            <w:r>
              <w:t>648.70</w:t>
            </w:r>
          </w:p>
        </w:tc>
        <w:tc>
          <w:tcPr>
            <w:tcW w:w="1643" w:type="dxa"/>
            <w:vAlign w:val="center"/>
          </w:tcPr>
          <w:p>
            <w:pPr>
              <w:pStyle w:val="11"/>
            </w:pPr>
            <w:r>
              <w:t>235.62</w:t>
            </w:r>
          </w:p>
        </w:tc>
        <w:tc>
          <w:tcPr>
            <w:tcW w:w="1643" w:type="dxa"/>
            <w:vAlign w:val="center"/>
          </w:tcPr>
          <w:p>
            <w:pPr>
              <w:pStyle w:val="11"/>
            </w:pPr>
            <w:r>
              <w:t>413.08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2040201</w:t>
            </w:r>
          </w:p>
        </w:tc>
        <w:tc>
          <w:tcPr>
            <w:tcW w:w="1643" w:type="dxa"/>
            <w:vAlign w:val="center"/>
          </w:tcPr>
          <w:p>
            <w:pPr>
              <w:pStyle w:val="12"/>
            </w:pPr>
            <w:r>
              <w:t>行政运行</w:t>
            </w:r>
          </w:p>
        </w:tc>
        <w:tc>
          <w:tcPr>
            <w:tcW w:w="1643" w:type="dxa"/>
            <w:vAlign w:val="center"/>
          </w:tcPr>
          <w:p>
            <w:pPr>
              <w:pStyle w:val="11"/>
            </w:pPr>
            <w:r>
              <w:t>235.62</w:t>
            </w:r>
          </w:p>
        </w:tc>
        <w:tc>
          <w:tcPr>
            <w:tcW w:w="1643" w:type="dxa"/>
            <w:vAlign w:val="center"/>
          </w:tcPr>
          <w:p>
            <w:pPr>
              <w:pStyle w:val="11"/>
            </w:pPr>
            <w:r>
              <w:t>235.62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2040202</w:t>
            </w:r>
          </w:p>
        </w:tc>
        <w:tc>
          <w:tcPr>
            <w:tcW w:w="1643" w:type="dxa"/>
            <w:vAlign w:val="center"/>
          </w:tcPr>
          <w:p>
            <w:pPr>
              <w:pStyle w:val="12"/>
            </w:pPr>
            <w:r>
              <w:t>一般行政管理事务</w:t>
            </w:r>
          </w:p>
        </w:tc>
        <w:tc>
          <w:tcPr>
            <w:tcW w:w="1643" w:type="dxa"/>
            <w:vAlign w:val="center"/>
          </w:tcPr>
          <w:p>
            <w:pPr>
              <w:pStyle w:val="11"/>
            </w:pPr>
            <w:r>
              <w:t>413.08</w:t>
            </w:r>
          </w:p>
        </w:tc>
        <w:tc>
          <w:tcPr>
            <w:tcW w:w="1643" w:type="dxa"/>
            <w:vAlign w:val="center"/>
          </w:tcPr>
          <w:p>
            <w:pPr>
              <w:pStyle w:val="11"/>
            </w:pPr>
          </w:p>
        </w:tc>
        <w:tc>
          <w:tcPr>
            <w:tcW w:w="1643" w:type="dxa"/>
            <w:vAlign w:val="center"/>
          </w:tcPr>
          <w:p>
            <w:pPr>
              <w:pStyle w:val="11"/>
            </w:pPr>
            <w:r>
              <w:t>413.08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82.01</w:t>
            </w:r>
          </w:p>
        </w:tc>
        <w:tc>
          <w:tcPr>
            <w:tcW w:w="1643" w:type="dxa"/>
            <w:vAlign w:val="center"/>
          </w:tcPr>
          <w:p>
            <w:pPr>
              <w:pStyle w:val="11"/>
            </w:pPr>
            <w:r>
              <w:t>82.01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82.01</w:t>
            </w:r>
          </w:p>
        </w:tc>
        <w:tc>
          <w:tcPr>
            <w:tcW w:w="1643" w:type="dxa"/>
            <w:vAlign w:val="center"/>
          </w:tcPr>
          <w:p>
            <w:pPr>
              <w:pStyle w:val="11"/>
            </w:pPr>
            <w:r>
              <w:t>82.01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59.22</w:t>
            </w:r>
          </w:p>
        </w:tc>
        <w:tc>
          <w:tcPr>
            <w:tcW w:w="1643" w:type="dxa"/>
            <w:vAlign w:val="center"/>
          </w:tcPr>
          <w:p>
            <w:pPr>
              <w:pStyle w:val="11"/>
            </w:pPr>
            <w:r>
              <w:t>59.22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22.79</w:t>
            </w:r>
          </w:p>
        </w:tc>
        <w:tc>
          <w:tcPr>
            <w:tcW w:w="1643" w:type="dxa"/>
            <w:vAlign w:val="center"/>
          </w:tcPr>
          <w:p>
            <w:pPr>
              <w:pStyle w:val="11"/>
            </w:pPr>
            <w:r>
              <w:t>22.79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7.63</w:t>
            </w:r>
          </w:p>
        </w:tc>
        <w:tc>
          <w:tcPr>
            <w:tcW w:w="1643" w:type="dxa"/>
            <w:vAlign w:val="center"/>
          </w:tcPr>
          <w:p>
            <w:pPr>
              <w:pStyle w:val="11"/>
            </w:pPr>
            <w:r>
              <w:t>7.63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7.63</w:t>
            </w:r>
          </w:p>
        </w:tc>
        <w:tc>
          <w:tcPr>
            <w:tcW w:w="1643" w:type="dxa"/>
            <w:vAlign w:val="center"/>
          </w:tcPr>
          <w:p>
            <w:pPr>
              <w:pStyle w:val="11"/>
            </w:pPr>
            <w:r>
              <w:t>7.63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7.63</w:t>
            </w:r>
          </w:p>
        </w:tc>
        <w:tc>
          <w:tcPr>
            <w:tcW w:w="1643" w:type="dxa"/>
            <w:vAlign w:val="center"/>
          </w:tcPr>
          <w:p>
            <w:pPr>
              <w:pStyle w:val="11"/>
            </w:pPr>
            <w:r>
              <w:t>7.63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18.58</w:t>
            </w:r>
          </w:p>
        </w:tc>
        <w:tc>
          <w:tcPr>
            <w:tcW w:w="1643" w:type="dxa"/>
            <w:vAlign w:val="center"/>
          </w:tcPr>
          <w:p>
            <w:pPr>
              <w:pStyle w:val="11"/>
            </w:pPr>
            <w:r>
              <w:t>18.58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18.58</w:t>
            </w:r>
          </w:p>
        </w:tc>
        <w:tc>
          <w:tcPr>
            <w:tcW w:w="1643" w:type="dxa"/>
            <w:vAlign w:val="center"/>
          </w:tcPr>
          <w:p>
            <w:pPr>
              <w:pStyle w:val="11"/>
            </w:pPr>
            <w:r>
              <w:t>18.58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18.58</w:t>
            </w:r>
          </w:p>
        </w:tc>
        <w:tc>
          <w:tcPr>
            <w:tcW w:w="1643" w:type="dxa"/>
            <w:vAlign w:val="center"/>
          </w:tcPr>
          <w:p>
            <w:pPr>
              <w:pStyle w:val="11"/>
            </w:pPr>
            <w:r>
              <w:t>18.58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343.84</w:t>
            </w:r>
          </w:p>
        </w:tc>
        <w:tc>
          <w:tcPr>
            <w:tcW w:w="1643" w:type="dxa"/>
            <w:vAlign w:val="center"/>
          </w:tcPr>
          <w:p>
            <w:pPr>
              <w:pStyle w:val="15"/>
            </w:pPr>
            <w:r>
              <w:t>313.45</w:t>
            </w:r>
          </w:p>
        </w:tc>
        <w:tc>
          <w:tcPr>
            <w:tcW w:w="1643" w:type="dxa"/>
            <w:vAlign w:val="center"/>
          </w:tcPr>
          <w:p>
            <w:pPr>
              <w:pStyle w:val="15"/>
            </w:pPr>
            <w:r>
              <w:t>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255.02</w:t>
            </w:r>
          </w:p>
        </w:tc>
        <w:tc>
          <w:tcPr>
            <w:tcW w:w="1643" w:type="dxa"/>
            <w:vAlign w:val="center"/>
          </w:tcPr>
          <w:p>
            <w:pPr>
              <w:pStyle w:val="11"/>
            </w:pPr>
            <w:r>
              <w:t>255.02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66.91</w:t>
            </w:r>
          </w:p>
        </w:tc>
        <w:tc>
          <w:tcPr>
            <w:tcW w:w="1643" w:type="dxa"/>
            <w:vAlign w:val="center"/>
          </w:tcPr>
          <w:p>
            <w:pPr>
              <w:pStyle w:val="11"/>
            </w:pPr>
            <w:r>
              <w:t>66.91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73.05</w:t>
            </w:r>
          </w:p>
        </w:tc>
        <w:tc>
          <w:tcPr>
            <w:tcW w:w="1643" w:type="dxa"/>
            <w:vAlign w:val="center"/>
          </w:tcPr>
          <w:p>
            <w:pPr>
              <w:pStyle w:val="11"/>
            </w:pPr>
            <w:r>
              <w:t>73.05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44.74</w:t>
            </w:r>
          </w:p>
        </w:tc>
        <w:tc>
          <w:tcPr>
            <w:tcW w:w="1643" w:type="dxa"/>
            <w:vAlign w:val="center"/>
          </w:tcPr>
          <w:p>
            <w:pPr>
              <w:pStyle w:val="11"/>
            </w:pPr>
            <w:r>
              <w:t>44.74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22.79</w:t>
            </w:r>
          </w:p>
        </w:tc>
        <w:tc>
          <w:tcPr>
            <w:tcW w:w="1643" w:type="dxa"/>
            <w:vAlign w:val="center"/>
          </w:tcPr>
          <w:p>
            <w:pPr>
              <w:pStyle w:val="11"/>
            </w:pPr>
            <w:r>
              <w:t>22.79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7.63</w:t>
            </w:r>
          </w:p>
        </w:tc>
        <w:tc>
          <w:tcPr>
            <w:tcW w:w="1643" w:type="dxa"/>
            <w:vAlign w:val="center"/>
          </w:tcPr>
          <w:p>
            <w:pPr>
              <w:pStyle w:val="11"/>
            </w:pPr>
            <w:r>
              <w:t>7.63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0.58</w:t>
            </w:r>
          </w:p>
        </w:tc>
        <w:tc>
          <w:tcPr>
            <w:tcW w:w="1643" w:type="dxa"/>
            <w:vAlign w:val="center"/>
          </w:tcPr>
          <w:p>
            <w:pPr>
              <w:pStyle w:val="11"/>
            </w:pPr>
            <w:r>
              <w:t>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18.58</w:t>
            </w:r>
          </w:p>
        </w:tc>
        <w:tc>
          <w:tcPr>
            <w:tcW w:w="1643" w:type="dxa"/>
            <w:vAlign w:val="center"/>
          </w:tcPr>
          <w:p>
            <w:pPr>
              <w:pStyle w:val="11"/>
            </w:pPr>
            <w:r>
              <w:t>18.58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20.74</w:t>
            </w:r>
          </w:p>
        </w:tc>
        <w:tc>
          <w:tcPr>
            <w:tcW w:w="1643" w:type="dxa"/>
            <w:vAlign w:val="center"/>
          </w:tcPr>
          <w:p>
            <w:pPr>
              <w:pStyle w:val="11"/>
            </w:pPr>
            <w:r>
              <w:t>20.74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30.39</w:t>
            </w:r>
          </w:p>
        </w:tc>
        <w:tc>
          <w:tcPr>
            <w:tcW w:w="1643" w:type="dxa"/>
            <w:vAlign w:val="center"/>
          </w:tcPr>
          <w:p>
            <w:pPr>
              <w:pStyle w:val="11"/>
            </w:pPr>
          </w:p>
        </w:tc>
        <w:tc>
          <w:tcPr>
            <w:tcW w:w="1643" w:type="dxa"/>
            <w:vAlign w:val="center"/>
          </w:tcPr>
          <w:p>
            <w:pPr>
              <w:pStyle w:val="11"/>
            </w:pPr>
            <w:r>
              <w:t>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2.94</w:t>
            </w:r>
          </w:p>
        </w:tc>
        <w:tc>
          <w:tcPr>
            <w:tcW w:w="1643" w:type="dxa"/>
            <w:vAlign w:val="center"/>
          </w:tcPr>
          <w:p>
            <w:pPr>
              <w:pStyle w:val="11"/>
            </w:pPr>
          </w:p>
        </w:tc>
        <w:tc>
          <w:tcPr>
            <w:tcW w:w="1643"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7.22</w:t>
            </w:r>
          </w:p>
        </w:tc>
        <w:tc>
          <w:tcPr>
            <w:tcW w:w="1643" w:type="dxa"/>
            <w:vAlign w:val="center"/>
          </w:tcPr>
          <w:p>
            <w:pPr>
              <w:pStyle w:val="11"/>
            </w:pPr>
          </w:p>
        </w:tc>
        <w:tc>
          <w:tcPr>
            <w:tcW w:w="1643" w:type="dxa"/>
            <w:vAlign w:val="center"/>
          </w:tcPr>
          <w:p>
            <w:pPr>
              <w:pStyle w:val="11"/>
            </w:pPr>
            <w: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30215</w:t>
            </w:r>
          </w:p>
        </w:tc>
        <w:tc>
          <w:tcPr>
            <w:tcW w:w="1643" w:type="dxa"/>
            <w:vAlign w:val="center"/>
          </w:tcPr>
          <w:p>
            <w:pPr>
              <w:pStyle w:val="12"/>
            </w:pPr>
            <w:r>
              <w:t>会议费</w:t>
            </w:r>
          </w:p>
        </w:tc>
        <w:tc>
          <w:tcPr>
            <w:tcW w:w="1643" w:type="dxa"/>
            <w:vAlign w:val="center"/>
          </w:tcPr>
          <w:p>
            <w:pPr>
              <w:pStyle w:val="11"/>
            </w:pPr>
            <w:r>
              <w:t>0.36</w:t>
            </w:r>
          </w:p>
        </w:tc>
        <w:tc>
          <w:tcPr>
            <w:tcW w:w="1643" w:type="dxa"/>
            <w:vAlign w:val="center"/>
          </w:tcPr>
          <w:p>
            <w:pPr>
              <w:pStyle w:val="11"/>
            </w:pPr>
          </w:p>
        </w:tc>
        <w:tc>
          <w:tcPr>
            <w:tcW w:w="1643"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0.48</w:t>
            </w:r>
          </w:p>
        </w:tc>
        <w:tc>
          <w:tcPr>
            <w:tcW w:w="1643" w:type="dxa"/>
            <w:vAlign w:val="center"/>
          </w:tcPr>
          <w:p>
            <w:pPr>
              <w:pStyle w:val="11"/>
            </w:pPr>
          </w:p>
        </w:tc>
        <w:tc>
          <w:tcPr>
            <w:tcW w:w="1643"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2.31</w:t>
            </w:r>
          </w:p>
        </w:tc>
        <w:tc>
          <w:tcPr>
            <w:tcW w:w="1643" w:type="dxa"/>
            <w:vAlign w:val="center"/>
          </w:tcPr>
          <w:p>
            <w:pPr>
              <w:pStyle w:val="11"/>
            </w:pPr>
          </w:p>
        </w:tc>
        <w:tc>
          <w:tcPr>
            <w:tcW w:w="1643" w:type="dxa"/>
            <w:vAlign w:val="center"/>
          </w:tcPr>
          <w:p>
            <w:pPr>
              <w:pStyle w:val="11"/>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2.60</w:t>
            </w:r>
          </w:p>
        </w:tc>
        <w:tc>
          <w:tcPr>
            <w:tcW w:w="1643" w:type="dxa"/>
            <w:vAlign w:val="center"/>
          </w:tcPr>
          <w:p>
            <w:pPr>
              <w:pStyle w:val="11"/>
            </w:pPr>
          </w:p>
        </w:tc>
        <w:tc>
          <w:tcPr>
            <w:tcW w:w="1643"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2.43</w:t>
            </w:r>
          </w:p>
        </w:tc>
        <w:tc>
          <w:tcPr>
            <w:tcW w:w="1643" w:type="dxa"/>
            <w:vAlign w:val="center"/>
          </w:tcPr>
          <w:p>
            <w:pPr>
              <w:pStyle w:val="11"/>
            </w:pPr>
          </w:p>
        </w:tc>
        <w:tc>
          <w:tcPr>
            <w:tcW w:w="1643"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10.38</w:t>
            </w:r>
          </w:p>
        </w:tc>
        <w:tc>
          <w:tcPr>
            <w:tcW w:w="1643" w:type="dxa"/>
            <w:vAlign w:val="center"/>
          </w:tcPr>
          <w:p>
            <w:pPr>
              <w:pStyle w:val="11"/>
            </w:pPr>
          </w:p>
        </w:tc>
        <w:tc>
          <w:tcPr>
            <w:tcW w:w="1643" w:type="dxa"/>
            <w:vAlign w:val="center"/>
          </w:tcPr>
          <w:p>
            <w:pPr>
              <w:pStyle w:val="11"/>
            </w:pPr>
            <w:r>
              <w:t>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1.66</w:t>
            </w:r>
          </w:p>
        </w:tc>
        <w:tc>
          <w:tcPr>
            <w:tcW w:w="1643" w:type="dxa"/>
            <w:vAlign w:val="center"/>
          </w:tcPr>
          <w:p>
            <w:pPr>
              <w:pStyle w:val="11"/>
            </w:pPr>
          </w:p>
        </w:tc>
        <w:tc>
          <w:tcPr>
            <w:tcW w:w="1643"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58.43</w:t>
            </w:r>
          </w:p>
        </w:tc>
        <w:tc>
          <w:tcPr>
            <w:tcW w:w="1643" w:type="dxa"/>
            <w:vAlign w:val="center"/>
          </w:tcPr>
          <w:p>
            <w:pPr>
              <w:pStyle w:val="11"/>
            </w:pPr>
            <w:r>
              <w:t>58.43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57.69</w:t>
            </w:r>
          </w:p>
        </w:tc>
        <w:tc>
          <w:tcPr>
            <w:tcW w:w="1643" w:type="dxa"/>
            <w:vAlign w:val="center"/>
          </w:tcPr>
          <w:p>
            <w:pPr>
              <w:pStyle w:val="11"/>
            </w:pPr>
            <w:r>
              <w:t>57.69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0.73</w:t>
            </w:r>
          </w:p>
        </w:tc>
        <w:tc>
          <w:tcPr>
            <w:tcW w:w="1643" w:type="dxa"/>
            <w:vAlign w:val="center"/>
          </w:tcPr>
          <w:p>
            <w:pPr>
              <w:pStyle w:val="11"/>
            </w:pPr>
            <w:r>
              <w:t>0.73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0.01</w:t>
            </w:r>
          </w:p>
        </w:tc>
        <w:tc>
          <w:tcPr>
            <w:tcW w:w="1643" w:type="dxa"/>
            <w:vAlign w:val="center"/>
          </w:tcPr>
          <w:p>
            <w:pPr>
              <w:pStyle w:val="11"/>
            </w:pPr>
            <w:r>
              <w:t>0.01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2.91</w:t>
            </w:r>
          </w:p>
        </w:tc>
        <w:tc>
          <w:tcPr>
            <w:tcW w:w="1643" w:type="dxa"/>
            <w:vAlign w:val="center"/>
          </w:tcPr>
          <w:p>
            <w:pPr>
              <w:pStyle w:val="15"/>
            </w:pPr>
            <w:r>
              <w:t>2.91</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2.91</w:t>
            </w:r>
          </w:p>
        </w:tc>
        <w:tc>
          <w:tcPr>
            <w:tcW w:w="1643" w:type="dxa"/>
            <w:vAlign w:val="center"/>
          </w:tcPr>
          <w:p>
            <w:pPr>
              <w:pStyle w:val="11"/>
            </w:pPr>
            <w:r>
              <w:t>2.91</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2.43</w:t>
            </w:r>
          </w:p>
        </w:tc>
        <w:tc>
          <w:tcPr>
            <w:tcW w:w="1643" w:type="dxa"/>
            <w:vAlign w:val="center"/>
          </w:tcPr>
          <w:p>
            <w:pPr>
              <w:pStyle w:val="11"/>
            </w:pPr>
            <w:r>
              <w:t>2.43</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2.43</w:t>
            </w:r>
          </w:p>
        </w:tc>
        <w:tc>
          <w:tcPr>
            <w:tcW w:w="1643" w:type="dxa"/>
            <w:vAlign w:val="center"/>
          </w:tcPr>
          <w:p>
            <w:pPr>
              <w:pStyle w:val="11"/>
            </w:pPr>
            <w:r>
              <w:t>2.43</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0.48</w:t>
            </w:r>
          </w:p>
        </w:tc>
        <w:tc>
          <w:tcPr>
            <w:tcW w:w="1643" w:type="dxa"/>
            <w:vAlign w:val="center"/>
          </w:tcPr>
          <w:p>
            <w:pPr>
              <w:pStyle w:val="11"/>
            </w:pPr>
            <w:r>
              <w:t>0.48</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中共保定市徐水区委政法委员会本级2024年单位预算信息公开情况说明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按照《中华人民共和国预算法》、《地方预决算公开操作规程》和《关于进一步推进预算公开工作的实施意见》规定，现将中共保定市徐水区委政法委员会本级2024年单位预算公开如下：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主要职责是：</w:t>
      </w:r>
    </w:p>
    <w:p>
      <w:pPr>
        <w:pStyle w:val="17"/>
      </w:pPr>
      <w:r>
        <w:t>（一）深入贯彻习近平新时代中国特色社会主义思想，坚持党对政法工作的绝对领导，坚决执行党的路线方针政策和党中央重大决策部署，推动完善和落实政治轮训和政治督察制度。</w:t>
      </w:r>
    </w:p>
    <w:p>
      <w:pPr>
        <w:pStyle w:val="17"/>
      </w:pPr>
      <w:r>
        <w:t>（二）贯彻党中央以及上级党组织决定，研究协调政法单位之间、政法单位和有关部门之间有关重大事项，统一政法单位思想和行动。</w:t>
      </w:r>
    </w:p>
    <w:p>
      <w:pPr>
        <w:pStyle w:val="17"/>
      </w:pPr>
      <w:r>
        <w:t>（三）加强对政法领域重大实践和理论问题调查研究，提出重大决策部署和改革措施的意见和建议，协助区委决策和统筹推进政法改革等各项工作。</w:t>
      </w:r>
    </w:p>
    <w:p>
      <w:pPr>
        <w:pStyle w:val="17"/>
      </w:pPr>
      <w: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pPr>
        <w:pStyle w:val="17"/>
      </w:pPr>
      <w:r>
        <w:t>（五）加强对政法工作的督查，统筹协调社会治安综合治理、维护社会稳定等有关国家法律法规和政策的实施工作。</w:t>
      </w:r>
    </w:p>
    <w:p>
      <w:pPr>
        <w:pStyle w:val="17"/>
      </w:pPr>
      <w: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17"/>
      </w:pPr>
      <w: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pStyle w:val="17"/>
      </w:pPr>
      <w: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17"/>
      </w:pPr>
      <w:r>
        <w:t>（九）掌握分析政法舆情动态，指导和协调政法单位和有关部门做好依法办理、宣传报道和舆论引导等相关工作。</w:t>
      </w:r>
    </w:p>
    <w:p>
      <w:pPr>
        <w:pStyle w:val="17"/>
      </w:pPr>
      <w:r>
        <w:t>（十）组织研究政法改革中带有方向性、倾向性和普遍性的重大问题，深化政法改革，联系区委全面依法治区委员会办公室。</w:t>
      </w:r>
    </w:p>
    <w:p>
      <w:pPr>
        <w:pStyle w:val="17"/>
      </w:pPr>
      <w:r>
        <w:t>（十一）统筹推动全区政法系统信息化工作，指导政法智能化建设。</w:t>
      </w:r>
    </w:p>
    <w:p>
      <w:pPr>
        <w:pStyle w:val="17"/>
      </w:pPr>
      <w:r>
        <w:t xml:space="preserve">（十二）完成区委和上级党委政法委员会交办的其他任务。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中共保定市徐水区委政法委员会本级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val="en-US" w:eastAsia="zh-CN"/>
        </w:rPr>
        <w:t>(</w:t>
      </w:r>
      <w:r>
        <w:t>一</w:t>
      </w:r>
      <w:r>
        <w:rPr>
          <w:rFonts w:hint="eastAsia"/>
          <w:lang w:val="en-US" w:eastAsia="zh-CN"/>
        </w:rPr>
        <w:t>)</w:t>
      </w:r>
      <w:r>
        <w:t>收入说明</w:t>
      </w:r>
    </w:p>
    <w:p>
      <w:pPr>
        <w:pStyle w:val="18"/>
      </w:pPr>
      <w:r>
        <w:t>反映本单位全部收入。2024年预算收入756.92万元，其中：一般公共预算收入756.92万元，基金预算收入0万元，国有资本经营预算收入0万元，财政专户核拨收入0万元，单位资金收入0万元，上年结转结余0万元。</w:t>
      </w:r>
    </w:p>
    <w:p>
      <w:pPr>
        <w:pStyle w:val="18"/>
      </w:pPr>
      <w:r>
        <w:rPr>
          <w:rFonts w:hint="eastAsia"/>
          <w:lang w:val="en-US" w:eastAsia="zh-CN"/>
        </w:rPr>
        <w:t>(</w:t>
      </w:r>
      <w:r>
        <w:t>二</w:t>
      </w:r>
      <w:r>
        <w:rPr>
          <w:rFonts w:hint="eastAsia"/>
          <w:lang w:val="en-US" w:eastAsia="zh-CN"/>
        </w:rPr>
        <w:t>)</w:t>
      </w:r>
      <w:r>
        <w:t>支出说明</w:t>
      </w:r>
    </w:p>
    <w:p>
      <w:pPr>
        <w:pStyle w:val="18"/>
      </w:pPr>
      <w:r>
        <w:t>收支预算总表支出栏、基本支出表、项目支出表按经济分类和支出功能分类科目编制，反映中共保定市徐水区委政法委员会年度预算单位中支出预算的总体情况。2024年支出预算 756.92万元，其中基本支出343.84万元，包括人员经费313.45万元和日常公用经费30.39万元；项目支出413.08万元，主要为防范工作经费6.30万元、机关事务保障经费57.08万元、铁路护路联防工作经费（劳务派遣）29.70万元、政法网络租赁经费（运作保障）20.00万元、政法稳定工作经费280.00万元和政法稳定工作经费（扫黑除恶）20.00万元。</w:t>
      </w:r>
    </w:p>
    <w:p>
      <w:pPr>
        <w:pStyle w:val="18"/>
      </w:pPr>
      <w:r>
        <w:rPr>
          <w:rFonts w:hint="eastAsia"/>
          <w:lang w:val="en-US" w:eastAsia="zh-CN"/>
        </w:rPr>
        <w:t>(</w:t>
      </w:r>
      <w:bookmarkStart w:id="0" w:name="_GoBack"/>
      <w:bookmarkEnd w:id="0"/>
      <w:r>
        <w:t>三</w:t>
      </w:r>
      <w:r>
        <w:rPr>
          <w:rFonts w:hint="eastAsia"/>
          <w:lang w:val="en-US" w:eastAsia="zh-CN"/>
        </w:rPr>
        <w:t>)</w:t>
      </w:r>
      <w:r>
        <w:t>比上年增减情况</w:t>
      </w:r>
    </w:p>
    <w:p>
      <w:pPr>
        <w:pStyle w:val="18"/>
      </w:pPr>
      <w:r>
        <w:t>本年度预算收支安排756.92万元，较上年减少136.58万元。其中:基本支出减少186.28万元，主要原因是2024年将2023年纳入基本支出的劳务派遣人员项目和全区运转的网络租费项目重新纳入项目支出，致使2024年基本支出减少；项目支出增加49.70万元，主要原因是2024年铁路护路联防工作经费（劳务派遣）经费和政法网络租赁经费（运作保障）纳入项目支出，致使2024年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2024年我单位机关运行经费安排30.39万元，其中办公费2.94万元，邮电费7.22万元，工会经费、福利费4.91万元，公务用车运行维护费2.43万元，其他支出12.89万元。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2.91万元，其中因公出国（境）费0万元；公务用车购置及运行维护费2.43万元（其中：公务用车购置费为0万元，公务用车运维费2.43万元)；公务接待费0.48万元。与2023年相比减少2.43万元，减少的主要原因是：2024年我单位公务用车有2辆，其中1辆是通过平台租赁，不纳入公务用车购置及运行维护费用，因此公用用车购置及运行维护费较上年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1、防范工作经费绩效目标表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13062524P00001510293T</w:t>
            </w:r>
          </w:p>
        </w:tc>
        <w:tc>
          <w:tcPr>
            <w:tcW w:w="2114" w:type="dxa"/>
            <w:vAlign w:val="center"/>
          </w:tcPr>
          <w:p>
            <w:pPr>
              <w:pStyle w:val="10"/>
            </w:pPr>
            <w:r>
              <w:t>项目名称</w:t>
            </w:r>
          </w:p>
        </w:tc>
        <w:tc>
          <w:tcPr>
            <w:tcW w:w="6342" w:type="dxa"/>
            <w:gridSpan w:val="3"/>
            <w:vAlign w:val="center"/>
          </w:tcPr>
          <w:p>
            <w:pPr>
              <w:pStyle w:val="12"/>
            </w:pPr>
            <w:r>
              <w:t>防范工作经费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6.30</w:t>
            </w:r>
          </w:p>
        </w:tc>
        <w:tc>
          <w:tcPr>
            <w:tcW w:w="2114" w:type="dxa"/>
            <w:vAlign w:val="center"/>
          </w:tcPr>
          <w:p>
            <w:pPr>
              <w:pStyle w:val="10"/>
            </w:pPr>
            <w:r>
              <w:t>其中：财政    资金</w:t>
            </w:r>
          </w:p>
        </w:tc>
        <w:tc>
          <w:tcPr>
            <w:tcW w:w="2114" w:type="dxa"/>
            <w:vAlign w:val="center"/>
          </w:tcPr>
          <w:p>
            <w:pPr>
              <w:pStyle w:val="12"/>
            </w:pPr>
            <w:r>
              <w:t>6.30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通过制作、发放宣传单，确保宣传到位覆盖全区各乡镇各村，达到全区社会稳定政治稳定</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w:t>
            </w:r>
          </w:p>
        </w:tc>
        <w:tc>
          <w:tcPr>
            <w:tcW w:w="2114" w:type="dxa"/>
            <w:vAlign w:val="center"/>
          </w:tcPr>
          <w:p>
            <w:pPr>
              <w:pStyle w:val="13"/>
            </w:pPr>
            <w:r>
              <w:t>80%</w:t>
            </w:r>
          </w:p>
        </w:tc>
        <w:tc>
          <w:tcPr>
            <w:tcW w:w="2114" w:type="dxa"/>
            <w:vAlign w:val="center"/>
          </w:tcPr>
          <w:p>
            <w:pPr>
              <w:pStyle w:val="13"/>
            </w:pPr>
            <w:r>
              <w:t>90%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1.通过制作、发放宣传单，确保宣传到位覆盖全区各乡镇各村，达到全区社会稳定政治稳定</w:t>
            </w:r>
            <w:r>
              <w:tab/>
            </w:r>
            <w:r>
              <w:tab/>
            </w:r>
            <w:r>
              <w:tab/>
            </w:r>
            <w:r>
              <w:tab/>
            </w:r>
            <w:r>
              <w:tab/>
            </w:r>
            <w:r>
              <w:t>。</w:t>
            </w:r>
            <w:r>
              <w:tab/>
            </w:r>
          </w:p>
          <w:p>
            <w:pPr>
              <w:pStyle w:val="12"/>
            </w:pPr>
            <w:r>
              <w:t>2.组织制作宣传单，全年制作反邪教宣传单数量不少于20000张，保障宣传单覆盖全区各乡镇各村。</w:t>
            </w:r>
          </w:p>
          <w:p>
            <w:pPr>
              <w:pStyle w:val="12"/>
            </w:pPr>
            <w:r>
              <w:t>3.通过组织制作反邪教宣传单，预计涉及全区15个乡镇及各村，使反邪教工作达到人人知法，人人宣传。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制作宣传单数量</w:t>
            </w:r>
          </w:p>
        </w:tc>
        <w:tc>
          <w:tcPr>
            <w:tcW w:w="4228" w:type="dxa"/>
            <w:vAlign w:val="center"/>
          </w:tcPr>
          <w:p>
            <w:pPr>
              <w:pStyle w:val="12"/>
            </w:pPr>
            <w:r>
              <w:t>反映全年制作反邪教宣传单数量情况</w:t>
            </w:r>
          </w:p>
        </w:tc>
        <w:tc>
          <w:tcPr>
            <w:tcW w:w="2114" w:type="dxa"/>
            <w:vAlign w:val="center"/>
          </w:tcPr>
          <w:p>
            <w:pPr>
              <w:pStyle w:val="12"/>
            </w:pPr>
            <w:r>
              <w:t>≥20000张</w:t>
            </w:r>
          </w:p>
        </w:tc>
        <w:tc>
          <w:tcPr>
            <w:tcW w:w="2114" w:type="dxa"/>
            <w:vAlign w:val="center"/>
          </w:tcPr>
          <w:p>
            <w:pPr>
              <w:pStyle w:val="12"/>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制作宣传单覆盖乡镇数量</w:t>
            </w:r>
          </w:p>
        </w:tc>
        <w:tc>
          <w:tcPr>
            <w:tcW w:w="4228" w:type="dxa"/>
            <w:vAlign w:val="center"/>
          </w:tcPr>
          <w:p>
            <w:pPr>
              <w:pStyle w:val="12"/>
            </w:pPr>
            <w:r>
              <w:t>反映全年制定反邪教宣传单覆盖乡镇情况</w:t>
            </w:r>
          </w:p>
        </w:tc>
        <w:tc>
          <w:tcPr>
            <w:tcW w:w="2114" w:type="dxa"/>
            <w:vAlign w:val="center"/>
          </w:tcPr>
          <w:p>
            <w:pPr>
              <w:pStyle w:val="12"/>
            </w:pPr>
            <w:r>
              <w:t>≥15个</w:t>
            </w:r>
          </w:p>
        </w:tc>
        <w:tc>
          <w:tcPr>
            <w:tcW w:w="2114" w:type="dxa"/>
            <w:vAlign w:val="center"/>
          </w:tcPr>
          <w:p>
            <w:pPr>
              <w:pStyle w:val="12"/>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发放反邪教宣传单完成率</w:t>
            </w:r>
          </w:p>
        </w:tc>
        <w:tc>
          <w:tcPr>
            <w:tcW w:w="4228" w:type="dxa"/>
            <w:vAlign w:val="center"/>
          </w:tcPr>
          <w:p>
            <w:pPr>
              <w:pStyle w:val="12"/>
            </w:pPr>
            <w:r>
              <w:t>反映覆盖全区各乡镇各村完成率</w:t>
            </w:r>
          </w:p>
        </w:tc>
        <w:tc>
          <w:tcPr>
            <w:tcW w:w="2114" w:type="dxa"/>
            <w:vAlign w:val="center"/>
          </w:tcPr>
          <w:p>
            <w:pPr>
              <w:pStyle w:val="12"/>
            </w:pPr>
            <w:r>
              <w:t>≥85%</w:t>
            </w:r>
          </w:p>
        </w:tc>
        <w:tc>
          <w:tcPr>
            <w:tcW w:w="2114" w:type="dxa"/>
            <w:vAlign w:val="center"/>
          </w:tcPr>
          <w:p>
            <w:pPr>
              <w:pStyle w:val="12"/>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工作完成及时率</w:t>
            </w:r>
          </w:p>
        </w:tc>
        <w:tc>
          <w:tcPr>
            <w:tcW w:w="4228" w:type="dxa"/>
            <w:vAlign w:val="center"/>
          </w:tcPr>
          <w:p>
            <w:pPr>
              <w:pStyle w:val="12"/>
            </w:pPr>
            <w:r>
              <w:t>反映宣传工作完成及时程度</w:t>
            </w:r>
          </w:p>
        </w:tc>
        <w:tc>
          <w:tcPr>
            <w:tcW w:w="2114" w:type="dxa"/>
            <w:vAlign w:val="center"/>
          </w:tcPr>
          <w:p>
            <w:pPr>
              <w:pStyle w:val="12"/>
            </w:pPr>
            <w:r>
              <w:t>≥95%</w:t>
            </w:r>
          </w:p>
        </w:tc>
        <w:tc>
          <w:tcPr>
            <w:tcW w:w="2114" w:type="dxa"/>
            <w:vAlign w:val="center"/>
          </w:tcPr>
          <w:p>
            <w:pPr>
              <w:pStyle w:val="12"/>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项目成本费用</w:t>
            </w:r>
          </w:p>
        </w:tc>
        <w:tc>
          <w:tcPr>
            <w:tcW w:w="4228" w:type="dxa"/>
            <w:vAlign w:val="center"/>
          </w:tcPr>
          <w:p>
            <w:pPr>
              <w:pStyle w:val="12"/>
            </w:pPr>
            <w:r>
              <w:t>反映项目成本费用</w:t>
            </w:r>
          </w:p>
        </w:tc>
        <w:tc>
          <w:tcPr>
            <w:tcW w:w="2114" w:type="dxa"/>
            <w:vAlign w:val="center"/>
          </w:tcPr>
          <w:p>
            <w:pPr>
              <w:pStyle w:val="12"/>
            </w:pPr>
            <w:r>
              <w:t>≤6.3万元</w:t>
            </w:r>
          </w:p>
        </w:tc>
        <w:tc>
          <w:tcPr>
            <w:tcW w:w="2114" w:type="dxa"/>
            <w:vAlign w:val="center"/>
          </w:tcPr>
          <w:p>
            <w:pPr>
              <w:pStyle w:val="12"/>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邪教人员教育转化率</w:t>
            </w:r>
          </w:p>
        </w:tc>
        <w:tc>
          <w:tcPr>
            <w:tcW w:w="4228" w:type="dxa"/>
            <w:vAlign w:val="center"/>
          </w:tcPr>
          <w:p>
            <w:pPr>
              <w:pStyle w:val="12"/>
            </w:pPr>
            <w:r>
              <w:t>对发现的邪教组织人员进行教育转化人数与总人数比例情况</w:t>
            </w:r>
          </w:p>
        </w:tc>
        <w:tc>
          <w:tcPr>
            <w:tcW w:w="2114" w:type="dxa"/>
            <w:vAlign w:val="center"/>
          </w:tcPr>
          <w:p>
            <w:pPr>
              <w:pStyle w:val="12"/>
            </w:pPr>
            <w:r>
              <w:t>≥95%</w:t>
            </w:r>
          </w:p>
        </w:tc>
        <w:tc>
          <w:tcPr>
            <w:tcW w:w="2114" w:type="dxa"/>
            <w:vAlign w:val="center"/>
          </w:tcPr>
          <w:p>
            <w:pPr>
              <w:pStyle w:val="12"/>
            </w:pPr>
            <w:r>
              <w:t>冀政法字【2017】29号文件和防范工作经费项目实施计划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反映人民群众满意率</w:t>
            </w:r>
          </w:p>
        </w:tc>
        <w:tc>
          <w:tcPr>
            <w:tcW w:w="2114" w:type="dxa"/>
            <w:vAlign w:val="center"/>
          </w:tcPr>
          <w:p>
            <w:pPr>
              <w:pStyle w:val="12"/>
            </w:pPr>
            <w:r>
              <w:t>≥95%</w:t>
            </w:r>
          </w:p>
        </w:tc>
        <w:tc>
          <w:tcPr>
            <w:tcW w:w="2114"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2、机关事务保障经费绩效目标表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13062524P000015102927</w:t>
            </w:r>
          </w:p>
        </w:tc>
        <w:tc>
          <w:tcPr>
            <w:tcW w:w="2114" w:type="dxa"/>
            <w:vAlign w:val="center"/>
          </w:tcPr>
          <w:p>
            <w:pPr>
              <w:pStyle w:val="10"/>
            </w:pPr>
            <w:r>
              <w:t>项目名称</w:t>
            </w:r>
          </w:p>
        </w:tc>
        <w:tc>
          <w:tcPr>
            <w:tcW w:w="6342" w:type="dxa"/>
            <w:gridSpan w:val="3"/>
            <w:vAlign w:val="center"/>
          </w:tcPr>
          <w:p>
            <w:pPr>
              <w:pStyle w:val="12"/>
            </w:pPr>
            <w:r>
              <w:t>机关事务保障经费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57.08</w:t>
            </w:r>
          </w:p>
        </w:tc>
        <w:tc>
          <w:tcPr>
            <w:tcW w:w="2114" w:type="dxa"/>
            <w:vAlign w:val="center"/>
          </w:tcPr>
          <w:p>
            <w:pPr>
              <w:pStyle w:val="10"/>
            </w:pPr>
            <w:r>
              <w:t>其中：财政    资金</w:t>
            </w:r>
          </w:p>
        </w:tc>
        <w:tc>
          <w:tcPr>
            <w:tcW w:w="2114" w:type="dxa"/>
            <w:vAlign w:val="center"/>
          </w:tcPr>
          <w:p>
            <w:pPr>
              <w:pStyle w:val="12"/>
            </w:pPr>
            <w:r>
              <w:t>57.08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通过此项目的运行，使用四家单位办公楼院内得到有效管理，确保机关正常运转运行，保障机关正常办公。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w:t>
            </w:r>
          </w:p>
        </w:tc>
        <w:tc>
          <w:tcPr>
            <w:tcW w:w="2114" w:type="dxa"/>
            <w:vAlign w:val="center"/>
          </w:tcPr>
          <w:p>
            <w:pPr>
              <w:pStyle w:val="13"/>
            </w:pPr>
            <w:r>
              <w:t>60%</w:t>
            </w:r>
          </w:p>
        </w:tc>
        <w:tc>
          <w:tcPr>
            <w:tcW w:w="2114" w:type="dxa"/>
            <w:vAlign w:val="center"/>
          </w:tcPr>
          <w:p>
            <w:pPr>
              <w:pStyle w:val="13"/>
            </w:pPr>
            <w:r>
              <w:t>90%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1.通过此项目的运行，使用四家单位办公楼院内得到有效管理，确保机关正常运转运行，保障机关正常办公。</w:t>
            </w:r>
          </w:p>
          <w:p>
            <w:pPr>
              <w:pStyle w:val="12"/>
            </w:pPr>
            <w:r>
              <w:t>2.建立保安保洁工作长效机制，聘请有责任心、严格遵守工作纪律的保安保洁人员8名，通过保安保洁工作，确保办公区域安全与环境卫生。</w:t>
            </w:r>
          </w:p>
          <w:p>
            <w:pPr>
              <w:pStyle w:val="12"/>
            </w:pPr>
            <w:r>
              <w:t>3.通过此项目的运行，办公楼院内中水、电、燃气费用按4个季度及时缴付，确保机关正常办公。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保安、保洁、锅炉工工作人数</w:t>
            </w:r>
          </w:p>
        </w:tc>
        <w:tc>
          <w:tcPr>
            <w:tcW w:w="4228" w:type="dxa"/>
            <w:vAlign w:val="center"/>
          </w:tcPr>
          <w:p>
            <w:pPr>
              <w:pStyle w:val="12"/>
            </w:pPr>
            <w:r>
              <w:t>反映保安、保洁、锅炉工工资发放人数情况</w:t>
            </w:r>
          </w:p>
        </w:tc>
        <w:tc>
          <w:tcPr>
            <w:tcW w:w="2114" w:type="dxa"/>
            <w:vAlign w:val="center"/>
          </w:tcPr>
          <w:p>
            <w:pPr>
              <w:pStyle w:val="12"/>
            </w:pPr>
            <w:r>
              <w:t>8人</w:t>
            </w:r>
          </w:p>
        </w:tc>
        <w:tc>
          <w:tcPr>
            <w:tcW w:w="2114" w:type="dxa"/>
            <w:vAlign w:val="center"/>
          </w:tcPr>
          <w:p>
            <w:pPr>
              <w:pStyle w:val="12"/>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水、电、燃气费用安排次数</w:t>
            </w:r>
          </w:p>
        </w:tc>
        <w:tc>
          <w:tcPr>
            <w:tcW w:w="4228" w:type="dxa"/>
            <w:vAlign w:val="center"/>
          </w:tcPr>
          <w:p>
            <w:pPr>
              <w:pStyle w:val="12"/>
            </w:pPr>
            <w:r>
              <w:t>反映机关水、电、燃气费用缴纳情况</w:t>
            </w:r>
          </w:p>
        </w:tc>
        <w:tc>
          <w:tcPr>
            <w:tcW w:w="2114" w:type="dxa"/>
            <w:vAlign w:val="center"/>
          </w:tcPr>
          <w:p>
            <w:pPr>
              <w:pStyle w:val="12"/>
            </w:pPr>
            <w:r>
              <w:t>4次</w:t>
            </w:r>
          </w:p>
        </w:tc>
        <w:tc>
          <w:tcPr>
            <w:tcW w:w="2114" w:type="dxa"/>
            <w:vAlign w:val="center"/>
          </w:tcPr>
          <w:p>
            <w:pPr>
              <w:pStyle w:val="12"/>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工作达标率</w:t>
            </w:r>
          </w:p>
        </w:tc>
        <w:tc>
          <w:tcPr>
            <w:tcW w:w="4228" w:type="dxa"/>
            <w:vAlign w:val="center"/>
          </w:tcPr>
          <w:p>
            <w:pPr>
              <w:pStyle w:val="12"/>
            </w:pPr>
            <w:r>
              <w:t>反映保洁、保安等工作确保机关正常运转达标程度</w:t>
            </w:r>
          </w:p>
        </w:tc>
        <w:tc>
          <w:tcPr>
            <w:tcW w:w="2114" w:type="dxa"/>
            <w:vAlign w:val="center"/>
          </w:tcPr>
          <w:p>
            <w:pPr>
              <w:pStyle w:val="12"/>
            </w:pPr>
            <w:r>
              <w:t>≥95%</w:t>
            </w:r>
          </w:p>
        </w:tc>
        <w:tc>
          <w:tcPr>
            <w:tcW w:w="2114" w:type="dxa"/>
            <w:vAlign w:val="center"/>
          </w:tcPr>
          <w:p>
            <w:pPr>
              <w:pStyle w:val="12"/>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工作完成率</w:t>
            </w:r>
          </w:p>
        </w:tc>
        <w:tc>
          <w:tcPr>
            <w:tcW w:w="4228" w:type="dxa"/>
            <w:vAlign w:val="center"/>
          </w:tcPr>
          <w:p>
            <w:pPr>
              <w:pStyle w:val="12"/>
            </w:pPr>
            <w:r>
              <w:t>反映机关水、电、燃气费用缴纳工作完成程度</w:t>
            </w:r>
          </w:p>
        </w:tc>
        <w:tc>
          <w:tcPr>
            <w:tcW w:w="2114" w:type="dxa"/>
            <w:vAlign w:val="center"/>
          </w:tcPr>
          <w:p>
            <w:pPr>
              <w:pStyle w:val="12"/>
            </w:pPr>
            <w:r>
              <w:t>100%</w:t>
            </w:r>
          </w:p>
        </w:tc>
        <w:tc>
          <w:tcPr>
            <w:tcW w:w="2114" w:type="dxa"/>
            <w:vAlign w:val="center"/>
          </w:tcPr>
          <w:p>
            <w:pPr>
              <w:pStyle w:val="12"/>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保安、保洁、锅炉工及时率</w:t>
            </w:r>
          </w:p>
        </w:tc>
        <w:tc>
          <w:tcPr>
            <w:tcW w:w="4228" w:type="dxa"/>
            <w:vAlign w:val="center"/>
          </w:tcPr>
          <w:p>
            <w:pPr>
              <w:pStyle w:val="12"/>
            </w:pPr>
            <w:r>
              <w:t>反映保安、保洁、锅炉工工资发放及时程度</w:t>
            </w:r>
          </w:p>
        </w:tc>
        <w:tc>
          <w:tcPr>
            <w:tcW w:w="2114" w:type="dxa"/>
            <w:vAlign w:val="center"/>
          </w:tcPr>
          <w:p>
            <w:pPr>
              <w:pStyle w:val="12"/>
            </w:pPr>
            <w:r>
              <w:t>≥95%</w:t>
            </w:r>
          </w:p>
        </w:tc>
        <w:tc>
          <w:tcPr>
            <w:tcW w:w="2114" w:type="dxa"/>
            <w:vAlign w:val="center"/>
          </w:tcPr>
          <w:p>
            <w:pPr>
              <w:pStyle w:val="12"/>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水、电、燃气费用缴纳及时率</w:t>
            </w:r>
          </w:p>
        </w:tc>
        <w:tc>
          <w:tcPr>
            <w:tcW w:w="4228" w:type="dxa"/>
            <w:vAlign w:val="center"/>
          </w:tcPr>
          <w:p>
            <w:pPr>
              <w:pStyle w:val="12"/>
            </w:pPr>
            <w:r>
              <w:t>反映机关水、电、燃气费用缴纳及时程度</w:t>
            </w:r>
          </w:p>
        </w:tc>
        <w:tc>
          <w:tcPr>
            <w:tcW w:w="2114" w:type="dxa"/>
            <w:vAlign w:val="center"/>
          </w:tcPr>
          <w:p>
            <w:pPr>
              <w:pStyle w:val="12"/>
            </w:pPr>
            <w:r>
              <w:t>≥95%</w:t>
            </w:r>
          </w:p>
        </w:tc>
        <w:tc>
          <w:tcPr>
            <w:tcW w:w="2114" w:type="dxa"/>
            <w:vAlign w:val="center"/>
          </w:tcPr>
          <w:p>
            <w:pPr>
              <w:pStyle w:val="12"/>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项目成本费用</w:t>
            </w:r>
          </w:p>
        </w:tc>
        <w:tc>
          <w:tcPr>
            <w:tcW w:w="4228" w:type="dxa"/>
            <w:vAlign w:val="center"/>
          </w:tcPr>
          <w:p>
            <w:pPr>
              <w:pStyle w:val="12"/>
            </w:pPr>
            <w:r>
              <w:t>反映项目成本费用</w:t>
            </w:r>
          </w:p>
        </w:tc>
        <w:tc>
          <w:tcPr>
            <w:tcW w:w="2114" w:type="dxa"/>
            <w:vAlign w:val="center"/>
          </w:tcPr>
          <w:p>
            <w:pPr>
              <w:pStyle w:val="12"/>
            </w:pPr>
            <w:r>
              <w:t>≤57.08万元</w:t>
            </w:r>
          </w:p>
        </w:tc>
        <w:tc>
          <w:tcPr>
            <w:tcW w:w="2114" w:type="dxa"/>
            <w:vAlign w:val="center"/>
          </w:tcPr>
          <w:p>
            <w:pPr>
              <w:pStyle w:val="12"/>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机关运行保障度</w:t>
            </w:r>
          </w:p>
        </w:tc>
        <w:tc>
          <w:tcPr>
            <w:tcW w:w="4228" w:type="dxa"/>
            <w:vAlign w:val="center"/>
          </w:tcPr>
          <w:p>
            <w:pPr>
              <w:pStyle w:val="12"/>
            </w:pPr>
            <w:r>
              <w:t>机关正常运转率</w:t>
            </w:r>
          </w:p>
        </w:tc>
        <w:tc>
          <w:tcPr>
            <w:tcW w:w="2114" w:type="dxa"/>
            <w:vAlign w:val="center"/>
          </w:tcPr>
          <w:p>
            <w:pPr>
              <w:pStyle w:val="12"/>
            </w:pPr>
            <w:r>
              <w:t>≥95%</w:t>
            </w:r>
          </w:p>
        </w:tc>
        <w:tc>
          <w:tcPr>
            <w:tcW w:w="2114" w:type="dxa"/>
            <w:vAlign w:val="center"/>
          </w:tcPr>
          <w:p>
            <w:pPr>
              <w:pStyle w:val="12"/>
            </w:pPr>
            <w:r>
              <w:t>机关事务保障经费项目实施计划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机关职工满意度</w:t>
            </w:r>
          </w:p>
        </w:tc>
        <w:tc>
          <w:tcPr>
            <w:tcW w:w="4228" w:type="dxa"/>
            <w:vAlign w:val="center"/>
          </w:tcPr>
          <w:p>
            <w:pPr>
              <w:pStyle w:val="12"/>
            </w:pPr>
            <w:r>
              <w:t>机关职工满意度</w:t>
            </w:r>
          </w:p>
        </w:tc>
        <w:tc>
          <w:tcPr>
            <w:tcW w:w="2114" w:type="dxa"/>
            <w:vAlign w:val="center"/>
          </w:tcPr>
          <w:p>
            <w:pPr>
              <w:pStyle w:val="12"/>
            </w:pPr>
            <w:r>
              <w:t>≥90%</w:t>
            </w:r>
          </w:p>
        </w:tc>
        <w:tc>
          <w:tcPr>
            <w:tcW w:w="2114"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3、铁路护路联防工作经费（劳务派遣）绩效目标表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13062524P00001510294E</w:t>
            </w:r>
          </w:p>
        </w:tc>
        <w:tc>
          <w:tcPr>
            <w:tcW w:w="2114" w:type="dxa"/>
            <w:vAlign w:val="center"/>
          </w:tcPr>
          <w:p>
            <w:pPr>
              <w:pStyle w:val="10"/>
            </w:pPr>
            <w:r>
              <w:t>项目名称</w:t>
            </w:r>
          </w:p>
        </w:tc>
        <w:tc>
          <w:tcPr>
            <w:tcW w:w="6342" w:type="dxa"/>
            <w:gridSpan w:val="3"/>
            <w:vAlign w:val="center"/>
          </w:tcPr>
          <w:p>
            <w:pPr>
              <w:pStyle w:val="12"/>
            </w:pPr>
            <w:r>
              <w:t>铁路护路联防工作经费（劳务派遣）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29.70</w:t>
            </w:r>
          </w:p>
        </w:tc>
        <w:tc>
          <w:tcPr>
            <w:tcW w:w="2114" w:type="dxa"/>
            <w:vAlign w:val="center"/>
          </w:tcPr>
          <w:p>
            <w:pPr>
              <w:pStyle w:val="10"/>
            </w:pPr>
            <w:r>
              <w:t>其中：财政    资金</w:t>
            </w:r>
          </w:p>
        </w:tc>
        <w:tc>
          <w:tcPr>
            <w:tcW w:w="2114" w:type="dxa"/>
            <w:vAlign w:val="center"/>
          </w:tcPr>
          <w:p>
            <w:pPr>
              <w:pStyle w:val="12"/>
            </w:pPr>
            <w:r>
              <w:t>29.70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通过此项目的运行，使我区铁路护路周边安全，保障重大节日正常运行。聘请有责任心、严格遵守工作纪律的铁路护路人员5名，通过护路工作，确保铁路周边安全。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w:t>
            </w:r>
          </w:p>
        </w:tc>
        <w:tc>
          <w:tcPr>
            <w:tcW w:w="2114" w:type="dxa"/>
            <w:vAlign w:val="center"/>
          </w:tcPr>
          <w:p>
            <w:pPr>
              <w:pStyle w:val="13"/>
            </w:pPr>
            <w:r>
              <w:t>60%</w:t>
            </w:r>
          </w:p>
        </w:tc>
        <w:tc>
          <w:tcPr>
            <w:tcW w:w="2114" w:type="dxa"/>
            <w:vAlign w:val="center"/>
          </w:tcPr>
          <w:p>
            <w:pPr>
              <w:pStyle w:val="13"/>
            </w:pPr>
            <w:r>
              <w:t>90%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1.通过此项目的运行，使我区铁路护路周边安全，保障重大节日正常运行。</w:t>
            </w:r>
          </w:p>
          <w:p>
            <w:pPr>
              <w:pStyle w:val="12"/>
            </w:pPr>
            <w:r>
              <w:t>2.聘请有责任心、严格遵守工作纪律的铁路护路人员5名，通过护路工作，确保铁路周边安全。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铁路护路工作人数</w:t>
            </w:r>
          </w:p>
        </w:tc>
        <w:tc>
          <w:tcPr>
            <w:tcW w:w="4228" w:type="dxa"/>
            <w:vAlign w:val="center"/>
          </w:tcPr>
          <w:p>
            <w:pPr>
              <w:pStyle w:val="12"/>
            </w:pPr>
            <w:r>
              <w:t>反映铁路护路人员工资发放人数情况</w:t>
            </w:r>
          </w:p>
        </w:tc>
        <w:tc>
          <w:tcPr>
            <w:tcW w:w="2114" w:type="dxa"/>
            <w:vAlign w:val="center"/>
          </w:tcPr>
          <w:p>
            <w:pPr>
              <w:pStyle w:val="12"/>
            </w:pPr>
            <w:r>
              <w:t>5人</w:t>
            </w:r>
          </w:p>
        </w:tc>
        <w:tc>
          <w:tcPr>
            <w:tcW w:w="2114" w:type="dxa"/>
            <w:vAlign w:val="center"/>
          </w:tcPr>
          <w:p>
            <w:pPr>
              <w:pStyle w:val="12"/>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工作达标率</w:t>
            </w:r>
          </w:p>
        </w:tc>
        <w:tc>
          <w:tcPr>
            <w:tcW w:w="4228" w:type="dxa"/>
            <w:vAlign w:val="center"/>
          </w:tcPr>
          <w:p>
            <w:pPr>
              <w:pStyle w:val="12"/>
            </w:pPr>
            <w:r>
              <w:t>反映在工作中护路巡逻次数</w:t>
            </w:r>
          </w:p>
        </w:tc>
        <w:tc>
          <w:tcPr>
            <w:tcW w:w="2114" w:type="dxa"/>
            <w:vAlign w:val="center"/>
          </w:tcPr>
          <w:p>
            <w:pPr>
              <w:pStyle w:val="12"/>
            </w:pPr>
            <w:r>
              <w:t>≥70次</w:t>
            </w:r>
          </w:p>
        </w:tc>
        <w:tc>
          <w:tcPr>
            <w:tcW w:w="2114" w:type="dxa"/>
            <w:vAlign w:val="center"/>
          </w:tcPr>
          <w:p>
            <w:pPr>
              <w:pStyle w:val="12"/>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铁路护路及时率</w:t>
            </w:r>
          </w:p>
        </w:tc>
        <w:tc>
          <w:tcPr>
            <w:tcW w:w="4228" w:type="dxa"/>
            <w:vAlign w:val="center"/>
          </w:tcPr>
          <w:p>
            <w:pPr>
              <w:pStyle w:val="12"/>
            </w:pPr>
            <w:r>
              <w:t>反映巡逻的及时程度</w:t>
            </w:r>
          </w:p>
        </w:tc>
        <w:tc>
          <w:tcPr>
            <w:tcW w:w="2114" w:type="dxa"/>
            <w:vAlign w:val="center"/>
          </w:tcPr>
          <w:p>
            <w:pPr>
              <w:pStyle w:val="12"/>
            </w:pPr>
            <w:r>
              <w:t>≥95%</w:t>
            </w:r>
          </w:p>
        </w:tc>
        <w:tc>
          <w:tcPr>
            <w:tcW w:w="2114" w:type="dxa"/>
            <w:vAlign w:val="center"/>
          </w:tcPr>
          <w:p>
            <w:pPr>
              <w:pStyle w:val="12"/>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项目成本费用</w:t>
            </w:r>
          </w:p>
        </w:tc>
        <w:tc>
          <w:tcPr>
            <w:tcW w:w="4228" w:type="dxa"/>
            <w:vAlign w:val="center"/>
          </w:tcPr>
          <w:p>
            <w:pPr>
              <w:pStyle w:val="12"/>
            </w:pPr>
            <w:r>
              <w:t>反映项目成本费用</w:t>
            </w:r>
          </w:p>
        </w:tc>
        <w:tc>
          <w:tcPr>
            <w:tcW w:w="2114" w:type="dxa"/>
            <w:vAlign w:val="center"/>
          </w:tcPr>
          <w:p>
            <w:pPr>
              <w:pStyle w:val="12"/>
            </w:pPr>
            <w:r>
              <w:t>29.7万元</w:t>
            </w:r>
          </w:p>
        </w:tc>
        <w:tc>
          <w:tcPr>
            <w:tcW w:w="2114" w:type="dxa"/>
            <w:vAlign w:val="center"/>
          </w:tcPr>
          <w:p>
            <w:pPr>
              <w:pStyle w:val="12"/>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铁路护路保障度</w:t>
            </w:r>
          </w:p>
        </w:tc>
        <w:tc>
          <w:tcPr>
            <w:tcW w:w="4228" w:type="dxa"/>
            <w:vAlign w:val="center"/>
          </w:tcPr>
          <w:p>
            <w:pPr>
              <w:pStyle w:val="12"/>
            </w:pPr>
            <w:r>
              <w:t>铁路安全正常运转率</w:t>
            </w:r>
          </w:p>
        </w:tc>
        <w:tc>
          <w:tcPr>
            <w:tcW w:w="2114" w:type="dxa"/>
            <w:vAlign w:val="center"/>
          </w:tcPr>
          <w:p>
            <w:pPr>
              <w:pStyle w:val="12"/>
            </w:pPr>
            <w:r>
              <w:t>≥95%</w:t>
            </w:r>
          </w:p>
        </w:tc>
        <w:tc>
          <w:tcPr>
            <w:tcW w:w="2114" w:type="dxa"/>
            <w:vAlign w:val="center"/>
          </w:tcPr>
          <w:p>
            <w:pPr>
              <w:pStyle w:val="12"/>
            </w:pPr>
            <w:r>
              <w:t>合同要求和铁路护路联防工作经费项目实施计划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群众对铁路周边安全满意度</w:t>
            </w:r>
          </w:p>
        </w:tc>
        <w:tc>
          <w:tcPr>
            <w:tcW w:w="2114" w:type="dxa"/>
            <w:vAlign w:val="center"/>
          </w:tcPr>
          <w:p>
            <w:pPr>
              <w:pStyle w:val="12"/>
            </w:pPr>
            <w:r>
              <w:t>≥95%</w:t>
            </w:r>
          </w:p>
        </w:tc>
        <w:tc>
          <w:tcPr>
            <w:tcW w:w="2114"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4、政法网络租赁经费（运转保障）绩效目标表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13062524P000015102952</w:t>
            </w:r>
          </w:p>
        </w:tc>
        <w:tc>
          <w:tcPr>
            <w:tcW w:w="2114" w:type="dxa"/>
            <w:vAlign w:val="center"/>
          </w:tcPr>
          <w:p>
            <w:pPr>
              <w:pStyle w:val="10"/>
            </w:pPr>
            <w:r>
              <w:t>项目名称</w:t>
            </w:r>
          </w:p>
        </w:tc>
        <w:tc>
          <w:tcPr>
            <w:tcW w:w="6342" w:type="dxa"/>
            <w:gridSpan w:val="3"/>
            <w:vAlign w:val="center"/>
          </w:tcPr>
          <w:p>
            <w:pPr>
              <w:pStyle w:val="12"/>
            </w:pPr>
            <w:r>
              <w:t>政法网络租赁经费（运转保障）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通过此项目，强化政法网络建设的责任意识，确保全区政法网络正常运行。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100%</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1.通过此项目，强化政法网络建设的责任意识，确保全区政法网络正常运行。</w:t>
            </w:r>
          </w:p>
          <w:p>
            <w:pPr>
              <w:pStyle w:val="12"/>
            </w:pPr>
            <w:r>
              <w:t xml:space="preserve">2.每月对线路、信号传输设备等进行检查维护3次以上，确保政法网络畅通。      </w:t>
            </w:r>
          </w:p>
          <w:p>
            <w:pPr>
              <w:pStyle w:val="12"/>
            </w:pPr>
            <w:r>
              <w:t xml:space="preserve">3.为保障政法网络畅通，在使用过程中发生故障次数小于30次/每月。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检查维护次数</w:t>
            </w:r>
          </w:p>
        </w:tc>
        <w:tc>
          <w:tcPr>
            <w:tcW w:w="4228" w:type="dxa"/>
            <w:vAlign w:val="center"/>
          </w:tcPr>
          <w:p>
            <w:pPr>
              <w:pStyle w:val="12"/>
            </w:pPr>
            <w:r>
              <w:t>反映每月对线路、信号传输设备等进行检查情况</w:t>
            </w:r>
          </w:p>
        </w:tc>
        <w:tc>
          <w:tcPr>
            <w:tcW w:w="2114" w:type="dxa"/>
            <w:vAlign w:val="center"/>
          </w:tcPr>
          <w:p>
            <w:pPr>
              <w:pStyle w:val="12"/>
            </w:pPr>
            <w:r>
              <w:t>≥3次</w:t>
            </w:r>
          </w:p>
        </w:tc>
        <w:tc>
          <w:tcPr>
            <w:tcW w:w="2114" w:type="dxa"/>
            <w:vAlign w:val="center"/>
          </w:tcPr>
          <w:p>
            <w:pPr>
              <w:pStyle w:val="12"/>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发生故障次数</w:t>
            </w:r>
          </w:p>
        </w:tc>
        <w:tc>
          <w:tcPr>
            <w:tcW w:w="4228" w:type="dxa"/>
            <w:vAlign w:val="center"/>
          </w:tcPr>
          <w:p>
            <w:pPr>
              <w:pStyle w:val="12"/>
            </w:pPr>
            <w:r>
              <w:t>反映在使用过程中发生故障次数情况</w:t>
            </w:r>
          </w:p>
        </w:tc>
        <w:tc>
          <w:tcPr>
            <w:tcW w:w="2114" w:type="dxa"/>
            <w:vAlign w:val="center"/>
          </w:tcPr>
          <w:p>
            <w:pPr>
              <w:pStyle w:val="12"/>
            </w:pPr>
            <w:r>
              <w:t>&lt;30次</w:t>
            </w:r>
          </w:p>
        </w:tc>
        <w:tc>
          <w:tcPr>
            <w:tcW w:w="2114" w:type="dxa"/>
            <w:vAlign w:val="center"/>
          </w:tcPr>
          <w:p>
            <w:pPr>
              <w:pStyle w:val="12"/>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工作完成率</w:t>
            </w:r>
          </w:p>
        </w:tc>
        <w:tc>
          <w:tcPr>
            <w:tcW w:w="4228" w:type="dxa"/>
            <w:vAlign w:val="center"/>
          </w:tcPr>
          <w:p>
            <w:pPr>
              <w:pStyle w:val="12"/>
            </w:pPr>
            <w:r>
              <w:t>反映每月对线路、信号传输设备检查维护完成程度</w:t>
            </w:r>
          </w:p>
        </w:tc>
        <w:tc>
          <w:tcPr>
            <w:tcW w:w="2114" w:type="dxa"/>
            <w:vAlign w:val="center"/>
          </w:tcPr>
          <w:p>
            <w:pPr>
              <w:pStyle w:val="12"/>
            </w:pPr>
            <w:r>
              <w:t>≥95%</w:t>
            </w:r>
          </w:p>
        </w:tc>
        <w:tc>
          <w:tcPr>
            <w:tcW w:w="2114" w:type="dxa"/>
            <w:vAlign w:val="center"/>
          </w:tcPr>
          <w:p>
            <w:pPr>
              <w:pStyle w:val="12"/>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工作达标率</w:t>
            </w:r>
          </w:p>
        </w:tc>
        <w:tc>
          <w:tcPr>
            <w:tcW w:w="4228" w:type="dxa"/>
            <w:vAlign w:val="center"/>
          </w:tcPr>
          <w:p>
            <w:pPr>
              <w:pStyle w:val="12"/>
            </w:pPr>
            <w:r>
              <w:t>反映视频监控网络工作确保机关正常运转达标程度</w:t>
            </w:r>
          </w:p>
        </w:tc>
        <w:tc>
          <w:tcPr>
            <w:tcW w:w="2114" w:type="dxa"/>
            <w:vAlign w:val="center"/>
          </w:tcPr>
          <w:p>
            <w:pPr>
              <w:pStyle w:val="12"/>
            </w:pPr>
            <w:r>
              <w:t>≥95%</w:t>
            </w:r>
          </w:p>
        </w:tc>
        <w:tc>
          <w:tcPr>
            <w:tcW w:w="2114" w:type="dxa"/>
            <w:vAlign w:val="center"/>
          </w:tcPr>
          <w:p>
            <w:pPr>
              <w:pStyle w:val="12"/>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检查维护设备及时率</w:t>
            </w:r>
          </w:p>
        </w:tc>
        <w:tc>
          <w:tcPr>
            <w:tcW w:w="4228" w:type="dxa"/>
            <w:vAlign w:val="center"/>
          </w:tcPr>
          <w:p>
            <w:pPr>
              <w:pStyle w:val="12"/>
            </w:pPr>
            <w:r>
              <w:t>反映传输设备检查维护的及时程度</w:t>
            </w:r>
          </w:p>
        </w:tc>
        <w:tc>
          <w:tcPr>
            <w:tcW w:w="2114" w:type="dxa"/>
            <w:vAlign w:val="center"/>
          </w:tcPr>
          <w:p>
            <w:pPr>
              <w:pStyle w:val="12"/>
            </w:pPr>
            <w:r>
              <w:t>≥95%</w:t>
            </w:r>
          </w:p>
        </w:tc>
        <w:tc>
          <w:tcPr>
            <w:tcW w:w="2114" w:type="dxa"/>
            <w:vAlign w:val="center"/>
          </w:tcPr>
          <w:p>
            <w:pPr>
              <w:pStyle w:val="12"/>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项目成本费用</w:t>
            </w:r>
          </w:p>
        </w:tc>
        <w:tc>
          <w:tcPr>
            <w:tcW w:w="4228" w:type="dxa"/>
            <w:vAlign w:val="center"/>
          </w:tcPr>
          <w:p>
            <w:pPr>
              <w:pStyle w:val="12"/>
            </w:pPr>
            <w:r>
              <w:t>反映项目成本费用</w:t>
            </w:r>
          </w:p>
        </w:tc>
        <w:tc>
          <w:tcPr>
            <w:tcW w:w="2114" w:type="dxa"/>
            <w:vAlign w:val="center"/>
          </w:tcPr>
          <w:p>
            <w:pPr>
              <w:pStyle w:val="12"/>
            </w:pPr>
            <w:r>
              <w:t>≤20万元</w:t>
            </w:r>
          </w:p>
        </w:tc>
        <w:tc>
          <w:tcPr>
            <w:tcW w:w="2114" w:type="dxa"/>
            <w:vAlign w:val="center"/>
          </w:tcPr>
          <w:p>
            <w:pPr>
              <w:pStyle w:val="12"/>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视频监控有效使用率</w:t>
            </w:r>
          </w:p>
        </w:tc>
        <w:tc>
          <w:tcPr>
            <w:tcW w:w="4228" w:type="dxa"/>
            <w:vAlign w:val="center"/>
          </w:tcPr>
          <w:p>
            <w:pPr>
              <w:pStyle w:val="12"/>
            </w:pPr>
            <w:r>
              <w:t>通过视频监控达到某事件预定效果数与总使用数之比</w:t>
            </w:r>
          </w:p>
        </w:tc>
        <w:tc>
          <w:tcPr>
            <w:tcW w:w="2114" w:type="dxa"/>
            <w:vAlign w:val="center"/>
          </w:tcPr>
          <w:p>
            <w:pPr>
              <w:pStyle w:val="12"/>
            </w:pPr>
            <w:r>
              <w:t>≥90%</w:t>
            </w:r>
          </w:p>
        </w:tc>
        <w:tc>
          <w:tcPr>
            <w:tcW w:w="2114" w:type="dxa"/>
            <w:vAlign w:val="center"/>
          </w:tcPr>
          <w:p>
            <w:pPr>
              <w:pStyle w:val="12"/>
            </w:pPr>
            <w:r>
              <w:t>合同要求和政法网络租赁经费（运转保障）项目实施计划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使用单位对政法网络使用的整体满意度</w:t>
            </w:r>
          </w:p>
        </w:tc>
        <w:tc>
          <w:tcPr>
            <w:tcW w:w="2114" w:type="dxa"/>
            <w:vAlign w:val="center"/>
          </w:tcPr>
          <w:p>
            <w:pPr>
              <w:pStyle w:val="12"/>
            </w:pPr>
            <w:r>
              <w:t>≥95%</w:t>
            </w:r>
          </w:p>
        </w:tc>
        <w:tc>
          <w:tcPr>
            <w:tcW w:w="2114"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5、政法稳定工作经费绩效目标表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13062524P000015102979</w:t>
            </w:r>
          </w:p>
        </w:tc>
        <w:tc>
          <w:tcPr>
            <w:tcW w:w="2114" w:type="dxa"/>
            <w:vAlign w:val="center"/>
          </w:tcPr>
          <w:p>
            <w:pPr>
              <w:pStyle w:val="10"/>
            </w:pPr>
            <w:r>
              <w:t>项目名称</w:t>
            </w:r>
          </w:p>
        </w:tc>
        <w:tc>
          <w:tcPr>
            <w:tcW w:w="6342" w:type="dxa"/>
            <w:gridSpan w:val="3"/>
            <w:vAlign w:val="center"/>
          </w:tcPr>
          <w:p>
            <w:pPr>
              <w:pStyle w:val="12"/>
            </w:pPr>
            <w:r>
              <w:t>政法稳定工作经费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280.00</w:t>
            </w:r>
          </w:p>
        </w:tc>
        <w:tc>
          <w:tcPr>
            <w:tcW w:w="2114" w:type="dxa"/>
            <w:vAlign w:val="center"/>
          </w:tcPr>
          <w:p>
            <w:pPr>
              <w:pStyle w:val="10"/>
            </w:pPr>
            <w:r>
              <w:t>其中：财政    资金</w:t>
            </w:r>
          </w:p>
        </w:tc>
        <w:tc>
          <w:tcPr>
            <w:tcW w:w="2114" w:type="dxa"/>
            <w:vAlign w:val="center"/>
          </w:tcPr>
          <w:p>
            <w:pPr>
              <w:pStyle w:val="12"/>
            </w:pPr>
            <w:r>
              <w:t>280.00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通过指导、协调和督导各级各部门，预防减少不稳定因素的发生，有效化解不稳定隐患、群体性事件和突发事件，确保全区社会稳定。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1.通过指导、协调和督导各级各部门，预防减少不稳定因素的发生，有效化解不稳定隐患、群体性事件和突发事件，确保全区社会稳定。</w:t>
            </w:r>
          </w:p>
          <w:p>
            <w:pPr>
              <w:pStyle w:val="12"/>
            </w:pPr>
            <w:r>
              <w:t>2.通过管控、排查工作，根据工作需要预计涉及15个乡镇及10个区直部门矛盾纠纷、舆情处置等问题。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重点乡镇及区直部门人员管控到位</w:t>
            </w:r>
          </w:p>
        </w:tc>
        <w:tc>
          <w:tcPr>
            <w:tcW w:w="4228" w:type="dxa"/>
            <w:vAlign w:val="center"/>
          </w:tcPr>
          <w:p>
            <w:pPr>
              <w:pStyle w:val="12"/>
            </w:pPr>
            <w:r>
              <w:t>反映管控、排查重点乡镇及区直部门个数</w:t>
            </w:r>
          </w:p>
        </w:tc>
        <w:tc>
          <w:tcPr>
            <w:tcW w:w="2114" w:type="dxa"/>
            <w:vAlign w:val="center"/>
          </w:tcPr>
          <w:p>
            <w:pPr>
              <w:pStyle w:val="12"/>
            </w:pPr>
            <w:r>
              <w:t>≥25个</w:t>
            </w:r>
          </w:p>
        </w:tc>
        <w:tc>
          <w:tcPr>
            <w:tcW w:w="2114" w:type="dxa"/>
            <w:vAlign w:val="center"/>
          </w:tcPr>
          <w:p>
            <w:pPr>
              <w:pStyle w:val="12"/>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重点乡镇及区直部门涉稳舆情完成率</w:t>
            </w:r>
          </w:p>
        </w:tc>
        <w:tc>
          <w:tcPr>
            <w:tcW w:w="4228" w:type="dxa"/>
            <w:vAlign w:val="center"/>
          </w:tcPr>
          <w:p>
            <w:pPr>
              <w:pStyle w:val="12"/>
            </w:pPr>
            <w:r>
              <w:t>反映已处置完成的涉稳舆情数占涉稳网格舆情总数比例程度</w:t>
            </w:r>
          </w:p>
        </w:tc>
        <w:tc>
          <w:tcPr>
            <w:tcW w:w="2114" w:type="dxa"/>
            <w:vAlign w:val="center"/>
          </w:tcPr>
          <w:p>
            <w:pPr>
              <w:pStyle w:val="12"/>
            </w:pPr>
            <w:r>
              <w:t>≥95%</w:t>
            </w:r>
          </w:p>
        </w:tc>
        <w:tc>
          <w:tcPr>
            <w:tcW w:w="2114" w:type="dxa"/>
            <w:vAlign w:val="center"/>
          </w:tcPr>
          <w:p>
            <w:pPr>
              <w:pStyle w:val="12"/>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工作完成及时率</w:t>
            </w:r>
          </w:p>
        </w:tc>
        <w:tc>
          <w:tcPr>
            <w:tcW w:w="4228" w:type="dxa"/>
            <w:vAlign w:val="center"/>
          </w:tcPr>
          <w:p>
            <w:pPr>
              <w:pStyle w:val="12"/>
            </w:pPr>
            <w:r>
              <w:t>反映处置和研判重点乡镇及区直部门的及时程度</w:t>
            </w:r>
          </w:p>
        </w:tc>
        <w:tc>
          <w:tcPr>
            <w:tcW w:w="2114" w:type="dxa"/>
            <w:vAlign w:val="center"/>
          </w:tcPr>
          <w:p>
            <w:pPr>
              <w:pStyle w:val="12"/>
            </w:pPr>
            <w:r>
              <w:t>≥95%</w:t>
            </w:r>
          </w:p>
        </w:tc>
        <w:tc>
          <w:tcPr>
            <w:tcW w:w="2114" w:type="dxa"/>
            <w:vAlign w:val="center"/>
          </w:tcPr>
          <w:p>
            <w:pPr>
              <w:pStyle w:val="12"/>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项目成本费用</w:t>
            </w:r>
          </w:p>
        </w:tc>
        <w:tc>
          <w:tcPr>
            <w:tcW w:w="4228" w:type="dxa"/>
            <w:vAlign w:val="center"/>
          </w:tcPr>
          <w:p>
            <w:pPr>
              <w:pStyle w:val="12"/>
            </w:pPr>
            <w:r>
              <w:t>反映项目成本费用</w:t>
            </w:r>
          </w:p>
        </w:tc>
        <w:tc>
          <w:tcPr>
            <w:tcW w:w="2114" w:type="dxa"/>
            <w:vAlign w:val="center"/>
          </w:tcPr>
          <w:p>
            <w:pPr>
              <w:pStyle w:val="12"/>
            </w:pPr>
            <w:r>
              <w:t>≤280万元</w:t>
            </w:r>
          </w:p>
        </w:tc>
        <w:tc>
          <w:tcPr>
            <w:tcW w:w="2114" w:type="dxa"/>
            <w:vAlign w:val="center"/>
          </w:tcPr>
          <w:p>
            <w:pPr>
              <w:pStyle w:val="12"/>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重大活动突发事件发生处置有效性</w:t>
            </w:r>
          </w:p>
        </w:tc>
        <w:tc>
          <w:tcPr>
            <w:tcW w:w="4228" w:type="dxa"/>
            <w:vAlign w:val="center"/>
          </w:tcPr>
          <w:p>
            <w:pPr>
              <w:pStyle w:val="12"/>
            </w:pPr>
            <w:r>
              <w:t>发生重大活动突发事件的处置效果程度</w:t>
            </w:r>
          </w:p>
        </w:tc>
        <w:tc>
          <w:tcPr>
            <w:tcW w:w="2114" w:type="dxa"/>
            <w:vAlign w:val="center"/>
          </w:tcPr>
          <w:p>
            <w:pPr>
              <w:pStyle w:val="12"/>
            </w:pPr>
            <w:r>
              <w:t>≥95%</w:t>
            </w:r>
          </w:p>
        </w:tc>
        <w:tc>
          <w:tcPr>
            <w:tcW w:w="2114" w:type="dxa"/>
            <w:vAlign w:val="center"/>
          </w:tcPr>
          <w:p>
            <w:pPr>
              <w:pStyle w:val="12"/>
            </w:pPr>
            <w:r>
              <w:t>徐发【2008】30号文件和政法稳定工作经费项目实施计划。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全区各部门舆情处置率</w:t>
            </w:r>
          </w:p>
        </w:tc>
        <w:tc>
          <w:tcPr>
            <w:tcW w:w="4228" w:type="dxa"/>
            <w:vAlign w:val="center"/>
          </w:tcPr>
          <w:p>
            <w:pPr>
              <w:pStyle w:val="12"/>
            </w:pPr>
            <w:r>
              <w:t>反映管控、排查重点乡镇及区直部门处理程度</w:t>
            </w:r>
          </w:p>
        </w:tc>
        <w:tc>
          <w:tcPr>
            <w:tcW w:w="2114" w:type="dxa"/>
            <w:vAlign w:val="center"/>
          </w:tcPr>
          <w:p>
            <w:pPr>
              <w:pStyle w:val="12"/>
            </w:pPr>
            <w:r>
              <w:t>≥90%</w:t>
            </w:r>
          </w:p>
        </w:tc>
        <w:tc>
          <w:tcPr>
            <w:tcW w:w="2114"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6、政法稳定工作经费（扫黑除恶）绩效目标表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13062524P00001510296M</w:t>
            </w:r>
          </w:p>
        </w:tc>
        <w:tc>
          <w:tcPr>
            <w:tcW w:w="2114" w:type="dxa"/>
            <w:vAlign w:val="center"/>
          </w:tcPr>
          <w:p>
            <w:pPr>
              <w:pStyle w:val="10"/>
            </w:pPr>
            <w:r>
              <w:t>项目名称</w:t>
            </w:r>
          </w:p>
        </w:tc>
        <w:tc>
          <w:tcPr>
            <w:tcW w:w="6342" w:type="dxa"/>
            <w:gridSpan w:val="3"/>
            <w:vAlign w:val="center"/>
          </w:tcPr>
          <w:p>
            <w:pPr>
              <w:pStyle w:val="12"/>
            </w:pPr>
            <w:r>
              <w:t>政法稳定工作经费（扫黑除恶）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通过指导、协调和督导各级各部门，预防减少不稳定因素的发生，有效化解不稳定隐患、群体性事件和突发事件，确保全区社会稳定。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1.通过指导、协调和督导各级各部门，预防减少不稳定因素的发生，有效化解不稳定隐患、群体性事件和突发事件，确保全区社会稳定。</w:t>
            </w:r>
          </w:p>
          <w:p>
            <w:pPr>
              <w:pStyle w:val="12"/>
            </w:pPr>
            <w:r>
              <w:t>2.开展扫黑除恶工作，全年制定了扫黑除恶短信宣传26万条，保障覆盖全区用户接收。</w:t>
            </w:r>
          </w:p>
          <w:p>
            <w:pPr>
              <w:pStyle w:val="12"/>
            </w:pPr>
            <w:r>
              <w:t>3.通过扫黑除恶短信宣传工作，预计涉及全区15个乡镇及各村，解决全区扫黑除恶上访案件及舆情处理工作。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扫黑除恶短信宣传完成数量</w:t>
            </w:r>
          </w:p>
        </w:tc>
        <w:tc>
          <w:tcPr>
            <w:tcW w:w="4228" w:type="dxa"/>
            <w:vAlign w:val="center"/>
          </w:tcPr>
          <w:p>
            <w:pPr>
              <w:pStyle w:val="12"/>
            </w:pPr>
            <w:r>
              <w:t>反映全年制定短信宣传程度</w:t>
            </w:r>
          </w:p>
        </w:tc>
        <w:tc>
          <w:tcPr>
            <w:tcW w:w="2114" w:type="dxa"/>
            <w:vAlign w:val="center"/>
          </w:tcPr>
          <w:p>
            <w:pPr>
              <w:pStyle w:val="12"/>
            </w:pPr>
            <w:r>
              <w:t>≥26万条</w:t>
            </w:r>
          </w:p>
        </w:tc>
        <w:tc>
          <w:tcPr>
            <w:tcW w:w="2114" w:type="dxa"/>
            <w:vAlign w:val="center"/>
          </w:tcPr>
          <w:p>
            <w:pPr>
              <w:pStyle w:val="12"/>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制作宣传单覆盖乡镇数量</w:t>
            </w:r>
          </w:p>
        </w:tc>
        <w:tc>
          <w:tcPr>
            <w:tcW w:w="4228" w:type="dxa"/>
            <w:vAlign w:val="center"/>
          </w:tcPr>
          <w:p>
            <w:pPr>
              <w:pStyle w:val="12"/>
            </w:pPr>
            <w:r>
              <w:t>反映全年制定反邪教宣传单覆盖乡镇情况</w:t>
            </w:r>
          </w:p>
        </w:tc>
        <w:tc>
          <w:tcPr>
            <w:tcW w:w="2114" w:type="dxa"/>
            <w:vAlign w:val="center"/>
          </w:tcPr>
          <w:p>
            <w:pPr>
              <w:pStyle w:val="12"/>
            </w:pPr>
            <w:r>
              <w:t>≥15个</w:t>
            </w:r>
          </w:p>
        </w:tc>
        <w:tc>
          <w:tcPr>
            <w:tcW w:w="2114" w:type="dxa"/>
            <w:vAlign w:val="center"/>
          </w:tcPr>
          <w:p>
            <w:pPr>
              <w:pStyle w:val="12"/>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扫黑除恶短信宣传内容达标率</w:t>
            </w:r>
          </w:p>
        </w:tc>
        <w:tc>
          <w:tcPr>
            <w:tcW w:w="4228" w:type="dxa"/>
            <w:vAlign w:val="center"/>
          </w:tcPr>
          <w:p>
            <w:pPr>
              <w:pStyle w:val="12"/>
            </w:pPr>
            <w:r>
              <w:t>反映内容达标，宣传工作数量占的全部工作总数比例程度</w:t>
            </w:r>
          </w:p>
        </w:tc>
        <w:tc>
          <w:tcPr>
            <w:tcW w:w="2114" w:type="dxa"/>
            <w:vAlign w:val="center"/>
          </w:tcPr>
          <w:p>
            <w:pPr>
              <w:pStyle w:val="12"/>
            </w:pPr>
            <w:r>
              <w:t>≥95%</w:t>
            </w:r>
          </w:p>
        </w:tc>
        <w:tc>
          <w:tcPr>
            <w:tcW w:w="2114" w:type="dxa"/>
            <w:vAlign w:val="center"/>
          </w:tcPr>
          <w:p>
            <w:pPr>
              <w:pStyle w:val="12"/>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扫黑除恶短信宣传及时率</w:t>
            </w:r>
          </w:p>
        </w:tc>
        <w:tc>
          <w:tcPr>
            <w:tcW w:w="4228" w:type="dxa"/>
            <w:vAlign w:val="center"/>
          </w:tcPr>
          <w:p>
            <w:pPr>
              <w:pStyle w:val="12"/>
            </w:pPr>
            <w:r>
              <w:t>反映全区接收扫黑除恶短信及时程度</w:t>
            </w:r>
          </w:p>
        </w:tc>
        <w:tc>
          <w:tcPr>
            <w:tcW w:w="2114" w:type="dxa"/>
            <w:vAlign w:val="center"/>
          </w:tcPr>
          <w:p>
            <w:pPr>
              <w:pStyle w:val="12"/>
            </w:pPr>
            <w:r>
              <w:t>≥95%</w:t>
            </w:r>
          </w:p>
        </w:tc>
        <w:tc>
          <w:tcPr>
            <w:tcW w:w="2114" w:type="dxa"/>
            <w:vAlign w:val="center"/>
          </w:tcPr>
          <w:p>
            <w:pPr>
              <w:pStyle w:val="12"/>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工作完成及时率</w:t>
            </w:r>
          </w:p>
        </w:tc>
        <w:tc>
          <w:tcPr>
            <w:tcW w:w="4228" w:type="dxa"/>
            <w:vAlign w:val="center"/>
          </w:tcPr>
          <w:p>
            <w:pPr>
              <w:pStyle w:val="12"/>
            </w:pPr>
            <w:r>
              <w:t>反映全区扫黑除恶上访案件处理及时程度</w:t>
            </w:r>
          </w:p>
        </w:tc>
        <w:tc>
          <w:tcPr>
            <w:tcW w:w="2114" w:type="dxa"/>
            <w:vAlign w:val="center"/>
          </w:tcPr>
          <w:p>
            <w:pPr>
              <w:pStyle w:val="12"/>
            </w:pPr>
            <w:r>
              <w:t>≥95%</w:t>
            </w:r>
          </w:p>
        </w:tc>
        <w:tc>
          <w:tcPr>
            <w:tcW w:w="2114" w:type="dxa"/>
            <w:vAlign w:val="center"/>
          </w:tcPr>
          <w:p>
            <w:pPr>
              <w:pStyle w:val="12"/>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项目成本费用</w:t>
            </w:r>
          </w:p>
        </w:tc>
        <w:tc>
          <w:tcPr>
            <w:tcW w:w="4228" w:type="dxa"/>
            <w:vAlign w:val="center"/>
          </w:tcPr>
          <w:p>
            <w:pPr>
              <w:pStyle w:val="12"/>
            </w:pPr>
            <w:r>
              <w:t>反映项目成本费用</w:t>
            </w:r>
          </w:p>
        </w:tc>
        <w:tc>
          <w:tcPr>
            <w:tcW w:w="2114" w:type="dxa"/>
            <w:vAlign w:val="center"/>
          </w:tcPr>
          <w:p>
            <w:pPr>
              <w:pStyle w:val="12"/>
            </w:pPr>
            <w:r>
              <w:t>≤20万元</w:t>
            </w:r>
          </w:p>
        </w:tc>
        <w:tc>
          <w:tcPr>
            <w:tcW w:w="2114" w:type="dxa"/>
            <w:vAlign w:val="center"/>
          </w:tcPr>
          <w:p>
            <w:pPr>
              <w:pStyle w:val="12"/>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社会稳定度</w:t>
            </w:r>
          </w:p>
        </w:tc>
        <w:tc>
          <w:tcPr>
            <w:tcW w:w="4228" w:type="dxa"/>
            <w:vAlign w:val="center"/>
          </w:tcPr>
          <w:p>
            <w:pPr>
              <w:pStyle w:val="12"/>
            </w:pPr>
            <w:r>
              <w:t>反映扫黑除恶宣传工作效果程度</w:t>
            </w:r>
          </w:p>
        </w:tc>
        <w:tc>
          <w:tcPr>
            <w:tcW w:w="2114" w:type="dxa"/>
            <w:vAlign w:val="center"/>
          </w:tcPr>
          <w:p>
            <w:pPr>
              <w:pStyle w:val="12"/>
            </w:pPr>
            <w:r>
              <w:t>≥95%</w:t>
            </w:r>
          </w:p>
        </w:tc>
        <w:tc>
          <w:tcPr>
            <w:tcW w:w="2114" w:type="dxa"/>
            <w:vAlign w:val="center"/>
          </w:tcPr>
          <w:p>
            <w:pPr>
              <w:pStyle w:val="12"/>
            </w:pPr>
            <w:r>
              <w:t>徐发【2008】30号文件和政法稳定工作经费（扫黑除恶）项目实施计划。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群众对社会稳定满意度</w:t>
            </w:r>
          </w:p>
        </w:tc>
        <w:tc>
          <w:tcPr>
            <w:tcW w:w="4228" w:type="dxa"/>
            <w:vAlign w:val="center"/>
          </w:tcPr>
          <w:p>
            <w:pPr>
              <w:pStyle w:val="12"/>
            </w:pPr>
            <w:r>
              <w:t>处理上访案事件后群众满意度</w:t>
            </w:r>
          </w:p>
        </w:tc>
        <w:tc>
          <w:tcPr>
            <w:tcW w:w="2114" w:type="dxa"/>
            <w:vAlign w:val="center"/>
          </w:tcPr>
          <w:p>
            <w:pPr>
              <w:pStyle w:val="12"/>
            </w:pPr>
            <w:r>
              <w:t>≥90%</w:t>
            </w:r>
          </w:p>
        </w:tc>
        <w:tc>
          <w:tcPr>
            <w:tcW w:w="2114"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中共保定市徐水区委政法委员会本级上年末固定资产金额为73.15万元（详见下表）。本年度拟购置固定资产总额为0.00万元，已按要求列入政府采购预算，详见政府采购预算表。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73.15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108</w:t>
            </w:r>
          </w:p>
        </w:tc>
        <w:tc>
          <w:tcPr>
            <w:tcW w:w="4933" w:type="dxa"/>
            <w:vAlign w:val="center"/>
          </w:tcPr>
          <w:p>
            <w:pPr>
              <w:pStyle w:val="11"/>
            </w:pPr>
            <w:r>
              <w:t>50.47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jE0NGUwNzYyMjQ3YTcxM2YxMWU5ZmRkOTYxZWQifQ=="/>
  </w:docVars>
  <w:rsids>
    <w:rsidRoot w:val="00000000"/>
    <w:rsid w:val="0B5A749F"/>
    <w:rsid w:val="11A30BFE"/>
    <w:rsid w:val="162050A9"/>
    <w:rsid w:val="220A013E"/>
    <w:rsid w:val="28116568"/>
    <w:rsid w:val="316D09CC"/>
    <w:rsid w:val="39094C04"/>
    <w:rsid w:val="3C384F35"/>
    <w:rsid w:val="3F5369B8"/>
    <w:rsid w:val="40CB1DAB"/>
    <w:rsid w:val="4235571D"/>
    <w:rsid w:val="599E72A3"/>
    <w:rsid w:val="5CE00801"/>
    <w:rsid w:val="608F65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2024-02-26T16:22:21Z</dcterms:created>
  <dcterms:modified xsi:type="dcterms:W3CDTF">2024-02-26T08:22:21Z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2024-02-26T16:22:26Z</dcterms:created>
  <dcterms:modified xsi:type="dcterms:W3CDTF">2024-02-26T08:22:26Z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2024-02-26T16:22:25Z</dcterms:created>
  <dcterms:modified xsi:type="dcterms:W3CDTF">2024-02-26T08:22:25Z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2024-02-26T16:22:25Z</dcterms:created>
  <dcterms:modified xsi:type="dcterms:W3CDTF">2024-02-26T08:22:25Z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2024-02-26T16:22:25Z</dcterms:created>
  <dcterms:modified xsi:type="dcterms:W3CDTF">2024-02-26T08:22:25Z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2024-02-26T16:22:25Z</dcterms:created>
  <dcterms:modified xsi:type="dcterms:W3CDTF">2024-02-26T08:22:25Z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2024-02-26T16:22:24Z</dcterms:created>
  <dcterms:modified xsi:type="dcterms:W3CDTF">2024-02-26T08:22:24Z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2024-02-26T16:22:24Z</dcterms:created>
  <dcterms:modified xsi:type="dcterms:W3CDTF">2024-02-26T08:22:24Z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2024-02-26T16:22:24Z</dcterms:created>
  <dcterms:modified xsi:type="dcterms:W3CDTF">2024-02-26T08:22:23Z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ac5922b-7dcd-4a30-b34a-f9ea370ffc96}">
  <ds:schemaRefs/>
</ds:datastoreItem>
</file>

<file path=customXml/itemProps10.xml><?xml version="1.0" encoding="utf-8"?>
<ds:datastoreItem xmlns:ds="http://schemas.openxmlformats.org/officeDocument/2006/customXml" ds:itemID="{e135d023-9c0e-41af-9f77-40bd6076a937}">
  <ds:schemaRefs/>
</ds:datastoreItem>
</file>

<file path=customXml/itemProps11.xml><?xml version="1.0" encoding="utf-8"?>
<ds:datastoreItem xmlns:ds="http://schemas.openxmlformats.org/officeDocument/2006/customXml" ds:itemID="{cbd771cb-9e01-4790-a160-aec3bcd42404}">
  <ds:schemaRefs/>
</ds:datastoreItem>
</file>

<file path=customXml/itemProps12.xml><?xml version="1.0" encoding="utf-8"?>
<ds:datastoreItem xmlns:ds="http://schemas.openxmlformats.org/officeDocument/2006/customXml" ds:itemID="{a190030f-1627-4c48-a89d-393c3d356cdc}">
  <ds:schemaRefs/>
</ds:datastoreItem>
</file>

<file path=customXml/itemProps13.xml><?xml version="1.0" encoding="utf-8"?>
<ds:datastoreItem xmlns:ds="http://schemas.openxmlformats.org/officeDocument/2006/customXml" ds:itemID="{b3209819-9d27-4d2c-bafd-50a8634d81de}">
  <ds:schemaRefs/>
</ds:datastoreItem>
</file>

<file path=customXml/itemProps14.xml><?xml version="1.0" encoding="utf-8"?>
<ds:datastoreItem xmlns:ds="http://schemas.openxmlformats.org/officeDocument/2006/customXml" ds:itemID="{72aa2113-72ba-45fb-84bb-a18459ae68d0}">
  <ds:schemaRefs/>
</ds:datastoreItem>
</file>

<file path=customXml/itemProps15.xml><?xml version="1.0" encoding="utf-8"?>
<ds:datastoreItem xmlns:ds="http://schemas.openxmlformats.org/officeDocument/2006/customXml" ds:itemID="{ddbe1d74-2bc1-4431-9e1a-40b0e72600c6}">
  <ds:schemaRefs/>
</ds:datastoreItem>
</file>

<file path=customXml/itemProps16.xml><?xml version="1.0" encoding="utf-8"?>
<ds:datastoreItem xmlns:ds="http://schemas.openxmlformats.org/officeDocument/2006/customXml" ds:itemID="{2a3d4fd7-3ffd-4735-a419-3e97b618c12a}">
  <ds:schemaRefs/>
</ds:datastoreItem>
</file>

<file path=customXml/itemProps17.xml><?xml version="1.0" encoding="utf-8"?>
<ds:datastoreItem xmlns:ds="http://schemas.openxmlformats.org/officeDocument/2006/customXml" ds:itemID="{f88623a8-b370-494c-a8f3-45464c4b5d06}">
  <ds:schemaRefs/>
</ds:datastoreItem>
</file>

<file path=customXml/itemProps18.xml><?xml version="1.0" encoding="utf-8"?>
<ds:datastoreItem xmlns:ds="http://schemas.openxmlformats.org/officeDocument/2006/customXml" ds:itemID="{b9c0ea3a-0b64-4b71-9f68-b6069c96ee96}">
  <ds:schemaRefs/>
</ds:datastoreItem>
</file>

<file path=customXml/itemProps2.xml><?xml version="1.0" encoding="utf-8"?>
<ds:datastoreItem xmlns:ds="http://schemas.openxmlformats.org/officeDocument/2006/customXml" ds:itemID="{8f748da0-4ac0-4dda-be5e-c82352f11e04}">
  <ds:schemaRefs/>
</ds:datastoreItem>
</file>

<file path=customXml/itemProps3.xml><?xml version="1.0" encoding="utf-8"?>
<ds:datastoreItem xmlns:ds="http://schemas.openxmlformats.org/officeDocument/2006/customXml" ds:itemID="{b5a33aae-0cec-40dd-8e1f-8db70aecbe4e}">
  <ds:schemaRefs/>
</ds:datastoreItem>
</file>

<file path=customXml/itemProps4.xml><?xml version="1.0" encoding="utf-8"?>
<ds:datastoreItem xmlns:ds="http://schemas.openxmlformats.org/officeDocument/2006/customXml" ds:itemID="{4c4b255c-f4da-4b55-8a71-895dcc0d5647}">
  <ds:schemaRefs/>
</ds:datastoreItem>
</file>

<file path=customXml/itemProps5.xml><?xml version="1.0" encoding="utf-8"?>
<ds:datastoreItem xmlns:ds="http://schemas.openxmlformats.org/officeDocument/2006/customXml" ds:itemID="{bafd477e-1b9b-4f22-a33d-4de81729788f}">
  <ds:schemaRefs/>
</ds:datastoreItem>
</file>

<file path=customXml/itemProps6.xml><?xml version="1.0" encoding="utf-8"?>
<ds:datastoreItem xmlns:ds="http://schemas.openxmlformats.org/officeDocument/2006/customXml" ds:itemID="{20b01367-5b3a-45e3-95b7-ec38a2977552}">
  <ds:schemaRefs/>
</ds:datastoreItem>
</file>

<file path=customXml/itemProps7.xml><?xml version="1.0" encoding="utf-8"?>
<ds:datastoreItem xmlns:ds="http://schemas.openxmlformats.org/officeDocument/2006/customXml" ds:itemID="{0361e780-d4ae-40f4-96b4-208ceb585bf9}">
  <ds:schemaRefs/>
</ds:datastoreItem>
</file>

<file path=customXml/itemProps8.xml><?xml version="1.0" encoding="utf-8"?>
<ds:datastoreItem xmlns:ds="http://schemas.openxmlformats.org/officeDocument/2006/customXml" ds:itemID="{eb24af00-8444-4073-9f25-ceb376023b44}">
  <ds:schemaRefs/>
</ds:datastoreItem>
</file>

<file path=customXml/itemProps9.xml><?xml version="1.0" encoding="utf-8"?>
<ds:datastoreItem xmlns:ds="http://schemas.openxmlformats.org/officeDocument/2006/customXml" ds:itemID="{22ea97f2-37be-4e9e-96a8-92ce3038daa9}">
  <ds:schemaRefs/>
</ds:datastoreItem>
</file>

<file path=docProps/app.xml><?xml version="1.0" encoding="utf-8"?>
<Properties xmlns="http://schemas.openxmlformats.org/officeDocument/2006/extended-properties" xmlns:vt="http://schemas.openxmlformats.org/officeDocument/2006/docPropsVTypes">
  <Pages>40</Pages>
  <TotalTime>9</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2024-02-26T16:22:00Z</dcterms:created>
  <dc:creator>Administrator</dc:creator>
  <cp:lastModifiedBy>Nancy</cp:lastModifiedBy>
  <dcterms:modified xsi:type="dcterms:W3CDTF">2024-04-08T07:02:17Z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F6F0657477504344B1625D2A8607069D_13</vt:lpwstr>
  </property>
</Properties>
</file>