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default" w:ascii="黑体" w:hAnsi="黑体" w:eastAsia="黑体" w:cs="黑体"/>
          <w:b/>
          <w:color w:val="000000"/>
          <w:sz w:val="44"/>
          <w:lang w:val="en-US"/>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both"/>
        <w:rPr>
          <w:rFonts w:ascii="黑体" w:hAnsi="黑体" w:eastAsia="黑体" w:cs="黑体"/>
          <w:b/>
          <w:color w:val="000000"/>
          <w:sz w:val="30"/>
        </w:rP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"_Toc_2_2_0000000002" </w:instrText>
      </w:r>
      <w:r>
        <w:fldChar w:fldCharType="separate"/>
      </w:r>
      <w:r>
        <w:rPr>
          <w:rFonts w:hint="eastAsia"/>
          <w:lang w:eastAsia="zh-CN"/>
        </w:rPr>
        <w:t>单位</w:t>
      </w:r>
      <w:r>
        <w:t>预算收</w:t>
      </w:r>
      <w:r>
        <w:rPr>
          <w:rFonts w:hint="eastAsia"/>
          <w:lang w:val="en-US" w:eastAsia="zh-CN"/>
        </w:rPr>
        <w:t>支</w:t>
      </w:r>
      <w:r>
        <w:t>总表</w:t>
      </w:r>
      <w:r>
        <w:tab/>
      </w:r>
      <w:r>
        <w:rPr>
          <w:rFonts w:hint="default"/>
          <w:lang w:val="en-US"/>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1</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2</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2</w:t>
      </w:r>
      <w:r>
        <w:fldChar w:fldCharType="end"/>
      </w:r>
      <w:r>
        <w:rPr>
          <w:rFonts w:hint="default"/>
          <w:lang w:val="en-US"/>
        </w:rPr>
        <w:t>4</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w:t>
      </w:r>
      <w:r>
        <w:rPr>
          <w:rFonts w:hint="eastAsia"/>
          <w:lang w:val="en-US" w:eastAsia="zh-CN"/>
        </w:rPr>
        <w:t>性</w:t>
      </w:r>
      <w:r>
        <w:t>基金预算财政拨款支出表</w:t>
      </w:r>
      <w:r>
        <w:tab/>
      </w:r>
      <w:r>
        <w:rPr>
          <w:rFonts w:hint="default"/>
          <w:lang w:val="en-US"/>
        </w:rPr>
        <w:t>2</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9</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default"/>
          <w:lang w:val="en-US"/>
        </w:rPr>
        <w:t>3</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default"/>
          <w:lang w:val="en-US"/>
        </w:rPr>
        <w:t>3</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3</w:t>
      </w:r>
      <w:r>
        <w:fldChar w:fldCharType="end"/>
      </w:r>
      <w:r>
        <w:rPr>
          <w:rFonts w:hint="default"/>
          <w:lang w:val="en-US"/>
        </w:rPr>
        <w:t>3</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3</w:t>
      </w:r>
      <w:r>
        <w:fldChar w:fldCharType="end"/>
      </w:r>
      <w:r>
        <w:rPr>
          <w:rFonts w:hint="default"/>
          <w:lang w:val="en-US"/>
        </w:rPr>
        <w:t>3</w:t>
      </w:r>
    </w:p>
    <w:p>
      <w:pPr>
        <w:pStyle w:val="2"/>
        <w:tabs>
          <w:tab w:val="right" w:leader="dot" w:pos="14562"/>
        </w:tabs>
        <w:rPr>
          <w:rFonts w:hint="default"/>
          <w:lang w:val="en-US"/>
        </w:rPr>
      </w:pPr>
      <w:r>
        <w:fldChar w:fldCharType="begin"/>
      </w:r>
      <w:r>
        <w:instrText xml:space="preserve"> HYPERLINK \l "_Toc_3_3_0000000014" </w:instrText>
      </w:r>
      <w:r>
        <w:fldChar w:fldCharType="separate"/>
      </w:r>
      <w:r>
        <w:t>五、</w:t>
      </w:r>
      <w:r>
        <w:rPr>
          <w:rFonts w:hint="eastAsia"/>
          <w:lang w:val="en-US" w:eastAsia="zh-CN"/>
        </w:rPr>
        <w:t>单位项目预算安排情况及绩效目标</w:t>
      </w:r>
      <w:r>
        <w:tab/>
      </w:r>
      <w:r>
        <w:rPr>
          <w:rFonts w:hint="default"/>
          <w:lang w:val="en-US"/>
        </w:rPr>
        <w:t>3</w:t>
      </w:r>
      <w:r>
        <w:fldChar w:fldCharType="end"/>
      </w:r>
      <w:r>
        <w:rPr>
          <w:rFonts w:hint="default"/>
          <w:lang w:val="en-US"/>
        </w:rPr>
        <w:t>3</w:t>
      </w:r>
    </w:p>
    <w:p>
      <w:pPr>
        <w:pStyle w:val="2"/>
        <w:tabs>
          <w:tab w:val="right" w:leader="dot" w:pos="14562"/>
        </w:tabs>
        <w:rPr>
          <w:rFonts w:hint="default"/>
          <w:lang w:val="en-US"/>
        </w:rPr>
      </w:pPr>
      <w:r>
        <w:fldChar w:fldCharType="begin"/>
      </w:r>
      <w:r>
        <w:instrText xml:space="preserve"> HYPERLINK \l "_Toc_3_3_0000000015" </w:instrText>
      </w:r>
      <w:r>
        <w:fldChar w:fldCharType="separate"/>
      </w:r>
      <w:r>
        <w:t>六、</w:t>
      </w:r>
      <w:r>
        <w:rPr>
          <w:rFonts w:hint="eastAsia"/>
          <w:lang w:val="en-US" w:eastAsia="zh-CN"/>
        </w:rPr>
        <w:t>政府采购预算情况</w:t>
      </w:r>
      <w:r>
        <w:tab/>
      </w:r>
      <w:r>
        <w:rPr>
          <w:rFonts w:hint="default"/>
          <w:lang w:val="en-US"/>
        </w:rPr>
        <w:t>5</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t>七、</w:t>
      </w:r>
      <w:r>
        <w:rPr>
          <w:rFonts w:hint="eastAsia"/>
          <w:lang w:val="en-US" w:eastAsia="zh-CN"/>
        </w:rPr>
        <w:t>国有资产信息</w:t>
      </w:r>
      <w:r>
        <w:tab/>
      </w:r>
      <w:r>
        <w:rPr>
          <w:rFonts w:hint="default"/>
          <w:lang w:val="en-US"/>
        </w:rPr>
        <w:t>5</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t>八、</w:t>
      </w:r>
      <w:r>
        <w:rPr>
          <w:rFonts w:hint="eastAsia"/>
          <w:lang w:val="en-US" w:eastAsia="zh-CN"/>
        </w:rPr>
        <w:t>名词解释</w:t>
      </w:r>
      <w:r>
        <w:tab/>
      </w:r>
      <w:r>
        <w:rPr>
          <w:rFonts w:hint="default"/>
          <w:lang w:val="en-US"/>
        </w:rPr>
        <w:t>5</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val="en-US" w:eastAsia="zh-CN"/>
        </w:rPr>
        <w:t>九</w:t>
      </w:r>
      <w:r>
        <w:t>、</w:t>
      </w:r>
      <w:r>
        <w:rPr>
          <w:rFonts w:hint="eastAsia"/>
          <w:lang w:val="en-US" w:eastAsia="zh-CN"/>
        </w:rPr>
        <w:t>其他需要说明的事项</w:t>
      </w:r>
      <w:r>
        <w:tab/>
      </w:r>
      <w:r>
        <w:rPr>
          <w:rFonts w:hint="default"/>
          <w:lang w:val="en-US"/>
        </w:rPr>
        <w:t>5</w:t>
      </w:r>
      <w:r>
        <w:fldChar w:fldCharType="end"/>
      </w:r>
      <w:r>
        <w:rPr>
          <w:rFonts w:hint="default"/>
          <w:lang w:val="en-US"/>
        </w:rPr>
        <w:t>8</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一、保定市徐水区城市管理综合行政执法局本级收支预算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6744.46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rPr>
                <w:rFonts w:hint="default"/>
                <w:lang w:val="en-US"/>
              </w:rPr>
              <w:t>85</w:t>
            </w:r>
            <w:r>
              <w:t>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rPr>
                <w:rFonts w:hint="default"/>
                <w:lang w:val="en-US"/>
              </w:rPr>
              <w:t>8040</w:t>
            </w: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246.28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rPr>
                <w:rFonts w:hint="default"/>
                <w:lang w:val="en-US"/>
              </w:rPr>
              <w:t>7594</w:t>
            </w:r>
            <w:r>
              <w:t>.46</w:t>
            </w:r>
          </w:p>
        </w:tc>
        <w:tc>
          <w:tcPr>
            <w:tcW w:w="4535" w:type="dxa"/>
            <w:vAlign w:val="center"/>
          </w:tcPr>
          <w:p>
            <w:pPr>
              <w:pStyle w:val="14"/>
            </w:pPr>
            <w:r>
              <w:t>本年支出合计</w:t>
            </w:r>
          </w:p>
        </w:tc>
        <w:tc>
          <w:tcPr>
            <w:tcW w:w="2126" w:type="dxa"/>
            <w:vAlign w:val="center"/>
          </w:tcPr>
          <w:p>
            <w:pPr>
              <w:pStyle w:val="15"/>
            </w:pPr>
            <w:r>
              <w:rPr>
                <w:rFonts w:hint="default"/>
                <w:lang w:val="en-US"/>
              </w:rPr>
              <w:t>9094</w:t>
            </w:r>
            <w:r>
              <w:t>.46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1500.00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rPr>
                <w:rFonts w:hint="default"/>
                <w:lang w:val="en-US"/>
              </w:rPr>
              <w:t>9094</w:t>
            </w:r>
            <w:r>
              <w:t>.46</w:t>
            </w:r>
          </w:p>
        </w:tc>
        <w:tc>
          <w:tcPr>
            <w:tcW w:w="4535" w:type="dxa"/>
            <w:vAlign w:val="center"/>
          </w:tcPr>
          <w:p>
            <w:pPr>
              <w:pStyle w:val="14"/>
            </w:pPr>
            <w:r>
              <w:t>支出总计</w:t>
            </w:r>
          </w:p>
        </w:tc>
        <w:tc>
          <w:tcPr>
            <w:tcW w:w="2126" w:type="dxa"/>
            <w:vAlign w:val="center"/>
          </w:tcPr>
          <w:p>
            <w:pPr>
              <w:pStyle w:val="15"/>
            </w:pPr>
            <w:r>
              <w:rPr>
                <w:rFonts w:hint="default"/>
                <w:lang w:val="en-US"/>
              </w:rPr>
              <w:t>9094</w:t>
            </w:r>
            <w:r>
              <w:t>.46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rPr>
                <w:rFonts w:hint="default"/>
                <w:lang w:val="en-US"/>
              </w:rPr>
              <w:t>9094</w:t>
            </w:r>
            <w:r>
              <w:t>.46</w:t>
            </w:r>
          </w:p>
        </w:tc>
        <w:tc>
          <w:tcPr>
            <w:tcW w:w="758" w:type="dxa"/>
            <w:vAlign w:val="center"/>
          </w:tcPr>
          <w:p>
            <w:pPr>
              <w:pStyle w:val="15"/>
            </w:pPr>
            <w:r>
              <w:rPr>
                <w:rFonts w:hint="default"/>
                <w:lang w:val="en-US"/>
              </w:rPr>
              <w:t>7594</w:t>
            </w:r>
            <w:r>
              <w:t>.46</w:t>
            </w:r>
          </w:p>
        </w:tc>
        <w:tc>
          <w:tcPr>
            <w:tcW w:w="758" w:type="dxa"/>
            <w:vAlign w:val="center"/>
          </w:tcPr>
          <w:p>
            <w:pPr>
              <w:pStyle w:val="15"/>
            </w:pPr>
            <w:r>
              <w:rPr>
                <w:rFonts w:hint="default"/>
                <w:lang w:val="en-US"/>
              </w:rPr>
              <w:t>7594</w:t>
            </w:r>
            <w:r>
              <w:t>.46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710.52</w:t>
            </w:r>
          </w:p>
        </w:tc>
        <w:tc>
          <w:tcPr>
            <w:tcW w:w="758" w:type="dxa"/>
            <w:vAlign w:val="center"/>
          </w:tcPr>
          <w:p>
            <w:pPr>
              <w:pStyle w:val="11"/>
            </w:pPr>
            <w:r>
              <w:t>710.52</w:t>
            </w:r>
          </w:p>
        </w:tc>
        <w:tc>
          <w:tcPr>
            <w:tcW w:w="758" w:type="dxa"/>
            <w:vAlign w:val="center"/>
          </w:tcPr>
          <w:p>
            <w:pPr>
              <w:pStyle w:val="11"/>
            </w:pPr>
            <w:r>
              <w:t>710.52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625.69</w:t>
            </w:r>
          </w:p>
        </w:tc>
        <w:tc>
          <w:tcPr>
            <w:tcW w:w="758" w:type="dxa"/>
            <w:vAlign w:val="center"/>
          </w:tcPr>
          <w:p>
            <w:pPr>
              <w:pStyle w:val="11"/>
            </w:pPr>
            <w:r>
              <w:t>625.69</w:t>
            </w:r>
          </w:p>
        </w:tc>
        <w:tc>
          <w:tcPr>
            <w:tcW w:w="758" w:type="dxa"/>
            <w:vAlign w:val="center"/>
          </w:tcPr>
          <w:p>
            <w:pPr>
              <w:pStyle w:val="11"/>
            </w:pPr>
            <w:r>
              <w:t>625.69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2080502</w:t>
            </w:r>
          </w:p>
        </w:tc>
        <w:tc>
          <w:tcPr>
            <w:tcW w:w="758" w:type="dxa"/>
            <w:vAlign w:val="center"/>
          </w:tcPr>
          <w:p>
            <w:pPr>
              <w:pStyle w:val="12"/>
            </w:pPr>
            <w:r>
              <w:t>事业单位离退休</w:t>
            </w:r>
          </w:p>
        </w:tc>
        <w:tc>
          <w:tcPr>
            <w:tcW w:w="758" w:type="dxa"/>
            <w:vAlign w:val="center"/>
          </w:tcPr>
          <w:p>
            <w:pPr>
              <w:pStyle w:val="11"/>
            </w:pPr>
            <w:r>
              <w:t>191.98</w:t>
            </w:r>
          </w:p>
        </w:tc>
        <w:tc>
          <w:tcPr>
            <w:tcW w:w="758" w:type="dxa"/>
            <w:vAlign w:val="center"/>
          </w:tcPr>
          <w:p>
            <w:pPr>
              <w:pStyle w:val="11"/>
            </w:pPr>
            <w:r>
              <w:t>191.98</w:t>
            </w:r>
          </w:p>
        </w:tc>
        <w:tc>
          <w:tcPr>
            <w:tcW w:w="758" w:type="dxa"/>
            <w:vAlign w:val="center"/>
          </w:tcPr>
          <w:p>
            <w:pPr>
              <w:pStyle w:val="11"/>
            </w:pPr>
            <w:r>
              <w:t>191.98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299.34</w:t>
            </w:r>
          </w:p>
        </w:tc>
        <w:tc>
          <w:tcPr>
            <w:tcW w:w="758" w:type="dxa"/>
            <w:vAlign w:val="center"/>
          </w:tcPr>
          <w:p>
            <w:pPr>
              <w:pStyle w:val="11"/>
            </w:pPr>
            <w:r>
              <w:t>299.34</w:t>
            </w:r>
          </w:p>
        </w:tc>
        <w:tc>
          <w:tcPr>
            <w:tcW w:w="758" w:type="dxa"/>
            <w:vAlign w:val="center"/>
          </w:tcPr>
          <w:p>
            <w:pPr>
              <w:pStyle w:val="11"/>
            </w:pPr>
            <w:r>
              <w:t>299.34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134.37</w:t>
            </w:r>
          </w:p>
        </w:tc>
        <w:tc>
          <w:tcPr>
            <w:tcW w:w="758" w:type="dxa"/>
            <w:vAlign w:val="center"/>
          </w:tcPr>
          <w:p>
            <w:pPr>
              <w:pStyle w:val="11"/>
            </w:pPr>
            <w:r>
              <w:t>134.37</w:t>
            </w:r>
          </w:p>
        </w:tc>
        <w:tc>
          <w:tcPr>
            <w:tcW w:w="758" w:type="dxa"/>
            <w:vAlign w:val="center"/>
          </w:tcPr>
          <w:p>
            <w:pPr>
              <w:pStyle w:val="11"/>
            </w:pPr>
            <w:r>
              <w:t>134.37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20809</w:t>
            </w:r>
          </w:p>
        </w:tc>
        <w:tc>
          <w:tcPr>
            <w:tcW w:w="758" w:type="dxa"/>
            <w:vAlign w:val="center"/>
          </w:tcPr>
          <w:p>
            <w:pPr>
              <w:pStyle w:val="12"/>
            </w:pPr>
            <w:r>
              <w:t>退役安置</w:t>
            </w:r>
          </w:p>
        </w:tc>
        <w:tc>
          <w:tcPr>
            <w:tcW w:w="758" w:type="dxa"/>
            <w:vAlign w:val="center"/>
          </w:tcPr>
          <w:p>
            <w:pPr>
              <w:pStyle w:val="11"/>
            </w:pPr>
            <w:r>
              <w:t>84.83</w:t>
            </w:r>
          </w:p>
        </w:tc>
        <w:tc>
          <w:tcPr>
            <w:tcW w:w="758" w:type="dxa"/>
            <w:vAlign w:val="center"/>
          </w:tcPr>
          <w:p>
            <w:pPr>
              <w:pStyle w:val="11"/>
            </w:pPr>
            <w:r>
              <w:t>84.83</w:t>
            </w:r>
          </w:p>
        </w:tc>
        <w:tc>
          <w:tcPr>
            <w:tcW w:w="758" w:type="dxa"/>
            <w:vAlign w:val="center"/>
          </w:tcPr>
          <w:p>
            <w:pPr>
              <w:pStyle w:val="11"/>
            </w:pPr>
            <w:r>
              <w:t>84.83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2080901</w:t>
            </w:r>
          </w:p>
        </w:tc>
        <w:tc>
          <w:tcPr>
            <w:tcW w:w="758" w:type="dxa"/>
            <w:vAlign w:val="center"/>
          </w:tcPr>
          <w:p>
            <w:pPr>
              <w:pStyle w:val="12"/>
            </w:pPr>
            <w:r>
              <w:t>退役士兵安置</w:t>
            </w:r>
          </w:p>
        </w:tc>
        <w:tc>
          <w:tcPr>
            <w:tcW w:w="758" w:type="dxa"/>
            <w:vAlign w:val="center"/>
          </w:tcPr>
          <w:p>
            <w:pPr>
              <w:pStyle w:val="11"/>
            </w:pPr>
            <w:r>
              <w:t>84.83</w:t>
            </w:r>
          </w:p>
        </w:tc>
        <w:tc>
          <w:tcPr>
            <w:tcW w:w="758" w:type="dxa"/>
            <w:vAlign w:val="center"/>
          </w:tcPr>
          <w:p>
            <w:pPr>
              <w:pStyle w:val="11"/>
            </w:pPr>
            <w:r>
              <w:t>84.83</w:t>
            </w:r>
          </w:p>
        </w:tc>
        <w:tc>
          <w:tcPr>
            <w:tcW w:w="758" w:type="dxa"/>
            <w:vAlign w:val="center"/>
          </w:tcPr>
          <w:p>
            <w:pPr>
              <w:pStyle w:val="11"/>
            </w:pPr>
            <w:r>
              <w:t>84.83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97.65</w:t>
            </w:r>
          </w:p>
        </w:tc>
        <w:tc>
          <w:tcPr>
            <w:tcW w:w="758" w:type="dxa"/>
            <w:vAlign w:val="center"/>
          </w:tcPr>
          <w:p>
            <w:pPr>
              <w:pStyle w:val="11"/>
            </w:pPr>
            <w:r>
              <w:t>97.65</w:t>
            </w:r>
          </w:p>
        </w:tc>
        <w:tc>
          <w:tcPr>
            <w:tcW w:w="758" w:type="dxa"/>
            <w:vAlign w:val="center"/>
          </w:tcPr>
          <w:p>
            <w:pPr>
              <w:pStyle w:val="11"/>
            </w:pPr>
            <w:r>
              <w:t>97.65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97.65</w:t>
            </w:r>
          </w:p>
        </w:tc>
        <w:tc>
          <w:tcPr>
            <w:tcW w:w="758" w:type="dxa"/>
            <w:vAlign w:val="center"/>
          </w:tcPr>
          <w:p>
            <w:pPr>
              <w:pStyle w:val="11"/>
            </w:pPr>
            <w:r>
              <w:t>97.65</w:t>
            </w:r>
          </w:p>
        </w:tc>
        <w:tc>
          <w:tcPr>
            <w:tcW w:w="758" w:type="dxa"/>
            <w:vAlign w:val="center"/>
          </w:tcPr>
          <w:p>
            <w:pPr>
              <w:pStyle w:val="11"/>
            </w:pPr>
            <w:r>
              <w:t>97.65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97.65</w:t>
            </w:r>
          </w:p>
        </w:tc>
        <w:tc>
          <w:tcPr>
            <w:tcW w:w="758" w:type="dxa"/>
            <w:vAlign w:val="center"/>
          </w:tcPr>
          <w:p>
            <w:pPr>
              <w:pStyle w:val="11"/>
            </w:pPr>
            <w:r>
              <w:t>97.65</w:t>
            </w:r>
          </w:p>
        </w:tc>
        <w:tc>
          <w:tcPr>
            <w:tcW w:w="758" w:type="dxa"/>
            <w:vAlign w:val="center"/>
          </w:tcPr>
          <w:p>
            <w:pPr>
              <w:pStyle w:val="11"/>
            </w:pPr>
            <w:r>
              <w:t>97.65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rPr>
                <w:rFonts w:hint="default"/>
                <w:lang w:val="en-US"/>
              </w:rPr>
              <w:t>8040</w:t>
            </w:r>
            <w:r>
              <w:t>.01</w:t>
            </w:r>
          </w:p>
        </w:tc>
        <w:tc>
          <w:tcPr>
            <w:tcW w:w="758" w:type="dxa"/>
            <w:vAlign w:val="center"/>
          </w:tcPr>
          <w:p>
            <w:pPr>
              <w:pStyle w:val="11"/>
            </w:pPr>
            <w:r>
              <w:rPr>
                <w:rFonts w:hint="default"/>
                <w:lang w:val="en-US"/>
              </w:rPr>
              <w:t>6540</w:t>
            </w:r>
            <w:r>
              <w:t>.01</w:t>
            </w:r>
          </w:p>
        </w:tc>
        <w:tc>
          <w:tcPr>
            <w:tcW w:w="758" w:type="dxa"/>
            <w:vAlign w:val="center"/>
          </w:tcPr>
          <w:p>
            <w:pPr>
              <w:pStyle w:val="11"/>
            </w:pPr>
            <w:r>
              <w:rPr>
                <w:rFonts w:hint="default"/>
                <w:lang w:val="en-US"/>
              </w:rPr>
              <w:t>6540</w:t>
            </w:r>
            <w:r>
              <w:t>.01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21201</w:t>
            </w:r>
          </w:p>
        </w:tc>
        <w:tc>
          <w:tcPr>
            <w:tcW w:w="758" w:type="dxa"/>
            <w:vAlign w:val="center"/>
          </w:tcPr>
          <w:p>
            <w:pPr>
              <w:pStyle w:val="12"/>
            </w:pPr>
            <w:r>
              <w:t>城乡社区管理事务</w:t>
            </w:r>
          </w:p>
        </w:tc>
        <w:tc>
          <w:tcPr>
            <w:tcW w:w="758" w:type="dxa"/>
            <w:vAlign w:val="center"/>
          </w:tcPr>
          <w:p>
            <w:pPr>
              <w:pStyle w:val="11"/>
            </w:pPr>
            <w:r>
              <w:t>3372.49</w:t>
            </w:r>
          </w:p>
        </w:tc>
        <w:tc>
          <w:tcPr>
            <w:tcW w:w="758" w:type="dxa"/>
            <w:vAlign w:val="center"/>
          </w:tcPr>
          <w:p>
            <w:pPr>
              <w:pStyle w:val="11"/>
            </w:pPr>
            <w:r>
              <w:t>3372.49</w:t>
            </w:r>
          </w:p>
        </w:tc>
        <w:tc>
          <w:tcPr>
            <w:tcW w:w="758" w:type="dxa"/>
            <w:vAlign w:val="center"/>
          </w:tcPr>
          <w:p>
            <w:pPr>
              <w:pStyle w:val="11"/>
            </w:pPr>
            <w:r>
              <w:t>3372.49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2120104</w:t>
            </w:r>
          </w:p>
        </w:tc>
        <w:tc>
          <w:tcPr>
            <w:tcW w:w="758" w:type="dxa"/>
            <w:vAlign w:val="center"/>
          </w:tcPr>
          <w:p>
            <w:pPr>
              <w:pStyle w:val="12"/>
            </w:pPr>
            <w:r>
              <w:t>城管执法</w:t>
            </w:r>
          </w:p>
        </w:tc>
        <w:tc>
          <w:tcPr>
            <w:tcW w:w="758" w:type="dxa"/>
            <w:vAlign w:val="center"/>
          </w:tcPr>
          <w:p>
            <w:pPr>
              <w:pStyle w:val="11"/>
            </w:pPr>
            <w:r>
              <w:t>3372.49</w:t>
            </w:r>
          </w:p>
        </w:tc>
        <w:tc>
          <w:tcPr>
            <w:tcW w:w="758" w:type="dxa"/>
            <w:vAlign w:val="center"/>
          </w:tcPr>
          <w:p>
            <w:pPr>
              <w:pStyle w:val="11"/>
            </w:pPr>
            <w:r>
              <w:t>3372.49</w:t>
            </w:r>
          </w:p>
        </w:tc>
        <w:tc>
          <w:tcPr>
            <w:tcW w:w="758" w:type="dxa"/>
            <w:vAlign w:val="center"/>
          </w:tcPr>
          <w:p>
            <w:pPr>
              <w:pStyle w:val="11"/>
            </w:pPr>
            <w:r>
              <w:t>3372.49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21203</w:t>
            </w:r>
          </w:p>
        </w:tc>
        <w:tc>
          <w:tcPr>
            <w:tcW w:w="758" w:type="dxa"/>
            <w:vAlign w:val="center"/>
          </w:tcPr>
          <w:p>
            <w:pPr>
              <w:pStyle w:val="12"/>
            </w:pPr>
            <w:r>
              <w:t>城乡社区公共设施</w:t>
            </w:r>
          </w:p>
        </w:tc>
        <w:tc>
          <w:tcPr>
            <w:tcW w:w="758" w:type="dxa"/>
            <w:vAlign w:val="center"/>
          </w:tcPr>
          <w:p>
            <w:pPr>
              <w:pStyle w:val="11"/>
            </w:pPr>
            <w:r>
              <w:t>1500.00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2120399</w:t>
            </w:r>
          </w:p>
        </w:tc>
        <w:tc>
          <w:tcPr>
            <w:tcW w:w="758" w:type="dxa"/>
            <w:vAlign w:val="center"/>
          </w:tcPr>
          <w:p>
            <w:pPr>
              <w:pStyle w:val="12"/>
            </w:pPr>
            <w:r>
              <w:t>其他城乡社区公共设施支出</w:t>
            </w:r>
          </w:p>
        </w:tc>
        <w:tc>
          <w:tcPr>
            <w:tcW w:w="758" w:type="dxa"/>
            <w:vAlign w:val="center"/>
          </w:tcPr>
          <w:p>
            <w:pPr>
              <w:pStyle w:val="11"/>
            </w:pPr>
            <w:r>
              <w:t>1500.00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21205</w:t>
            </w:r>
          </w:p>
        </w:tc>
        <w:tc>
          <w:tcPr>
            <w:tcW w:w="758" w:type="dxa"/>
            <w:vAlign w:val="center"/>
          </w:tcPr>
          <w:p>
            <w:pPr>
              <w:pStyle w:val="12"/>
            </w:pPr>
            <w:r>
              <w:t>城乡社区环境卫生</w:t>
            </w:r>
          </w:p>
        </w:tc>
        <w:tc>
          <w:tcPr>
            <w:tcW w:w="758" w:type="dxa"/>
            <w:vAlign w:val="center"/>
          </w:tcPr>
          <w:p>
            <w:pPr>
              <w:pStyle w:val="11"/>
            </w:pPr>
            <w:r>
              <w:t>2317.52</w:t>
            </w:r>
          </w:p>
        </w:tc>
        <w:tc>
          <w:tcPr>
            <w:tcW w:w="758" w:type="dxa"/>
            <w:vAlign w:val="center"/>
          </w:tcPr>
          <w:p>
            <w:pPr>
              <w:pStyle w:val="11"/>
            </w:pPr>
            <w:r>
              <w:t>2317.52</w:t>
            </w:r>
          </w:p>
        </w:tc>
        <w:tc>
          <w:tcPr>
            <w:tcW w:w="758" w:type="dxa"/>
            <w:vAlign w:val="center"/>
          </w:tcPr>
          <w:p>
            <w:pPr>
              <w:pStyle w:val="11"/>
            </w:pPr>
            <w:r>
              <w:t>2317.52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2120501</w:t>
            </w:r>
          </w:p>
        </w:tc>
        <w:tc>
          <w:tcPr>
            <w:tcW w:w="758" w:type="dxa"/>
            <w:vAlign w:val="center"/>
          </w:tcPr>
          <w:p>
            <w:pPr>
              <w:pStyle w:val="12"/>
            </w:pPr>
            <w:r>
              <w:t>城乡社区环境卫生</w:t>
            </w:r>
          </w:p>
        </w:tc>
        <w:tc>
          <w:tcPr>
            <w:tcW w:w="758" w:type="dxa"/>
            <w:vAlign w:val="center"/>
          </w:tcPr>
          <w:p>
            <w:pPr>
              <w:pStyle w:val="11"/>
            </w:pPr>
            <w:r>
              <w:t>2317.52</w:t>
            </w:r>
          </w:p>
        </w:tc>
        <w:tc>
          <w:tcPr>
            <w:tcW w:w="758" w:type="dxa"/>
            <w:vAlign w:val="center"/>
          </w:tcPr>
          <w:p>
            <w:pPr>
              <w:pStyle w:val="11"/>
            </w:pPr>
            <w:r>
              <w:t>2317.52</w:t>
            </w:r>
          </w:p>
        </w:tc>
        <w:tc>
          <w:tcPr>
            <w:tcW w:w="758" w:type="dxa"/>
            <w:vAlign w:val="center"/>
          </w:tcPr>
          <w:p>
            <w:pPr>
              <w:pStyle w:val="11"/>
            </w:pPr>
            <w:r>
              <w:t>2317.52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2120899</w:t>
            </w:r>
          </w:p>
        </w:tc>
        <w:tc>
          <w:tcPr>
            <w:tcW w:w="758" w:type="dxa"/>
            <w:vAlign w:val="center"/>
          </w:tcPr>
          <w:p>
            <w:pPr>
              <w:pStyle w:val="12"/>
            </w:pPr>
            <w:r>
              <w:t>其他国有土地使用权出让收入安排的支出</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21213</w:t>
            </w:r>
          </w:p>
        </w:tc>
        <w:tc>
          <w:tcPr>
            <w:tcW w:w="758" w:type="dxa"/>
            <w:vAlign w:val="center"/>
          </w:tcPr>
          <w:p>
            <w:pPr>
              <w:pStyle w:val="12"/>
            </w:pPr>
            <w:r>
              <w:t>城市基础设施配套费安排的支出</w:t>
            </w:r>
          </w:p>
        </w:tc>
        <w:tc>
          <w:tcPr>
            <w:tcW w:w="758" w:type="dxa"/>
            <w:vAlign w:val="center"/>
          </w:tcPr>
          <w:p>
            <w:pPr>
              <w:pStyle w:val="11"/>
            </w:pPr>
            <w:r>
              <w:rPr>
                <w:rFonts w:hint="default"/>
                <w:lang w:val="en-US"/>
              </w:rPr>
              <w:t>150</w:t>
            </w:r>
            <w:r>
              <w:t>.00</w:t>
            </w:r>
          </w:p>
        </w:tc>
        <w:tc>
          <w:tcPr>
            <w:tcW w:w="758" w:type="dxa"/>
            <w:vAlign w:val="center"/>
          </w:tcPr>
          <w:p>
            <w:pPr>
              <w:pStyle w:val="11"/>
            </w:pPr>
            <w:r>
              <w:rPr>
                <w:rFonts w:hint="default"/>
                <w:lang w:val="en-US"/>
              </w:rPr>
              <w:t>150</w:t>
            </w:r>
            <w:r>
              <w:t>.00</w:t>
            </w:r>
          </w:p>
        </w:tc>
        <w:tc>
          <w:tcPr>
            <w:tcW w:w="758" w:type="dxa"/>
            <w:vAlign w:val="center"/>
          </w:tcPr>
          <w:p>
            <w:pPr>
              <w:pStyle w:val="11"/>
            </w:pPr>
            <w:r>
              <w:rPr>
                <w:rFonts w:hint="default"/>
                <w:lang w:val="en-US"/>
              </w:rPr>
              <w:t>150</w:t>
            </w:r>
            <w: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2121301</w:t>
            </w:r>
          </w:p>
        </w:tc>
        <w:tc>
          <w:tcPr>
            <w:tcW w:w="758" w:type="dxa"/>
            <w:vAlign w:val="center"/>
          </w:tcPr>
          <w:p>
            <w:pPr>
              <w:pStyle w:val="12"/>
            </w:pPr>
            <w:r>
              <w:t>城市公共设施</w:t>
            </w:r>
          </w:p>
        </w:tc>
        <w:tc>
          <w:tcPr>
            <w:tcW w:w="758" w:type="dxa"/>
            <w:vAlign w:val="center"/>
          </w:tcPr>
          <w:p>
            <w:pPr>
              <w:pStyle w:val="11"/>
            </w:pPr>
            <w:r>
              <w:rPr>
                <w:rFonts w:hint="default"/>
                <w:lang w:val="en-US"/>
              </w:rPr>
              <w:t>150</w:t>
            </w:r>
            <w:r>
              <w:t>.00</w:t>
            </w:r>
          </w:p>
        </w:tc>
        <w:tc>
          <w:tcPr>
            <w:tcW w:w="758" w:type="dxa"/>
            <w:vAlign w:val="center"/>
          </w:tcPr>
          <w:p>
            <w:pPr>
              <w:pStyle w:val="11"/>
            </w:pPr>
            <w:r>
              <w:rPr>
                <w:rFonts w:hint="default"/>
                <w:lang w:val="en-US"/>
              </w:rPr>
              <w:t>150</w:t>
            </w:r>
            <w:r>
              <w:t>.00</w:t>
            </w:r>
          </w:p>
        </w:tc>
        <w:tc>
          <w:tcPr>
            <w:tcW w:w="758" w:type="dxa"/>
            <w:vAlign w:val="center"/>
          </w:tcPr>
          <w:p>
            <w:pPr>
              <w:pStyle w:val="11"/>
            </w:pPr>
            <w:r>
              <w:rPr>
                <w:rFonts w:hint="default"/>
                <w:lang w:val="en-US"/>
              </w:rPr>
              <w:t>150</w:t>
            </w:r>
            <w: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246.28</w:t>
            </w:r>
          </w:p>
        </w:tc>
        <w:tc>
          <w:tcPr>
            <w:tcW w:w="758" w:type="dxa"/>
            <w:vAlign w:val="center"/>
          </w:tcPr>
          <w:p>
            <w:pPr>
              <w:pStyle w:val="11"/>
            </w:pPr>
            <w:r>
              <w:t>246.28</w:t>
            </w:r>
          </w:p>
        </w:tc>
        <w:tc>
          <w:tcPr>
            <w:tcW w:w="758" w:type="dxa"/>
            <w:vAlign w:val="center"/>
          </w:tcPr>
          <w:p>
            <w:pPr>
              <w:pStyle w:val="11"/>
            </w:pPr>
            <w:r>
              <w:t>246.28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246.28</w:t>
            </w:r>
          </w:p>
        </w:tc>
        <w:tc>
          <w:tcPr>
            <w:tcW w:w="758" w:type="dxa"/>
            <w:vAlign w:val="center"/>
          </w:tcPr>
          <w:p>
            <w:pPr>
              <w:pStyle w:val="11"/>
            </w:pPr>
            <w:r>
              <w:t>246.28</w:t>
            </w:r>
          </w:p>
        </w:tc>
        <w:tc>
          <w:tcPr>
            <w:tcW w:w="758" w:type="dxa"/>
            <w:vAlign w:val="center"/>
          </w:tcPr>
          <w:p>
            <w:pPr>
              <w:pStyle w:val="11"/>
            </w:pPr>
            <w:r>
              <w:t>246.28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246.28</w:t>
            </w:r>
          </w:p>
        </w:tc>
        <w:tc>
          <w:tcPr>
            <w:tcW w:w="758" w:type="dxa"/>
            <w:vAlign w:val="center"/>
          </w:tcPr>
          <w:p>
            <w:pPr>
              <w:pStyle w:val="11"/>
            </w:pPr>
            <w:r>
              <w:t>246.28</w:t>
            </w:r>
          </w:p>
        </w:tc>
        <w:tc>
          <w:tcPr>
            <w:tcW w:w="758" w:type="dxa"/>
            <w:vAlign w:val="center"/>
          </w:tcPr>
          <w:p>
            <w:pPr>
              <w:pStyle w:val="11"/>
            </w:pPr>
            <w:r>
              <w:t>246.28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rPr>
                <w:rFonts w:hint="default"/>
                <w:lang w:val="en-US"/>
              </w:rPr>
            </w:pPr>
            <w:r>
              <w:rPr>
                <w:rFonts w:hint="default"/>
                <w:lang w:val="en-US"/>
              </w:rPr>
              <w:t>9094.46</w:t>
            </w:r>
          </w:p>
        </w:tc>
        <w:tc>
          <w:tcPr>
            <w:tcW w:w="1361" w:type="dxa"/>
            <w:vAlign w:val="center"/>
          </w:tcPr>
          <w:p>
            <w:pPr>
              <w:pStyle w:val="15"/>
            </w:pPr>
            <w:r>
              <w:t>3689.99</w:t>
            </w:r>
          </w:p>
        </w:tc>
        <w:tc>
          <w:tcPr>
            <w:tcW w:w="1361" w:type="dxa"/>
            <w:vAlign w:val="center"/>
          </w:tcPr>
          <w:p>
            <w:pPr>
              <w:pStyle w:val="15"/>
            </w:pPr>
            <w:r>
              <w:rPr>
                <w:rFonts w:hint="default"/>
                <w:lang w:val="en-US"/>
              </w:rPr>
              <w:t>5404</w:t>
            </w:r>
            <w:r>
              <w:t>.48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710.52</w:t>
            </w:r>
          </w:p>
        </w:tc>
        <w:tc>
          <w:tcPr>
            <w:tcW w:w="1361" w:type="dxa"/>
            <w:vAlign w:val="center"/>
          </w:tcPr>
          <w:p>
            <w:pPr>
              <w:pStyle w:val="11"/>
            </w:pPr>
            <w:r>
              <w:t>625.69</w:t>
            </w:r>
          </w:p>
        </w:tc>
        <w:tc>
          <w:tcPr>
            <w:tcW w:w="1361" w:type="dxa"/>
            <w:vAlign w:val="center"/>
          </w:tcPr>
          <w:p>
            <w:pPr>
              <w:pStyle w:val="11"/>
            </w:pPr>
            <w:r>
              <w:t>84.83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625.69</w:t>
            </w:r>
          </w:p>
        </w:tc>
        <w:tc>
          <w:tcPr>
            <w:tcW w:w="1361" w:type="dxa"/>
            <w:vAlign w:val="center"/>
          </w:tcPr>
          <w:p>
            <w:pPr>
              <w:pStyle w:val="11"/>
            </w:pPr>
            <w:r>
              <w:t>625.69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191.98</w:t>
            </w:r>
          </w:p>
        </w:tc>
        <w:tc>
          <w:tcPr>
            <w:tcW w:w="1361" w:type="dxa"/>
            <w:vAlign w:val="center"/>
          </w:tcPr>
          <w:p>
            <w:pPr>
              <w:pStyle w:val="11"/>
            </w:pPr>
            <w:r>
              <w:t>191.98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299.34</w:t>
            </w:r>
          </w:p>
        </w:tc>
        <w:tc>
          <w:tcPr>
            <w:tcW w:w="1361" w:type="dxa"/>
            <w:vAlign w:val="center"/>
          </w:tcPr>
          <w:p>
            <w:pPr>
              <w:pStyle w:val="11"/>
            </w:pPr>
            <w:r>
              <w:t>299.34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134.37</w:t>
            </w:r>
          </w:p>
        </w:tc>
        <w:tc>
          <w:tcPr>
            <w:tcW w:w="1361" w:type="dxa"/>
            <w:vAlign w:val="center"/>
          </w:tcPr>
          <w:p>
            <w:pPr>
              <w:pStyle w:val="11"/>
            </w:pPr>
            <w:r>
              <w:t>134.37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84.83</w:t>
            </w:r>
          </w:p>
        </w:tc>
        <w:tc>
          <w:tcPr>
            <w:tcW w:w="1361" w:type="dxa"/>
            <w:vAlign w:val="center"/>
          </w:tcPr>
          <w:p>
            <w:pPr>
              <w:pStyle w:val="11"/>
            </w:pPr>
          </w:p>
        </w:tc>
        <w:tc>
          <w:tcPr>
            <w:tcW w:w="1361" w:type="dxa"/>
            <w:vAlign w:val="center"/>
          </w:tcPr>
          <w:p>
            <w:pPr>
              <w:pStyle w:val="11"/>
            </w:pPr>
            <w:r>
              <w:t>84.83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84.83</w:t>
            </w:r>
          </w:p>
        </w:tc>
        <w:tc>
          <w:tcPr>
            <w:tcW w:w="1361" w:type="dxa"/>
            <w:vAlign w:val="center"/>
          </w:tcPr>
          <w:p>
            <w:pPr>
              <w:pStyle w:val="11"/>
            </w:pPr>
          </w:p>
        </w:tc>
        <w:tc>
          <w:tcPr>
            <w:tcW w:w="1361" w:type="dxa"/>
            <w:vAlign w:val="center"/>
          </w:tcPr>
          <w:p>
            <w:pPr>
              <w:pStyle w:val="11"/>
            </w:pPr>
            <w:r>
              <w:t>84.83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97.65</w:t>
            </w:r>
          </w:p>
        </w:tc>
        <w:tc>
          <w:tcPr>
            <w:tcW w:w="1361" w:type="dxa"/>
            <w:vAlign w:val="center"/>
          </w:tcPr>
          <w:p>
            <w:pPr>
              <w:pStyle w:val="11"/>
            </w:pPr>
            <w:r>
              <w:t>97.65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97.65</w:t>
            </w:r>
          </w:p>
        </w:tc>
        <w:tc>
          <w:tcPr>
            <w:tcW w:w="1361" w:type="dxa"/>
            <w:vAlign w:val="center"/>
          </w:tcPr>
          <w:p>
            <w:pPr>
              <w:pStyle w:val="11"/>
            </w:pPr>
            <w:r>
              <w:t>97.65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97.65</w:t>
            </w:r>
          </w:p>
        </w:tc>
        <w:tc>
          <w:tcPr>
            <w:tcW w:w="1361" w:type="dxa"/>
            <w:vAlign w:val="center"/>
          </w:tcPr>
          <w:p>
            <w:pPr>
              <w:pStyle w:val="11"/>
            </w:pPr>
            <w:r>
              <w:t>97.65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8</w:t>
            </w:r>
            <w:r>
              <w:rPr>
                <w:rFonts w:hint="default"/>
                <w:lang w:val="en-US"/>
              </w:rPr>
              <w:t>040</w:t>
            </w:r>
            <w:r>
              <w:t>.01</w:t>
            </w:r>
          </w:p>
        </w:tc>
        <w:tc>
          <w:tcPr>
            <w:tcW w:w="1361" w:type="dxa"/>
            <w:vAlign w:val="center"/>
          </w:tcPr>
          <w:p>
            <w:pPr>
              <w:pStyle w:val="11"/>
            </w:pPr>
            <w:r>
              <w:t>2720.36</w:t>
            </w:r>
          </w:p>
        </w:tc>
        <w:tc>
          <w:tcPr>
            <w:tcW w:w="1361" w:type="dxa"/>
            <w:vAlign w:val="center"/>
          </w:tcPr>
          <w:p>
            <w:pPr>
              <w:pStyle w:val="11"/>
            </w:pPr>
            <w:r>
              <w:rPr>
                <w:rFonts w:hint="default"/>
                <w:lang w:val="en-US"/>
              </w:rPr>
              <w:t>5319</w:t>
            </w:r>
            <w:r>
              <w:t>.65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3372.49</w:t>
            </w:r>
          </w:p>
        </w:tc>
        <w:tc>
          <w:tcPr>
            <w:tcW w:w="1361" w:type="dxa"/>
            <w:vAlign w:val="center"/>
          </w:tcPr>
          <w:p>
            <w:pPr>
              <w:pStyle w:val="11"/>
            </w:pPr>
            <w:r>
              <w:t>2720.36</w:t>
            </w:r>
          </w:p>
        </w:tc>
        <w:tc>
          <w:tcPr>
            <w:tcW w:w="1361" w:type="dxa"/>
            <w:vAlign w:val="center"/>
          </w:tcPr>
          <w:p>
            <w:pPr>
              <w:pStyle w:val="11"/>
            </w:pPr>
            <w:r>
              <w:t>652.13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3372.49</w:t>
            </w:r>
          </w:p>
        </w:tc>
        <w:tc>
          <w:tcPr>
            <w:tcW w:w="1361" w:type="dxa"/>
            <w:vAlign w:val="center"/>
          </w:tcPr>
          <w:p>
            <w:pPr>
              <w:pStyle w:val="11"/>
            </w:pPr>
            <w:r>
              <w:t>2720.36</w:t>
            </w:r>
          </w:p>
        </w:tc>
        <w:tc>
          <w:tcPr>
            <w:tcW w:w="1361" w:type="dxa"/>
            <w:vAlign w:val="center"/>
          </w:tcPr>
          <w:p>
            <w:pPr>
              <w:pStyle w:val="11"/>
            </w:pPr>
            <w:r>
              <w:t>652.13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2317.52</w:t>
            </w:r>
          </w:p>
        </w:tc>
        <w:tc>
          <w:tcPr>
            <w:tcW w:w="1361" w:type="dxa"/>
            <w:vAlign w:val="center"/>
          </w:tcPr>
          <w:p>
            <w:pPr>
              <w:pStyle w:val="11"/>
            </w:pPr>
          </w:p>
        </w:tc>
        <w:tc>
          <w:tcPr>
            <w:tcW w:w="1361" w:type="dxa"/>
            <w:vAlign w:val="center"/>
          </w:tcPr>
          <w:p>
            <w:pPr>
              <w:pStyle w:val="11"/>
            </w:pPr>
            <w:r>
              <w:t>2317.52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2317.52</w:t>
            </w:r>
          </w:p>
        </w:tc>
        <w:tc>
          <w:tcPr>
            <w:tcW w:w="1361" w:type="dxa"/>
            <w:vAlign w:val="center"/>
          </w:tcPr>
          <w:p>
            <w:pPr>
              <w:pStyle w:val="11"/>
            </w:pPr>
          </w:p>
        </w:tc>
        <w:tc>
          <w:tcPr>
            <w:tcW w:w="1361" w:type="dxa"/>
            <w:vAlign w:val="center"/>
          </w:tcPr>
          <w:p>
            <w:pPr>
              <w:pStyle w:val="11"/>
            </w:pPr>
            <w:r>
              <w:t>2317.52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rPr>
                <w:rFonts w:hint="default"/>
                <w:lang w:val="en-US"/>
              </w:rPr>
              <w:t>150</w:t>
            </w:r>
            <w:r>
              <w:t>.00</w:t>
            </w:r>
          </w:p>
        </w:tc>
        <w:tc>
          <w:tcPr>
            <w:tcW w:w="1361" w:type="dxa"/>
            <w:vAlign w:val="center"/>
          </w:tcPr>
          <w:p>
            <w:pPr>
              <w:pStyle w:val="11"/>
            </w:pPr>
          </w:p>
        </w:tc>
        <w:tc>
          <w:tcPr>
            <w:tcW w:w="1361" w:type="dxa"/>
            <w:vAlign w:val="center"/>
          </w:tcPr>
          <w:p>
            <w:pPr>
              <w:pStyle w:val="11"/>
            </w:pPr>
            <w:r>
              <w:rPr>
                <w:rFonts w:hint="default"/>
                <w:lang w:val="en-US"/>
              </w:rPr>
              <w:t>150</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2121301</w:t>
            </w:r>
          </w:p>
        </w:tc>
        <w:tc>
          <w:tcPr>
            <w:tcW w:w="4535" w:type="dxa"/>
            <w:vAlign w:val="center"/>
          </w:tcPr>
          <w:p>
            <w:pPr>
              <w:pStyle w:val="12"/>
            </w:pPr>
            <w:r>
              <w:t>城市公共设施</w:t>
            </w:r>
          </w:p>
        </w:tc>
        <w:tc>
          <w:tcPr>
            <w:tcW w:w="1361" w:type="dxa"/>
            <w:vAlign w:val="center"/>
          </w:tcPr>
          <w:p>
            <w:pPr>
              <w:pStyle w:val="11"/>
            </w:pPr>
            <w:r>
              <w:rPr>
                <w:rFonts w:hint="default"/>
                <w:lang w:val="en-US"/>
              </w:rPr>
              <w:t>150</w:t>
            </w:r>
            <w:r>
              <w:t>.00</w:t>
            </w:r>
          </w:p>
        </w:tc>
        <w:tc>
          <w:tcPr>
            <w:tcW w:w="1361" w:type="dxa"/>
            <w:vAlign w:val="center"/>
          </w:tcPr>
          <w:p>
            <w:pPr>
              <w:pStyle w:val="11"/>
            </w:pPr>
          </w:p>
        </w:tc>
        <w:tc>
          <w:tcPr>
            <w:tcW w:w="1361" w:type="dxa"/>
            <w:vAlign w:val="center"/>
          </w:tcPr>
          <w:p>
            <w:pPr>
              <w:pStyle w:val="11"/>
            </w:pPr>
            <w:r>
              <w:rPr>
                <w:rFonts w:hint="default"/>
                <w:lang w:val="en-US"/>
              </w:rPr>
              <w:t>150</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246.28</w:t>
            </w:r>
          </w:p>
        </w:tc>
        <w:tc>
          <w:tcPr>
            <w:tcW w:w="1361" w:type="dxa"/>
            <w:vAlign w:val="center"/>
          </w:tcPr>
          <w:p>
            <w:pPr>
              <w:pStyle w:val="11"/>
            </w:pPr>
            <w:r>
              <w:t>246.28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246.28</w:t>
            </w:r>
          </w:p>
        </w:tc>
        <w:tc>
          <w:tcPr>
            <w:tcW w:w="1361" w:type="dxa"/>
            <w:vAlign w:val="center"/>
          </w:tcPr>
          <w:p>
            <w:pPr>
              <w:pStyle w:val="11"/>
            </w:pPr>
            <w:r>
              <w:t>246.28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246.28</w:t>
            </w:r>
          </w:p>
        </w:tc>
        <w:tc>
          <w:tcPr>
            <w:tcW w:w="1361" w:type="dxa"/>
            <w:vAlign w:val="center"/>
          </w:tcPr>
          <w:p>
            <w:pPr>
              <w:pStyle w:val="11"/>
            </w:pPr>
            <w:r>
              <w:t>246.28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6744.46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rPr>
                <w:rFonts w:hint="default"/>
                <w:lang w:val="en-US"/>
              </w:rPr>
              <w:t>850</w:t>
            </w:r>
            <w:r>
              <w:t>.00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710.52</w:t>
            </w:r>
          </w:p>
        </w:tc>
        <w:tc>
          <w:tcPr>
            <w:tcW w:w="1474" w:type="dxa"/>
            <w:vAlign w:val="center"/>
          </w:tcPr>
          <w:p>
            <w:pPr>
              <w:pStyle w:val="11"/>
            </w:pPr>
            <w:r>
              <w:t>710.52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97.65</w:t>
            </w:r>
          </w:p>
        </w:tc>
        <w:tc>
          <w:tcPr>
            <w:tcW w:w="1474" w:type="dxa"/>
            <w:vAlign w:val="center"/>
          </w:tcPr>
          <w:p>
            <w:pPr>
              <w:pStyle w:val="11"/>
            </w:pPr>
            <w:r>
              <w:t>97.65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rPr>
                <w:rFonts w:hint="default"/>
                <w:lang w:val="en-US"/>
              </w:rPr>
              <w:t>8040</w:t>
            </w:r>
            <w:r>
              <w:t>.01</w:t>
            </w:r>
          </w:p>
        </w:tc>
        <w:tc>
          <w:tcPr>
            <w:tcW w:w="1474" w:type="dxa"/>
            <w:vAlign w:val="center"/>
          </w:tcPr>
          <w:p>
            <w:pPr>
              <w:pStyle w:val="11"/>
            </w:pPr>
            <w:r>
              <w:t>7190.01</w:t>
            </w:r>
          </w:p>
        </w:tc>
        <w:tc>
          <w:tcPr>
            <w:tcW w:w="1474" w:type="dxa"/>
            <w:vAlign w:val="center"/>
          </w:tcPr>
          <w:p>
            <w:pPr>
              <w:pStyle w:val="11"/>
            </w:pPr>
            <w:r>
              <w:rPr>
                <w:rFonts w:hint="default"/>
                <w:lang w:val="en-US"/>
              </w:rPr>
              <w:t>850</w:t>
            </w:r>
            <w:r>
              <w:t>.00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246.28</w:t>
            </w:r>
          </w:p>
        </w:tc>
        <w:tc>
          <w:tcPr>
            <w:tcW w:w="1474" w:type="dxa"/>
            <w:vAlign w:val="center"/>
          </w:tcPr>
          <w:p>
            <w:pPr>
              <w:pStyle w:val="11"/>
            </w:pPr>
            <w:r>
              <w:t>246.28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w:t>
            </w:r>
            <w:r>
              <w:rPr>
                <w:rFonts w:hint="default"/>
                <w:lang w:val="en-US"/>
              </w:rPr>
              <w:t>594</w:t>
            </w:r>
            <w:r>
              <w:t>.46</w:t>
            </w:r>
          </w:p>
        </w:tc>
        <w:tc>
          <w:tcPr>
            <w:tcW w:w="3402" w:type="dxa"/>
            <w:vAlign w:val="center"/>
          </w:tcPr>
          <w:p>
            <w:pPr>
              <w:pStyle w:val="14"/>
            </w:pPr>
            <w:r>
              <w:t>本年支出合计</w:t>
            </w:r>
          </w:p>
        </w:tc>
        <w:tc>
          <w:tcPr>
            <w:tcW w:w="1474" w:type="dxa"/>
            <w:vAlign w:val="center"/>
          </w:tcPr>
          <w:p>
            <w:pPr>
              <w:pStyle w:val="15"/>
            </w:pPr>
            <w:r>
              <w:rPr>
                <w:rFonts w:hint="default"/>
                <w:lang w:val="en-US"/>
              </w:rPr>
              <w:t>9094</w:t>
            </w:r>
            <w:r>
              <w:t>.46</w:t>
            </w:r>
          </w:p>
        </w:tc>
        <w:tc>
          <w:tcPr>
            <w:tcW w:w="1474" w:type="dxa"/>
            <w:vAlign w:val="center"/>
          </w:tcPr>
          <w:p>
            <w:pPr>
              <w:pStyle w:val="15"/>
            </w:pPr>
            <w:r>
              <w:t>8244.46</w:t>
            </w:r>
          </w:p>
        </w:tc>
        <w:tc>
          <w:tcPr>
            <w:tcW w:w="1474" w:type="dxa"/>
            <w:vAlign w:val="center"/>
          </w:tcPr>
          <w:p>
            <w:pPr>
              <w:pStyle w:val="15"/>
            </w:pPr>
            <w:r>
              <w:rPr>
                <w:rFonts w:hint="default"/>
                <w:lang w:val="en-US"/>
              </w:rPr>
              <w:t>850</w:t>
            </w:r>
            <w:r>
              <w:t>.00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1500.00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1500.00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w:t>
            </w:r>
            <w:r>
              <w:rPr>
                <w:rFonts w:hint="default"/>
                <w:lang w:val="en-US"/>
              </w:rPr>
              <w:t>094</w:t>
            </w:r>
            <w:r>
              <w:t>.46</w:t>
            </w:r>
          </w:p>
        </w:tc>
        <w:tc>
          <w:tcPr>
            <w:tcW w:w="3402" w:type="dxa"/>
            <w:vAlign w:val="center"/>
          </w:tcPr>
          <w:p>
            <w:pPr>
              <w:pStyle w:val="14"/>
            </w:pPr>
            <w:r>
              <w:t>支出总计</w:t>
            </w:r>
          </w:p>
        </w:tc>
        <w:tc>
          <w:tcPr>
            <w:tcW w:w="1474" w:type="dxa"/>
            <w:vAlign w:val="center"/>
          </w:tcPr>
          <w:p>
            <w:pPr>
              <w:pStyle w:val="15"/>
            </w:pPr>
            <w:r>
              <w:t>9</w:t>
            </w:r>
            <w:r>
              <w:rPr>
                <w:rFonts w:hint="default"/>
                <w:lang w:val="en-US"/>
              </w:rPr>
              <w:t>094</w:t>
            </w:r>
            <w:r>
              <w:t>.46</w:t>
            </w:r>
          </w:p>
        </w:tc>
        <w:tc>
          <w:tcPr>
            <w:tcW w:w="1474" w:type="dxa"/>
            <w:vAlign w:val="center"/>
          </w:tcPr>
          <w:p>
            <w:pPr>
              <w:pStyle w:val="15"/>
            </w:pPr>
            <w:r>
              <w:t>8244.46</w:t>
            </w:r>
          </w:p>
        </w:tc>
        <w:tc>
          <w:tcPr>
            <w:tcW w:w="1474" w:type="dxa"/>
            <w:vAlign w:val="center"/>
          </w:tcPr>
          <w:p>
            <w:pPr>
              <w:pStyle w:val="15"/>
            </w:pPr>
            <w:r>
              <w:rPr>
                <w:rFonts w:hint="default"/>
                <w:lang w:val="en-US"/>
              </w:rPr>
              <w:t>850</w:t>
            </w:r>
            <w:r>
              <w:t>.00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8244.46</w:t>
            </w:r>
          </w:p>
        </w:tc>
        <w:tc>
          <w:tcPr>
            <w:tcW w:w="2551" w:type="dxa"/>
            <w:vAlign w:val="center"/>
          </w:tcPr>
          <w:p>
            <w:pPr>
              <w:pStyle w:val="15"/>
            </w:pPr>
            <w:r>
              <w:t>3689.99</w:t>
            </w:r>
          </w:p>
        </w:tc>
        <w:tc>
          <w:tcPr>
            <w:tcW w:w="2551" w:type="dxa"/>
            <w:vAlign w:val="center"/>
          </w:tcPr>
          <w:p>
            <w:pPr>
              <w:pStyle w:val="15"/>
            </w:pPr>
            <w:r>
              <w:t>4554.48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710.52</w:t>
            </w:r>
          </w:p>
        </w:tc>
        <w:tc>
          <w:tcPr>
            <w:tcW w:w="2551" w:type="dxa"/>
            <w:vAlign w:val="center"/>
          </w:tcPr>
          <w:p>
            <w:pPr>
              <w:pStyle w:val="11"/>
            </w:pPr>
            <w:r>
              <w:t>625.69</w:t>
            </w:r>
          </w:p>
        </w:tc>
        <w:tc>
          <w:tcPr>
            <w:tcW w:w="2551" w:type="dxa"/>
            <w:vAlign w:val="center"/>
          </w:tcPr>
          <w:p>
            <w:pPr>
              <w:pStyle w:val="11"/>
            </w:pPr>
            <w:r>
              <w:t>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625.69</w:t>
            </w:r>
          </w:p>
        </w:tc>
        <w:tc>
          <w:tcPr>
            <w:tcW w:w="2551" w:type="dxa"/>
            <w:vAlign w:val="center"/>
          </w:tcPr>
          <w:p>
            <w:pPr>
              <w:pStyle w:val="11"/>
            </w:pPr>
            <w:r>
              <w:t>625.69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191.98</w:t>
            </w:r>
          </w:p>
        </w:tc>
        <w:tc>
          <w:tcPr>
            <w:tcW w:w="2551" w:type="dxa"/>
            <w:vAlign w:val="center"/>
          </w:tcPr>
          <w:p>
            <w:pPr>
              <w:pStyle w:val="11"/>
            </w:pPr>
            <w:r>
              <w:t>191.98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299.34</w:t>
            </w:r>
          </w:p>
        </w:tc>
        <w:tc>
          <w:tcPr>
            <w:tcW w:w="2551" w:type="dxa"/>
            <w:vAlign w:val="center"/>
          </w:tcPr>
          <w:p>
            <w:pPr>
              <w:pStyle w:val="11"/>
            </w:pPr>
            <w:r>
              <w:t>299.34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134.37</w:t>
            </w:r>
          </w:p>
        </w:tc>
        <w:tc>
          <w:tcPr>
            <w:tcW w:w="2551" w:type="dxa"/>
            <w:vAlign w:val="center"/>
          </w:tcPr>
          <w:p>
            <w:pPr>
              <w:pStyle w:val="11"/>
            </w:pPr>
            <w:r>
              <w:t>134.37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84.83</w:t>
            </w:r>
          </w:p>
        </w:tc>
        <w:tc>
          <w:tcPr>
            <w:tcW w:w="2551" w:type="dxa"/>
            <w:vAlign w:val="center"/>
          </w:tcPr>
          <w:p>
            <w:pPr>
              <w:pStyle w:val="11"/>
            </w:pPr>
          </w:p>
        </w:tc>
        <w:tc>
          <w:tcPr>
            <w:tcW w:w="2551" w:type="dxa"/>
            <w:vAlign w:val="center"/>
          </w:tcPr>
          <w:p>
            <w:pPr>
              <w:pStyle w:val="11"/>
            </w:pPr>
            <w:r>
              <w:t>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84.83</w:t>
            </w:r>
          </w:p>
        </w:tc>
        <w:tc>
          <w:tcPr>
            <w:tcW w:w="2551" w:type="dxa"/>
            <w:vAlign w:val="center"/>
          </w:tcPr>
          <w:p>
            <w:pPr>
              <w:pStyle w:val="11"/>
            </w:pPr>
          </w:p>
        </w:tc>
        <w:tc>
          <w:tcPr>
            <w:tcW w:w="2551" w:type="dxa"/>
            <w:vAlign w:val="center"/>
          </w:tcPr>
          <w:p>
            <w:pPr>
              <w:pStyle w:val="11"/>
            </w:pPr>
            <w:r>
              <w:t>84.83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97.65</w:t>
            </w:r>
          </w:p>
        </w:tc>
        <w:tc>
          <w:tcPr>
            <w:tcW w:w="2551" w:type="dxa"/>
            <w:vAlign w:val="center"/>
          </w:tcPr>
          <w:p>
            <w:pPr>
              <w:pStyle w:val="11"/>
            </w:pPr>
            <w:r>
              <w:t>97.65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97.65</w:t>
            </w:r>
          </w:p>
        </w:tc>
        <w:tc>
          <w:tcPr>
            <w:tcW w:w="2551" w:type="dxa"/>
            <w:vAlign w:val="center"/>
          </w:tcPr>
          <w:p>
            <w:pPr>
              <w:pStyle w:val="11"/>
            </w:pPr>
            <w:r>
              <w:t>97.65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97.65</w:t>
            </w:r>
          </w:p>
        </w:tc>
        <w:tc>
          <w:tcPr>
            <w:tcW w:w="2551" w:type="dxa"/>
            <w:vAlign w:val="center"/>
          </w:tcPr>
          <w:p>
            <w:pPr>
              <w:pStyle w:val="11"/>
            </w:pPr>
            <w:r>
              <w:t>97.65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7190.01</w:t>
            </w:r>
          </w:p>
        </w:tc>
        <w:tc>
          <w:tcPr>
            <w:tcW w:w="2551" w:type="dxa"/>
            <w:vAlign w:val="center"/>
          </w:tcPr>
          <w:p>
            <w:pPr>
              <w:pStyle w:val="11"/>
            </w:pPr>
            <w:r>
              <w:t>2720.36</w:t>
            </w:r>
          </w:p>
        </w:tc>
        <w:tc>
          <w:tcPr>
            <w:tcW w:w="2551" w:type="dxa"/>
            <w:vAlign w:val="center"/>
          </w:tcPr>
          <w:p>
            <w:pPr>
              <w:pStyle w:val="11"/>
            </w:pPr>
            <w:r>
              <w:t>4469.65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3372.49</w:t>
            </w:r>
          </w:p>
        </w:tc>
        <w:tc>
          <w:tcPr>
            <w:tcW w:w="2551" w:type="dxa"/>
            <w:vAlign w:val="center"/>
          </w:tcPr>
          <w:p>
            <w:pPr>
              <w:pStyle w:val="11"/>
            </w:pPr>
            <w:r>
              <w:t>2720.36</w:t>
            </w:r>
          </w:p>
        </w:tc>
        <w:tc>
          <w:tcPr>
            <w:tcW w:w="2551" w:type="dxa"/>
            <w:vAlign w:val="center"/>
          </w:tcPr>
          <w:p>
            <w:pPr>
              <w:pStyle w:val="11"/>
            </w:pPr>
            <w:r>
              <w:t>652.13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3372.49</w:t>
            </w:r>
          </w:p>
        </w:tc>
        <w:tc>
          <w:tcPr>
            <w:tcW w:w="2551" w:type="dxa"/>
            <w:vAlign w:val="center"/>
          </w:tcPr>
          <w:p>
            <w:pPr>
              <w:pStyle w:val="11"/>
            </w:pPr>
            <w:r>
              <w:t>2720.36</w:t>
            </w:r>
          </w:p>
        </w:tc>
        <w:tc>
          <w:tcPr>
            <w:tcW w:w="2551" w:type="dxa"/>
            <w:vAlign w:val="center"/>
          </w:tcPr>
          <w:p>
            <w:pPr>
              <w:pStyle w:val="11"/>
            </w:pPr>
            <w:r>
              <w:t>652.13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2317.52</w:t>
            </w:r>
          </w:p>
        </w:tc>
        <w:tc>
          <w:tcPr>
            <w:tcW w:w="2551" w:type="dxa"/>
            <w:vAlign w:val="center"/>
          </w:tcPr>
          <w:p>
            <w:pPr>
              <w:pStyle w:val="11"/>
            </w:pPr>
          </w:p>
        </w:tc>
        <w:tc>
          <w:tcPr>
            <w:tcW w:w="2551" w:type="dxa"/>
            <w:vAlign w:val="center"/>
          </w:tcPr>
          <w:p>
            <w:pPr>
              <w:pStyle w:val="11"/>
            </w:pPr>
            <w:r>
              <w:t>2317.52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2317.52</w:t>
            </w:r>
          </w:p>
        </w:tc>
        <w:tc>
          <w:tcPr>
            <w:tcW w:w="2551" w:type="dxa"/>
            <w:vAlign w:val="center"/>
          </w:tcPr>
          <w:p>
            <w:pPr>
              <w:pStyle w:val="11"/>
            </w:pPr>
          </w:p>
        </w:tc>
        <w:tc>
          <w:tcPr>
            <w:tcW w:w="2551" w:type="dxa"/>
            <w:vAlign w:val="center"/>
          </w:tcPr>
          <w:p>
            <w:pPr>
              <w:pStyle w:val="11"/>
            </w:pPr>
            <w:r>
              <w:t>2317.52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246.28</w:t>
            </w:r>
          </w:p>
        </w:tc>
        <w:tc>
          <w:tcPr>
            <w:tcW w:w="2551" w:type="dxa"/>
            <w:vAlign w:val="center"/>
          </w:tcPr>
          <w:p>
            <w:pPr>
              <w:pStyle w:val="11"/>
            </w:pPr>
            <w:r>
              <w:t>246.28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246.28</w:t>
            </w:r>
          </w:p>
        </w:tc>
        <w:tc>
          <w:tcPr>
            <w:tcW w:w="2551" w:type="dxa"/>
            <w:vAlign w:val="center"/>
          </w:tcPr>
          <w:p>
            <w:pPr>
              <w:pStyle w:val="11"/>
            </w:pPr>
            <w:r>
              <w:t>246.28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246.28</w:t>
            </w:r>
          </w:p>
        </w:tc>
        <w:tc>
          <w:tcPr>
            <w:tcW w:w="2551" w:type="dxa"/>
            <w:vAlign w:val="center"/>
          </w:tcPr>
          <w:p>
            <w:pPr>
              <w:pStyle w:val="11"/>
            </w:pPr>
            <w:r>
              <w:t>246.28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3689.99</w:t>
            </w:r>
          </w:p>
        </w:tc>
        <w:tc>
          <w:tcPr>
            <w:tcW w:w="2551" w:type="dxa"/>
            <w:vAlign w:val="center"/>
          </w:tcPr>
          <w:p>
            <w:pPr>
              <w:pStyle w:val="15"/>
            </w:pPr>
            <w:r>
              <w:t>3486.08</w:t>
            </w:r>
          </w:p>
        </w:tc>
        <w:tc>
          <w:tcPr>
            <w:tcW w:w="2551" w:type="dxa"/>
            <w:vAlign w:val="center"/>
          </w:tcPr>
          <w:p>
            <w:pPr>
              <w:pStyle w:val="15"/>
            </w:pPr>
            <w:r>
              <w:t>203.90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3215.78</w:t>
            </w:r>
          </w:p>
        </w:tc>
        <w:tc>
          <w:tcPr>
            <w:tcW w:w="2551" w:type="dxa"/>
            <w:vAlign w:val="center"/>
          </w:tcPr>
          <w:p>
            <w:pPr>
              <w:pStyle w:val="11"/>
            </w:pPr>
            <w:r>
              <w:t>3215.78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840.26</w:t>
            </w:r>
          </w:p>
        </w:tc>
        <w:tc>
          <w:tcPr>
            <w:tcW w:w="2551" w:type="dxa"/>
            <w:vAlign w:val="center"/>
          </w:tcPr>
          <w:p>
            <w:pPr>
              <w:pStyle w:val="11"/>
            </w:pPr>
            <w:r>
              <w:t>840.26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208.96</w:t>
            </w:r>
          </w:p>
        </w:tc>
        <w:tc>
          <w:tcPr>
            <w:tcW w:w="2551" w:type="dxa"/>
            <w:vAlign w:val="center"/>
          </w:tcPr>
          <w:p>
            <w:pPr>
              <w:pStyle w:val="11"/>
            </w:pPr>
            <w:r>
              <w:t>208.96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38.81</w:t>
            </w:r>
          </w:p>
        </w:tc>
        <w:tc>
          <w:tcPr>
            <w:tcW w:w="2551" w:type="dxa"/>
            <w:vAlign w:val="center"/>
          </w:tcPr>
          <w:p>
            <w:pPr>
              <w:pStyle w:val="11"/>
            </w:pPr>
            <w:r>
              <w:t>38.81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1057.71</w:t>
            </w:r>
          </w:p>
        </w:tc>
        <w:tc>
          <w:tcPr>
            <w:tcW w:w="2551" w:type="dxa"/>
            <w:vAlign w:val="center"/>
          </w:tcPr>
          <w:p>
            <w:pPr>
              <w:pStyle w:val="11"/>
            </w:pPr>
            <w:r>
              <w:t>1057.71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299.34</w:t>
            </w:r>
          </w:p>
        </w:tc>
        <w:tc>
          <w:tcPr>
            <w:tcW w:w="2551" w:type="dxa"/>
            <w:vAlign w:val="center"/>
          </w:tcPr>
          <w:p>
            <w:pPr>
              <w:pStyle w:val="11"/>
            </w:pPr>
            <w:r>
              <w:t>299.34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134.37</w:t>
            </w:r>
          </w:p>
        </w:tc>
        <w:tc>
          <w:tcPr>
            <w:tcW w:w="2551" w:type="dxa"/>
            <w:vAlign w:val="center"/>
          </w:tcPr>
          <w:p>
            <w:pPr>
              <w:pStyle w:val="11"/>
            </w:pPr>
            <w:r>
              <w:t>134.37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97.65</w:t>
            </w:r>
          </w:p>
        </w:tc>
        <w:tc>
          <w:tcPr>
            <w:tcW w:w="2551" w:type="dxa"/>
            <w:vAlign w:val="center"/>
          </w:tcPr>
          <w:p>
            <w:pPr>
              <w:pStyle w:val="11"/>
            </w:pPr>
            <w:r>
              <w:t>97.65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17.26</w:t>
            </w:r>
          </w:p>
        </w:tc>
        <w:tc>
          <w:tcPr>
            <w:tcW w:w="2551" w:type="dxa"/>
            <w:vAlign w:val="center"/>
          </w:tcPr>
          <w:p>
            <w:pPr>
              <w:pStyle w:val="11"/>
            </w:pPr>
            <w:r>
              <w:t>17.26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246.28</w:t>
            </w:r>
          </w:p>
        </w:tc>
        <w:tc>
          <w:tcPr>
            <w:tcW w:w="2551" w:type="dxa"/>
            <w:vAlign w:val="center"/>
          </w:tcPr>
          <w:p>
            <w:pPr>
              <w:pStyle w:val="11"/>
            </w:pPr>
            <w:r>
              <w:t>246.28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275.14</w:t>
            </w:r>
          </w:p>
        </w:tc>
        <w:tc>
          <w:tcPr>
            <w:tcW w:w="2551" w:type="dxa"/>
            <w:vAlign w:val="center"/>
          </w:tcPr>
          <w:p>
            <w:pPr>
              <w:pStyle w:val="11"/>
            </w:pPr>
            <w:r>
              <w:t>275.14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202.90</w:t>
            </w:r>
          </w:p>
        </w:tc>
        <w:tc>
          <w:tcPr>
            <w:tcW w:w="2551" w:type="dxa"/>
            <w:vAlign w:val="center"/>
          </w:tcPr>
          <w:p>
            <w:pPr>
              <w:pStyle w:val="11"/>
            </w:pPr>
          </w:p>
        </w:tc>
        <w:tc>
          <w:tcPr>
            <w:tcW w:w="2551" w:type="dxa"/>
            <w:vAlign w:val="center"/>
          </w:tcPr>
          <w:p>
            <w:pPr>
              <w:pStyle w:val="11"/>
            </w:pPr>
            <w:r>
              <w:t>202.90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64.45</w:t>
            </w:r>
          </w:p>
        </w:tc>
        <w:tc>
          <w:tcPr>
            <w:tcW w:w="2551" w:type="dxa"/>
            <w:vAlign w:val="center"/>
          </w:tcPr>
          <w:p>
            <w:pPr>
              <w:pStyle w:val="11"/>
            </w:pPr>
          </w:p>
        </w:tc>
        <w:tc>
          <w:tcPr>
            <w:tcW w:w="2551" w:type="dxa"/>
            <w:vAlign w:val="center"/>
          </w:tcPr>
          <w:p>
            <w:pPr>
              <w:pStyle w:val="11"/>
            </w:pPr>
            <w:r>
              <w:t>64.45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6.89</w:t>
            </w:r>
          </w:p>
        </w:tc>
        <w:tc>
          <w:tcPr>
            <w:tcW w:w="2551" w:type="dxa"/>
            <w:vAlign w:val="center"/>
          </w:tcPr>
          <w:p>
            <w:pPr>
              <w:pStyle w:val="11"/>
            </w:pPr>
          </w:p>
        </w:tc>
        <w:tc>
          <w:tcPr>
            <w:tcW w:w="2551" w:type="dxa"/>
            <w:vAlign w:val="center"/>
          </w:tcPr>
          <w:p>
            <w:pPr>
              <w:pStyle w:val="11"/>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12.67</w:t>
            </w:r>
          </w:p>
        </w:tc>
        <w:tc>
          <w:tcPr>
            <w:tcW w:w="2551" w:type="dxa"/>
            <w:vAlign w:val="center"/>
          </w:tcPr>
          <w:p>
            <w:pPr>
              <w:pStyle w:val="11"/>
            </w:pPr>
          </w:p>
        </w:tc>
        <w:tc>
          <w:tcPr>
            <w:tcW w:w="2551" w:type="dxa"/>
            <w:vAlign w:val="center"/>
          </w:tcPr>
          <w:p>
            <w:pPr>
              <w:pStyle w:val="11"/>
            </w:pPr>
            <w:r>
              <w:t>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29.82</w:t>
            </w:r>
          </w:p>
        </w:tc>
        <w:tc>
          <w:tcPr>
            <w:tcW w:w="2551" w:type="dxa"/>
            <w:vAlign w:val="center"/>
          </w:tcPr>
          <w:p>
            <w:pPr>
              <w:pStyle w:val="11"/>
            </w:pPr>
          </w:p>
        </w:tc>
        <w:tc>
          <w:tcPr>
            <w:tcW w:w="2551" w:type="dxa"/>
            <w:vAlign w:val="center"/>
          </w:tcPr>
          <w:p>
            <w:pPr>
              <w:pStyle w:val="11"/>
            </w:pPr>
            <w:r>
              <w:t>29.82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23.09</w:t>
            </w:r>
          </w:p>
        </w:tc>
        <w:tc>
          <w:tcPr>
            <w:tcW w:w="2551" w:type="dxa"/>
            <w:vAlign w:val="center"/>
          </w:tcPr>
          <w:p>
            <w:pPr>
              <w:pStyle w:val="11"/>
            </w:pPr>
          </w:p>
        </w:tc>
        <w:tc>
          <w:tcPr>
            <w:tcW w:w="2551" w:type="dxa"/>
            <w:vAlign w:val="center"/>
          </w:tcPr>
          <w:p>
            <w:pPr>
              <w:pStyle w:val="11"/>
            </w:pPr>
            <w:r>
              <w:t>23.09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55.89</w:t>
            </w:r>
          </w:p>
        </w:tc>
        <w:tc>
          <w:tcPr>
            <w:tcW w:w="2551" w:type="dxa"/>
            <w:vAlign w:val="center"/>
          </w:tcPr>
          <w:p>
            <w:pPr>
              <w:pStyle w:val="11"/>
            </w:pPr>
          </w:p>
        </w:tc>
        <w:tc>
          <w:tcPr>
            <w:tcW w:w="2551" w:type="dxa"/>
            <w:vAlign w:val="center"/>
          </w:tcPr>
          <w:p>
            <w:pPr>
              <w:pStyle w:val="11"/>
            </w:pPr>
            <w:r>
              <w:t>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8.28</w:t>
            </w:r>
          </w:p>
        </w:tc>
        <w:tc>
          <w:tcPr>
            <w:tcW w:w="2551" w:type="dxa"/>
            <w:vAlign w:val="center"/>
          </w:tcPr>
          <w:p>
            <w:pPr>
              <w:pStyle w:val="11"/>
            </w:pPr>
          </w:p>
        </w:tc>
        <w:tc>
          <w:tcPr>
            <w:tcW w:w="2551" w:type="dxa"/>
            <w:vAlign w:val="center"/>
          </w:tcPr>
          <w:p>
            <w:pPr>
              <w:pStyle w:val="11"/>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1.82</w:t>
            </w:r>
          </w:p>
        </w:tc>
        <w:tc>
          <w:tcPr>
            <w:tcW w:w="2551" w:type="dxa"/>
            <w:vAlign w:val="center"/>
          </w:tcPr>
          <w:p>
            <w:pPr>
              <w:pStyle w:val="11"/>
            </w:pPr>
          </w:p>
        </w:tc>
        <w:tc>
          <w:tcPr>
            <w:tcW w:w="2551" w:type="dxa"/>
            <w:vAlign w:val="center"/>
          </w:tcPr>
          <w:p>
            <w:pPr>
              <w:pStyle w:val="11"/>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270.30</w:t>
            </w:r>
          </w:p>
        </w:tc>
        <w:tc>
          <w:tcPr>
            <w:tcW w:w="2551" w:type="dxa"/>
            <w:vAlign w:val="center"/>
          </w:tcPr>
          <w:p>
            <w:pPr>
              <w:pStyle w:val="11"/>
            </w:pPr>
            <w:r>
              <w:t>270.30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191.53</w:t>
            </w:r>
          </w:p>
        </w:tc>
        <w:tc>
          <w:tcPr>
            <w:tcW w:w="2551" w:type="dxa"/>
            <w:vAlign w:val="center"/>
          </w:tcPr>
          <w:p>
            <w:pPr>
              <w:pStyle w:val="11"/>
            </w:pPr>
            <w:r>
              <w:t>191.53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1.82</w:t>
            </w:r>
          </w:p>
        </w:tc>
        <w:tc>
          <w:tcPr>
            <w:tcW w:w="2551" w:type="dxa"/>
            <w:vAlign w:val="center"/>
          </w:tcPr>
          <w:p>
            <w:pPr>
              <w:pStyle w:val="11"/>
            </w:pPr>
            <w:r>
              <w:t>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0.19</w:t>
            </w:r>
          </w:p>
        </w:tc>
        <w:tc>
          <w:tcPr>
            <w:tcW w:w="2551" w:type="dxa"/>
            <w:vAlign w:val="center"/>
          </w:tcPr>
          <w:p>
            <w:pPr>
              <w:pStyle w:val="11"/>
            </w:pPr>
            <w:r>
              <w:t>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76.76</w:t>
            </w:r>
          </w:p>
        </w:tc>
        <w:tc>
          <w:tcPr>
            <w:tcW w:w="2551" w:type="dxa"/>
            <w:vAlign w:val="center"/>
          </w:tcPr>
          <w:p>
            <w:pPr>
              <w:pStyle w:val="11"/>
            </w:pPr>
            <w:r>
              <w:t>76.76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default"/>
                <w:lang w:val="en-US"/>
              </w:rPr>
              <w:t>850</w:t>
            </w:r>
            <w:r>
              <w:t>.00</w:t>
            </w:r>
          </w:p>
        </w:tc>
        <w:tc>
          <w:tcPr>
            <w:tcW w:w="2551" w:type="dxa"/>
            <w:vAlign w:val="center"/>
          </w:tcPr>
          <w:p>
            <w:pPr>
              <w:pStyle w:val="15"/>
            </w:pPr>
          </w:p>
        </w:tc>
        <w:tc>
          <w:tcPr>
            <w:tcW w:w="2551" w:type="dxa"/>
            <w:vAlign w:val="center"/>
          </w:tcPr>
          <w:p>
            <w:pPr>
              <w:pStyle w:val="15"/>
            </w:pPr>
            <w:r>
              <w:rPr>
                <w:rFonts w:hint="default"/>
                <w:lang w:val="en-US"/>
              </w:rPr>
              <w:t>850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rPr>
                <w:rFonts w:hint="default"/>
                <w:lang w:val="en-US"/>
              </w:rPr>
              <w:t>850</w:t>
            </w:r>
            <w:r>
              <w:t>.00</w:t>
            </w:r>
          </w:p>
        </w:tc>
        <w:tc>
          <w:tcPr>
            <w:tcW w:w="2551" w:type="dxa"/>
            <w:vAlign w:val="center"/>
          </w:tcPr>
          <w:p>
            <w:pPr>
              <w:pStyle w:val="11"/>
            </w:pPr>
          </w:p>
        </w:tc>
        <w:tc>
          <w:tcPr>
            <w:tcW w:w="2551" w:type="dxa"/>
            <w:vAlign w:val="center"/>
          </w:tcPr>
          <w:p>
            <w:pPr>
              <w:pStyle w:val="11"/>
            </w:pPr>
            <w:r>
              <w:rPr>
                <w:rFonts w:hint="default"/>
                <w:lang w:val="en-US"/>
              </w:rPr>
              <w:t>850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rPr>
                <w:rFonts w:hint="default"/>
                <w:lang w:val="en-US"/>
              </w:rPr>
              <w:t>150</w:t>
            </w:r>
            <w:r>
              <w:t>.00</w:t>
            </w:r>
          </w:p>
        </w:tc>
        <w:tc>
          <w:tcPr>
            <w:tcW w:w="2551" w:type="dxa"/>
            <w:vAlign w:val="center"/>
          </w:tcPr>
          <w:p>
            <w:pPr>
              <w:pStyle w:val="11"/>
            </w:pPr>
          </w:p>
        </w:tc>
        <w:tc>
          <w:tcPr>
            <w:tcW w:w="2551" w:type="dxa"/>
            <w:vAlign w:val="center"/>
          </w:tcPr>
          <w:p>
            <w:pPr>
              <w:pStyle w:val="11"/>
            </w:pPr>
            <w:r>
              <w:rPr>
                <w:rFonts w:hint="default"/>
                <w:lang w:val="en-US"/>
              </w:rPr>
              <w:t>150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2121301</w:t>
            </w:r>
          </w:p>
        </w:tc>
        <w:tc>
          <w:tcPr>
            <w:tcW w:w="4535" w:type="dxa"/>
            <w:vAlign w:val="center"/>
          </w:tcPr>
          <w:p>
            <w:pPr>
              <w:pStyle w:val="12"/>
            </w:pPr>
            <w:r>
              <w:t>城市公共设施</w:t>
            </w:r>
          </w:p>
        </w:tc>
        <w:tc>
          <w:tcPr>
            <w:tcW w:w="2551" w:type="dxa"/>
            <w:vAlign w:val="center"/>
          </w:tcPr>
          <w:p>
            <w:pPr>
              <w:pStyle w:val="11"/>
            </w:pPr>
            <w:r>
              <w:rPr>
                <w:rFonts w:hint="default"/>
                <w:lang w:val="en-US"/>
              </w:rPr>
              <w:t>150</w:t>
            </w:r>
            <w:r>
              <w:t>.00</w:t>
            </w:r>
          </w:p>
        </w:tc>
        <w:tc>
          <w:tcPr>
            <w:tcW w:w="2551" w:type="dxa"/>
            <w:vAlign w:val="center"/>
          </w:tcPr>
          <w:p>
            <w:pPr>
              <w:pStyle w:val="11"/>
            </w:pPr>
          </w:p>
        </w:tc>
        <w:tc>
          <w:tcPr>
            <w:tcW w:w="2551" w:type="dxa"/>
            <w:vAlign w:val="center"/>
          </w:tcPr>
          <w:p>
            <w:pPr>
              <w:pStyle w:val="11"/>
            </w:pPr>
            <w:r>
              <w:rPr>
                <w:rFonts w:hint="default"/>
                <w:lang w:val="en-US"/>
              </w:rPr>
              <w:t>150</w:t>
            </w:r>
            <w:r>
              <w:t>.00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55.89</w:t>
            </w:r>
          </w:p>
        </w:tc>
        <w:tc>
          <w:tcPr>
            <w:tcW w:w="2381" w:type="dxa"/>
            <w:vAlign w:val="center"/>
          </w:tcPr>
          <w:p>
            <w:pPr>
              <w:pStyle w:val="15"/>
            </w:pPr>
            <w:r>
              <w:t>55.89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55.89</w:t>
            </w:r>
          </w:p>
        </w:tc>
        <w:tc>
          <w:tcPr>
            <w:tcW w:w="2381" w:type="dxa"/>
            <w:vAlign w:val="center"/>
          </w:tcPr>
          <w:p>
            <w:pPr>
              <w:pStyle w:val="11"/>
            </w:pPr>
            <w:r>
              <w:t>55.89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55.89</w:t>
            </w:r>
          </w:p>
        </w:tc>
        <w:tc>
          <w:tcPr>
            <w:tcW w:w="2381" w:type="dxa"/>
            <w:vAlign w:val="center"/>
          </w:tcPr>
          <w:p>
            <w:pPr>
              <w:pStyle w:val="11"/>
            </w:pPr>
            <w:r>
              <w:t>55.89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55.89</w:t>
            </w:r>
          </w:p>
        </w:tc>
        <w:tc>
          <w:tcPr>
            <w:tcW w:w="2381" w:type="dxa"/>
            <w:vAlign w:val="center"/>
          </w:tcPr>
          <w:p>
            <w:pPr>
              <w:pStyle w:val="11"/>
            </w:pPr>
            <w:r>
              <w:t>55.89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保定市徐水区城市管理综合行政执法局本级2024年单位预算信息公开情况说明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《地方预决算公开操作规程》和《关于进一步推进预算公开工作的实施意见》规定，现将保定市徐水区城市管理综合行政执法局本级2024年单位预算公开如下：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 位 职 责</w:t>
      </w:r>
    </w:p>
    <w:p>
      <w:pPr>
        <w:pStyle w:val="17"/>
      </w:pPr>
      <w:r>
        <w:t>根据《保定市徐水区城市管理综合行政执法局职能配置、内设机构和人员编制规定》，保定市徐水区城市管理综合行政执法局的主要职责是：</w:t>
      </w:r>
    </w:p>
    <w:p>
      <w:pPr>
        <w:pStyle w:val="17"/>
      </w:pPr>
      <w:r>
        <w:t>（一）宣传贯彻国家和省、市有关城市管理的政策和法规；拟订和实施城市管理有关规定。</w:t>
      </w:r>
    </w:p>
    <w:p>
      <w:pPr>
        <w:pStyle w:val="17"/>
      </w:pPr>
      <w:r>
        <w:t>（二）负责全区城市管理工作的业务指导、组织协调、监督检查和考核评价。</w:t>
      </w:r>
    </w:p>
    <w:p>
      <w:pPr>
        <w:pStyle w:val="17"/>
      </w:pPr>
      <w:r>
        <w:t>（三）拟订和实施城市管理长期规划和年度计划，推进数字城管智慧化。</w:t>
      </w:r>
    </w:p>
    <w:p>
      <w:pPr>
        <w:pStyle w:val="17"/>
      </w:pPr>
      <w:r>
        <w:t>（四）负责城市道路、桥梁、照明、供水、排水、燃气、供热、污水和垃圾处理等市政公用设施运行管理、乡村道路的建设和维护、城市容貌和环境卫生管理、城市园林绿化管理等方面的全部工作。</w:t>
      </w:r>
    </w:p>
    <w:p>
      <w:pPr>
        <w:pStyle w:val="17"/>
      </w:pPr>
      <w:r>
        <w:t>（五）负责城市公共空间秩序管理方面的户外广告设置，门头牌匾外立面装修、“街道家具”管理工作。</w:t>
      </w:r>
    </w:p>
    <w:p>
      <w:pPr>
        <w:pStyle w:val="17"/>
      </w:pPr>
      <w:r>
        <w:t>（六）负责城市交通管理方面的便道（人行道）、广场（游园）车辆停放管理工作。</w:t>
      </w:r>
    </w:p>
    <w:p>
      <w:pPr>
        <w:pStyle w:val="17"/>
      </w:pPr>
      <w:r>
        <w:t>（七）负责城市环境保护管理方面的道路扬尘、露天烧烤整治工作。</w:t>
      </w:r>
    </w:p>
    <w:p>
      <w:pPr>
        <w:pStyle w:val="17"/>
      </w:pPr>
      <w:r>
        <w:t>（八）负责城市应急管理等方面的道路清融雪以及城市道路、桥梁、照明应急保障，供水、燃气、污水处理应急工作的指导工作。</w:t>
      </w:r>
    </w:p>
    <w:p>
      <w:pPr>
        <w:pStyle w:val="17"/>
      </w:pPr>
      <w:r>
        <w:t>（九）集中行使“与群众生产生活密切相关、执法频率高、多头执法扰民问题突出、专业技术要求适宜、与城市管理密切相关”的行政处罚权。</w:t>
      </w:r>
    </w:p>
    <w:p>
      <w:pPr>
        <w:pStyle w:val="17"/>
      </w:pPr>
      <w:r>
        <w:t>（十）承办市、区人民政府决定调整的城市管理领域的其他职责。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2"/>
            </w:pPr>
            <w:r>
              <w:t>保定市徐水区城市管理综合行政执法局本级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 xml:space="preserve">单位预算安排的总体情况 </w:t>
      </w:r>
    </w:p>
    <w:p>
      <w:pPr>
        <w:pStyle w:val="18"/>
      </w:pPr>
      <w:r>
        <w:rPr>
          <w:rFonts w:hint="eastAsia"/>
          <w:lang w:eastAsia="zh-CN"/>
        </w:rPr>
        <w:t>（</w:t>
      </w:r>
      <w:r>
        <w:rPr>
          <w:rFonts w:hint="eastAsia"/>
          <w:lang w:val="en-US" w:eastAsia="zh-CN"/>
        </w:rPr>
        <w:t>一</w:t>
      </w:r>
      <w:r>
        <w:rPr>
          <w:rFonts w:hint="eastAsia"/>
          <w:lang w:eastAsia="zh-CN"/>
        </w:rPr>
        <w:t>）</w:t>
      </w:r>
      <w:r>
        <w:t>、收入说明</w:t>
      </w:r>
    </w:p>
    <w:p>
      <w:pPr>
        <w:pStyle w:val="18"/>
      </w:pPr>
      <w:r>
        <w:t>反映本单位当年全部收入。2024年预算收入9094.46万元，其中：一般公共预算收入6744.46万元，基金预算收入850万元，国有资本经营预算收入0万元，财政专户核拨收入0万元，单位资金收入0万元，上年结转结余1500万元。</w:t>
      </w:r>
    </w:p>
    <w:p>
      <w:pPr>
        <w:pStyle w:val="18"/>
      </w:pPr>
      <w:r>
        <w:rPr>
          <w:rFonts w:hint="eastAsia"/>
          <w:lang w:eastAsia="zh-CN"/>
        </w:rPr>
        <w:t>（</w:t>
      </w:r>
      <w:r>
        <w:rPr>
          <w:rFonts w:hint="eastAsia"/>
          <w:lang w:val="en-US" w:eastAsia="zh-CN"/>
        </w:rPr>
        <w:t>二</w:t>
      </w:r>
      <w:r>
        <w:rPr>
          <w:rFonts w:hint="eastAsia"/>
          <w:lang w:eastAsia="zh-CN"/>
        </w:rPr>
        <w:t>）</w:t>
      </w:r>
      <w:r>
        <w:t>、支出说明</w:t>
      </w:r>
    </w:p>
    <w:p>
      <w:pPr>
        <w:pStyle w:val="18"/>
      </w:pPr>
      <w:r>
        <w:t>收支预算总表支出栏、基本支出表、项目支出表按经济分类和支出功能分类科目编制，反映保定市徐水城市管理综合行政执法局年度部门预算中支出预算的总体情况。2024年支出预算9094.46万元，其中基本支出3689.99万元，包括人员经费3486.08万元和日常公用经费203.90万元；项目支出5404.48万元，主要城区绿化养护项目和保安保洁费用等。</w:t>
      </w:r>
    </w:p>
    <w:p>
      <w:pPr>
        <w:pStyle w:val="18"/>
      </w:pPr>
      <w:r>
        <w:rPr>
          <w:rFonts w:hint="eastAsia"/>
          <w:lang w:eastAsia="zh-CN"/>
        </w:rPr>
        <w:t>（</w:t>
      </w:r>
      <w:r>
        <w:rPr>
          <w:rFonts w:hint="eastAsia"/>
          <w:lang w:val="en-US" w:eastAsia="zh-CN"/>
        </w:rPr>
        <w:t>三</w:t>
      </w:r>
      <w:r>
        <w:rPr>
          <w:rFonts w:hint="eastAsia"/>
          <w:lang w:eastAsia="zh-CN"/>
        </w:rPr>
        <w:t>）</w:t>
      </w:r>
      <w:r>
        <w:t>、比上年增减情况</w:t>
      </w:r>
      <w:bookmarkStart w:id="1" w:name="_GoBack"/>
      <w:bookmarkEnd w:id="1"/>
    </w:p>
    <w:p>
      <w:pPr>
        <w:pStyle w:val="18"/>
      </w:pPr>
      <w:r>
        <w:t>本年度预算收支安排9094.46万元，较上年减少1451.47万元。其中:基本支出减少407.16万元，主要原因是2023年预算中劳务派遣人员费用和网络租赁费用等项目在基本支出中，2024年预算在项目中；项目支出减少1044.31万元，主要原因是两个污水处理厂没有列入年初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机关运行经费安排情况</w:t>
      </w:r>
    </w:p>
    <w:p>
      <w:pPr>
        <w:pStyle w:val="19"/>
      </w:pPr>
      <w:r>
        <w:t>2024年我单位运行经费安排20</w:t>
      </w:r>
      <w:r>
        <w:rPr>
          <w:rFonts w:hint="default"/>
          <w:lang w:val="en-US"/>
        </w:rPr>
        <w:t>2</w:t>
      </w:r>
      <w:r>
        <w:t>.90万元，其中办公费64.45万元，邮电费</w:t>
      </w:r>
      <w:r>
        <w:rPr>
          <w:rFonts w:hint="default"/>
          <w:lang w:val="en-US"/>
        </w:rPr>
        <w:t>6.89</w:t>
      </w:r>
      <w:r>
        <w:t>万元，工会经费、福利费52.91万元，公务用车运行维护费55.89万元，其他支出</w:t>
      </w:r>
      <w:r>
        <w:rPr>
          <w:rFonts w:hint="default"/>
          <w:lang w:val="en-US"/>
        </w:rPr>
        <w:t>22.76</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财政拨款“三公”经费预算情况及增减变化原因</w:t>
      </w:r>
    </w:p>
    <w:p>
      <w:pPr>
        <w:pStyle w:val="20"/>
      </w:pPr>
      <w:r>
        <w:t>2024年，我</w:t>
      </w:r>
      <w:r>
        <w:rPr>
          <w:rFonts w:hint="eastAsia"/>
          <w:lang w:val="en-US" w:eastAsia="zh-CN"/>
        </w:rPr>
        <w:t>单位</w:t>
      </w:r>
      <w:r>
        <w:t>财政拨款“三公”经费预算安排55.89万元，其中因公出国（境）费 0 万元；公务用车购置及运维费55.89万元（其中：公务用车购置费为0万元，公务用车运维费55.89万元）；公务接待费0万元。与2023年相比减少17.01万元，减少的主要原因是：2023年下达的车辆运维费为车辆编制数，2024年下达的车辆运维费为车辆实有数。</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1、2023年第五批新增一般债券-巨力大街（刘伶路-青庙营街）、仁兴西路（长城北大街-太行大街）建设工程绩效目标表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13062523P000009100094</w:t>
            </w:r>
          </w:p>
        </w:tc>
        <w:tc>
          <w:tcPr>
            <w:tcW w:w="2835" w:type="dxa"/>
            <w:vAlign w:val="center"/>
          </w:tcPr>
          <w:p>
            <w:pPr>
              <w:pStyle w:val="10"/>
            </w:pPr>
            <w:r>
              <w:t>项目名称</w:t>
            </w:r>
          </w:p>
        </w:tc>
        <w:tc>
          <w:tcPr>
            <w:tcW w:w="6094" w:type="dxa"/>
            <w:gridSpan w:val="3"/>
            <w:vAlign w:val="center"/>
          </w:tcPr>
          <w:p>
            <w:pPr>
              <w:pStyle w:val="12"/>
            </w:pPr>
            <w:r>
              <w:t>2023年第五批新增一般债券-巨力大街（刘伶路-青庙营街）、仁兴西路（长城北大街-太行大街）建设工程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2023年第五批新增一般债券-巨力大街（刘伶路-青庙营街）、仁兴西路（长城北大街-太行大街）建设工程资金。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1.该项目建设为改善徐水区第三中学周边道路交通环境，扩大公共服务设施范围。</w:t>
            </w:r>
          </w:p>
          <w:p>
            <w:pPr>
              <w:pStyle w:val="12"/>
            </w:pPr>
            <w:r>
              <w:t>2.新建巨力大街北起是刘伶路、南至是青庙营街道路长1117.102米，道路红线宽度为30米。</w:t>
            </w:r>
          </w:p>
          <w:p>
            <w:pPr>
              <w:pStyle w:val="12"/>
            </w:pPr>
            <w:r>
              <w:t>3.新建仁兴西路西起长城北大街、东至太行大街长1026.111米，道路红线宽度30米。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建设道路长度</w:t>
            </w:r>
          </w:p>
        </w:tc>
        <w:tc>
          <w:tcPr>
            <w:tcW w:w="5386" w:type="dxa"/>
            <w:vAlign w:val="center"/>
          </w:tcPr>
          <w:p>
            <w:pPr>
              <w:pStyle w:val="12"/>
            </w:pPr>
            <w:r>
              <w:t>巨力大街北起是刘伶路、南至是青庙营街长度</w:t>
            </w:r>
          </w:p>
        </w:tc>
        <w:tc>
          <w:tcPr>
            <w:tcW w:w="2268" w:type="dxa"/>
            <w:vAlign w:val="center"/>
          </w:tcPr>
          <w:p>
            <w:pPr>
              <w:pStyle w:val="12"/>
            </w:pPr>
            <w:r>
              <w:t>1117.1米</w:t>
            </w:r>
          </w:p>
        </w:tc>
        <w:tc>
          <w:tcPr>
            <w:tcW w:w="1276" w:type="dxa"/>
            <w:vAlign w:val="center"/>
          </w:tcPr>
          <w:p>
            <w:pPr>
              <w:pStyle w:val="12"/>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建设道路红线宽度</w:t>
            </w:r>
          </w:p>
        </w:tc>
        <w:tc>
          <w:tcPr>
            <w:tcW w:w="5386" w:type="dxa"/>
            <w:vAlign w:val="center"/>
          </w:tcPr>
          <w:p>
            <w:pPr>
              <w:pStyle w:val="12"/>
            </w:pPr>
            <w:r>
              <w:t>巨力大街北起是刘伶路、南至是青庙营街道路红线宽度</w:t>
            </w:r>
          </w:p>
        </w:tc>
        <w:tc>
          <w:tcPr>
            <w:tcW w:w="2268" w:type="dxa"/>
            <w:vAlign w:val="center"/>
          </w:tcPr>
          <w:p>
            <w:pPr>
              <w:pStyle w:val="12"/>
            </w:pPr>
            <w:r>
              <w:t>30米</w:t>
            </w:r>
          </w:p>
        </w:tc>
        <w:tc>
          <w:tcPr>
            <w:tcW w:w="1276" w:type="dxa"/>
            <w:vAlign w:val="center"/>
          </w:tcPr>
          <w:p>
            <w:pPr>
              <w:pStyle w:val="12"/>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建设道路长度</w:t>
            </w:r>
          </w:p>
        </w:tc>
        <w:tc>
          <w:tcPr>
            <w:tcW w:w="5386" w:type="dxa"/>
            <w:vAlign w:val="center"/>
          </w:tcPr>
          <w:p>
            <w:pPr>
              <w:pStyle w:val="12"/>
            </w:pPr>
            <w:r>
              <w:t>仁兴西路西起长城北大街、东至太行大街长度</w:t>
            </w:r>
          </w:p>
        </w:tc>
        <w:tc>
          <w:tcPr>
            <w:tcW w:w="2268" w:type="dxa"/>
            <w:vAlign w:val="center"/>
          </w:tcPr>
          <w:p>
            <w:pPr>
              <w:pStyle w:val="12"/>
            </w:pPr>
            <w:r>
              <w:t>1026.11米</w:t>
            </w:r>
          </w:p>
        </w:tc>
        <w:tc>
          <w:tcPr>
            <w:tcW w:w="1276" w:type="dxa"/>
            <w:vAlign w:val="center"/>
          </w:tcPr>
          <w:p>
            <w:pPr>
              <w:pStyle w:val="12"/>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建设道路红线宽度</w:t>
            </w:r>
          </w:p>
        </w:tc>
        <w:tc>
          <w:tcPr>
            <w:tcW w:w="5386" w:type="dxa"/>
            <w:vAlign w:val="center"/>
          </w:tcPr>
          <w:p>
            <w:pPr>
              <w:pStyle w:val="12"/>
            </w:pPr>
            <w:r>
              <w:t>仁兴西路西起长城北大街、东至太行大街长度</w:t>
            </w:r>
          </w:p>
        </w:tc>
        <w:tc>
          <w:tcPr>
            <w:tcW w:w="2268" w:type="dxa"/>
            <w:vAlign w:val="center"/>
          </w:tcPr>
          <w:p>
            <w:pPr>
              <w:pStyle w:val="12"/>
            </w:pPr>
            <w:r>
              <w:t>30米</w:t>
            </w:r>
          </w:p>
        </w:tc>
        <w:tc>
          <w:tcPr>
            <w:tcW w:w="1276" w:type="dxa"/>
            <w:vAlign w:val="center"/>
          </w:tcPr>
          <w:p>
            <w:pPr>
              <w:pStyle w:val="12"/>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按合同要求及时支付</w:t>
            </w:r>
          </w:p>
        </w:tc>
        <w:tc>
          <w:tcPr>
            <w:tcW w:w="2268" w:type="dxa"/>
            <w:vAlign w:val="center"/>
          </w:tcPr>
          <w:p>
            <w:pPr>
              <w:pStyle w:val="12"/>
            </w:pPr>
            <w:r>
              <w:t>100%</w:t>
            </w:r>
          </w:p>
        </w:tc>
        <w:tc>
          <w:tcPr>
            <w:tcW w:w="1276" w:type="dxa"/>
            <w:vAlign w:val="center"/>
          </w:tcPr>
          <w:p>
            <w:pPr>
              <w:pStyle w:val="12"/>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项目预算数</w:t>
            </w:r>
          </w:p>
        </w:tc>
        <w:tc>
          <w:tcPr>
            <w:tcW w:w="5386" w:type="dxa"/>
            <w:vAlign w:val="center"/>
          </w:tcPr>
          <w:p>
            <w:pPr>
              <w:pStyle w:val="12"/>
            </w:pPr>
            <w:r>
              <w:t>不超过合同金额</w:t>
            </w:r>
          </w:p>
        </w:tc>
        <w:tc>
          <w:tcPr>
            <w:tcW w:w="2268" w:type="dxa"/>
            <w:vAlign w:val="center"/>
          </w:tcPr>
          <w:p>
            <w:pPr>
              <w:pStyle w:val="12"/>
            </w:pPr>
            <w:r>
              <w:t>≤7451.5万元</w:t>
            </w:r>
          </w:p>
        </w:tc>
        <w:tc>
          <w:tcPr>
            <w:tcW w:w="1276" w:type="dxa"/>
            <w:vAlign w:val="center"/>
          </w:tcPr>
          <w:p>
            <w:pPr>
              <w:pStyle w:val="12"/>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居民出行便利提升率</w:t>
            </w:r>
          </w:p>
        </w:tc>
        <w:tc>
          <w:tcPr>
            <w:tcW w:w="5386" w:type="dxa"/>
            <w:vAlign w:val="center"/>
          </w:tcPr>
          <w:p>
            <w:pPr>
              <w:pStyle w:val="12"/>
            </w:pPr>
            <w:r>
              <w:t>提高居民出行便利提升率</w:t>
            </w:r>
          </w:p>
        </w:tc>
        <w:tc>
          <w:tcPr>
            <w:tcW w:w="2268" w:type="dxa"/>
            <w:vAlign w:val="center"/>
          </w:tcPr>
          <w:p>
            <w:pPr>
              <w:pStyle w:val="12"/>
            </w:pPr>
            <w:r>
              <w:t>≥95%</w:t>
            </w:r>
          </w:p>
        </w:tc>
        <w:tc>
          <w:tcPr>
            <w:tcW w:w="1276" w:type="dxa"/>
            <w:vAlign w:val="center"/>
          </w:tcPr>
          <w:p>
            <w:pPr>
              <w:pStyle w:val="12"/>
            </w:pPr>
            <w:r>
              <w:t>依据保定市徐水区巨力大街（刘伶路-青庙营街）、仁兴西路（长城北大街-太行大街)建设工程项目合同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居民对出行便利提满意程度</w:t>
            </w:r>
          </w:p>
        </w:tc>
        <w:tc>
          <w:tcPr>
            <w:tcW w:w="2268" w:type="dxa"/>
            <w:vAlign w:val="center"/>
          </w:tcPr>
          <w:p>
            <w:pPr>
              <w:pStyle w:val="12"/>
            </w:pPr>
            <w:r>
              <w:t>≥95%</w:t>
            </w:r>
          </w:p>
        </w:tc>
        <w:tc>
          <w:tcPr>
            <w:tcW w:w="1276" w:type="dxa"/>
            <w:vAlign w:val="center"/>
          </w:tcPr>
          <w:p>
            <w:pPr>
              <w:pStyle w:val="12"/>
            </w:pPr>
            <w:r>
              <w:t>依据对居民调查问卷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2、2023年第五批新增一般债券-永兴路（长城北大街-广源街）改造提升工程绩效目标表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13062523P00000910008G</w:t>
            </w:r>
          </w:p>
        </w:tc>
        <w:tc>
          <w:tcPr>
            <w:tcW w:w="2835" w:type="dxa"/>
            <w:vAlign w:val="center"/>
          </w:tcPr>
          <w:p>
            <w:pPr>
              <w:pStyle w:val="10"/>
            </w:pPr>
            <w:r>
              <w:t>项目名称</w:t>
            </w:r>
          </w:p>
        </w:tc>
        <w:tc>
          <w:tcPr>
            <w:tcW w:w="6094" w:type="dxa"/>
            <w:gridSpan w:val="3"/>
            <w:vAlign w:val="center"/>
          </w:tcPr>
          <w:p>
            <w:pPr>
              <w:pStyle w:val="12"/>
            </w:pPr>
            <w:r>
              <w:t>2023年第五批新增一般债券-永兴路（长城北大街-广源街）改造提升工程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2023年第五批新增一般债券-永兴路（长城北大街-广源街）改造提升工程资金。</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1.完善城市路网系统，改善道路现状，满足居民出行需要，落实城市道路发展规划。</w:t>
            </w:r>
          </w:p>
          <w:p>
            <w:pPr>
              <w:pStyle w:val="12"/>
            </w:pPr>
            <w:r>
              <w:t>2.极大改善和提升周边居民的出行环境，促进区域经济发展，完善我区路网结构，加快美丽徐水建设步伐。</w:t>
            </w:r>
          </w:p>
          <w:p>
            <w:pPr>
              <w:pStyle w:val="12"/>
            </w:pPr>
            <w:r>
              <w:t>3.改造提升永兴路西起长城北大街、东至广源街街道路长2050.4米，长城北大街-瀑河桥段红线宽度约40米，瀑河桥-广源街段红线宽度约30米。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改造提升道路长度</w:t>
            </w:r>
          </w:p>
        </w:tc>
        <w:tc>
          <w:tcPr>
            <w:tcW w:w="5386" w:type="dxa"/>
            <w:vAlign w:val="center"/>
          </w:tcPr>
          <w:p>
            <w:pPr>
              <w:pStyle w:val="12"/>
            </w:pPr>
            <w:r>
              <w:t>永兴路西起长城北大街、东至广源街街道路长度</w:t>
            </w:r>
          </w:p>
        </w:tc>
        <w:tc>
          <w:tcPr>
            <w:tcW w:w="2268" w:type="dxa"/>
            <w:vAlign w:val="center"/>
          </w:tcPr>
          <w:p>
            <w:pPr>
              <w:pStyle w:val="12"/>
            </w:pPr>
            <w:r>
              <w:t>2050.4米</w:t>
            </w:r>
          </w:p>
        </w:tc>
        <w:tc>
          <w:tcPr>
            <w:tcW w:w="1276" w:type="dxa"/>
            <w:vAlign w:val="center"/>
          </w:tcPr>
          <w:p>
            <w:pPr>
              <w:pStyle w:val="12"/>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改造提升道路红线宽度</w:t>
            </w:r>
          </w:p>
        </w:tc>
        <w:tc>
          <w:tcPr>
            <w:tcW w:w="5386" w:type="dxa"/>
            <w:vAlign w:val="center"/>
          </w:tcPr>
          <w:p>
            <w:pPr>
              <w:pStyle w:val="12"/>
            </w:pPr>
            <w:r>
              <w:t>长城北大街-瀑河桥段红线宽度</w:t>
            </w:r>
          </w:p>
        </w:tc>
        <w:tc>
          <w:tcPr>
            <w:tcW w:w="2268" w:type="dxa"/>
            <w:vAlign w:val="center"/>
          </w:tcPr>
          <w:p>
            <w:pPr>
              <w:pStyle w:val="12"/>
            </w:pPr>
            <w:r>
              <w:t>40米</w:t>
            </w:r>
          </w:p>
        </w:tc>
        <w:tc>
          <w:tcPr>
            <w:tcW w:w="1276" w:type="dxa"/>
            <w:vAlign w:val="center"/>
          </w:tcPr>
          <w:p>
            <w:pPr>
              <w:pStyle w:val="12"/>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改造提升道路红线宽度</w:t>
            </w:r>
          </w:p>
        </w:tc>
        <w:tc>
          <w:tcPr>
            <w:tcW w:w="5386" w:type="dxa"/>
            <w:vAlign w:val="center"/>
          </w:tcPr>
          <w:p>
            <w:pPr>
              <w:pStyle w:val="12"/>
            </w:pPr>
            <w:r>
              <w:t>瀑河桥-广源街段红线宽度</w:t>
            </w:r>
          </w:p>
        </w:tc>
        <w:tc>
          <w:tcPr>
            <w:tcW w:w="2268" w:type="dxa"/>
            <w:vAlign w:val="center"/>
          </w:tcPr>
          <w:p>
            <w:pPr>
              <w:pStyle w:val="12"/>
            </w:pPr>
            <w:r>
              <w:t>30米</w:t>
            </w:r>
          </w:p>
        </w:tc>
        <w:tc>
          <w:tcPr>
            <w:tcW w:w="1276" w:type="dxa"/>
            <w:vAlign w:val="center"/>
          </w:tcPr>
          <w:p>
            <w:pPr>
              <w:pStyle w:val="12"/>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按合同要求及时支付</w:t>
            </w:r>
          </w:p>
        </w:tc>
        <w:tc>
          <w:tcPr>
            <w:tcW w:w="2268" w:type="dxa"/>
            <w:vAlign w:val="center"/>
          </w:tcPr>
          <w:p>
            <w:pPr>
              <w:pStyle w:val="12"/>
            </w:pPr>
            <w:r>
              <w:t>100%</w:t>
            </w:r>
          </w:p>
        </w:tc>
        <w:tc>
          <w:tcPr>
            <w:tcW w:w="1276" w:type="dxa"/>
            <w:vAlign w:val="center"/>
          </w:tcPr>
          <w:p>
            <w:pPr>
              <w:pStyle w:val="12"/>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项目预算数</w:t>
            </w:r>
          </w:p>
        </w:tc>
        <w:tc>
          <w:tcPr>
            <w:tcW w:w="5386" w:type="dxa"/>
            <w:vAlign w:val="center"/>
          </w:tcPr>
          <w:p>
            <w:pPr>
              <w:pStyle w:val="12"/>
            </w:pPr>
            <w:r>
              <w:t>不超过合同金额</w:t>
            </w:r>
          </w:p>
        </w:tc>
        <w:tc>
          <w:tcPr>
            <w:tcW w:w="2268" w:type="dxa"/>
            <w:vAlign w:val="center"/>
          </w:tcPr>
          <w:p>
            <w:pPr>
              <w:pStyle w:val="12"/>
            </w:pPr>
            <w:r>
              <w:t>≤4516.09万元</w:t>
            </w:r>
          </w:p>
        </w:tc>
        <w:tc>
          <w:tcPr>
            <w:tcW w:w="1276" w:type="dxa"/>
            <w:vAlign w:val="center"/>
          </w:tcPr>
          <w:p>
            <w:pPr>
              <w:pStyle w:val="12"/>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居民出行便利提升率</w:t>
            </w:r>
          </w:p>
        </w:tc>
        <w:tc>
          <w:tcPr>
            <w:tcW w:w="5386" w:type="dxa"/>
            <w:vAlign w:val="center"/>
          </w:tcPr>
          <w:p>
            <w:pPr>
              <w:pStyle w:val="12"/>
            </w:pPr>
            <w:r>
              <w:t>提高居民出行便利提升率</w:t>
            </w:r>
          </w:p>
        </w:tc>
        <w:tc>
          <w:tcPr>
            <w:tcW w:w="2268" w:type="dxa"/>
            <w:vAlign w:val="center"/>
          </w:tcPr>
          <w:p>
            <w:pPr>
              <w:pStyle w:val="12"/>
            </w:pPr>
            <w:r>
              <w:t>≥95%</w:t>
            </w:r>
          </w:p>
        </w:tc>
        <w:tc>
          <w:tcPr>
            <w:tcW w:w="1276" w:type="dxa"/>
            <w:vAlign w:val="center"/>
          </w:tcPr>
          <w:p>
            <w:pPr>
              <w:pStyle w:val="12"/>
            </w:pPr>
            <w:r>
              <w:t>依据保定市徐水区永兴路（长城北大街-广源街）改造提升工程合同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居民对出行便利满意程度</w:t>
            </w:r>
          </w:p>
        </w:tc>
        <w:tc>
          <w:tcPr>
            <w:tcW w:w="2268" w:type="dxa"/>
            <w:vAlign w:val="center"/>
          </w:tcPr>
          <w:p>
            <w:pPr>
              <w:pStyle w:val="12"/>
            </w:pPr>
            <w:r>
              <w:t>≥95%</w:t>
            </w:r>
          </w:p>
        </w:tc>
        <w:tc>
          <w:tcPr>
            <w:tcW w:w="1276" w:type="dxa"/>
            <w:vAlign w:val="center"/>
          </w:tcPr>
          <w:p>
            <w:pPr>
              <w:pStyle w:val="12"/>
            </w:pPr>
            <w:r>
              <w:t>依据对居民调查问卷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3、保安保洁费用绩效目标表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13062524P00001510265E</w:t>
            </w:r>
          </w:p>
        </w:tc>
        <w:tc>
          <w:tcPr>
            <w:tcW w:w="2835" w:type="dxa"/>
            <w:vAlign w:val="center"/>
          </w:tcPr>
          <w:p>
            <w:pPr>
              <w:pStyle w:val="10"/>
            </w:pPr>
            <w:r>
              <w:t>项目名称</w:t>
            </w:r>
          </w:p>
        </w:tc>
        <w:tc>
          <w:tcPr>
            <w:tcW w:w="6094" w:type="dxa"/>
            <w:gridSpan w:val="3"/>
            <w:vAlign w:val="center"/>
          </w:tcPr>
          <w:p>
            <w:pPr>
              <w:pStyle w:val="12"/>
            </w:pPr>
            <w:r>
              <w:t>保安保洁费用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15.48</w:t>
            </w:r>
          </w:p>
        </w:tc>
        <w:tc>
          <w:tcPr>
            <w:tcW w:w="2835" w:type="dxa"/>
            <w:vAlign w:val="center"/>
          </w:tcPr>
          <w:p>
            <w:pPr>
              <w:pStyle w:val="10"/>
            </w:pPr>
            <w:r>
              <w:t>其中：财政    资金</w:t>
            </w:r>
          </w:p>
        </w:tc>
        <w:tc>
          <w:tcPr>
            <w:tcW w:w="2551" w:type="dxa"/>
            <w:vAlign w:val="center"/>
          </w:tcPr>
          <w:p>
            <w:pPr>
              <w:pStyle w:val="12"/>
            </w:pPr>
            <w:r>
              <w:t>15.48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保安保洁费用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1.通过聘请专业保安保洁公司，保证局机关办公环境整洁度，加强机关安全保卫工作。</w:t>
            </w:r>
          </w:p>
          <w:p>
            <w:pPr>
              <w:pStyle w:val="12"/>
            </w:pPr>
            <w:r>
              <w:t>2.聘用专业保洁人员数量2人，每天完成4000平方米办公区域的保洁打扫，确保办公区域保洁验收达标率达到90%以上，办公人员满意度达到90%以上。</w:t>
            </w:r>
          </w:p>
          <w:p>
            <w:pPr>
              <w:pStyle w:val="12"/>
            </w:pPr>
            <w:r>
              <w:t>3.聘用专业保安人员数量4人，保障办公场所安全，办公人员满意度达到90%以上。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保洁面积</w:t>
            </w:r>
          </w:p>
        </w:tc>
        <w:tc>
          <w:tcPr>
            <w:tcW w:w="5386" w:type="dxa"/>
            <w:vAlign w:val="center"/>
          </w:tcPr>
          <w:p>
            <w:pPr>
              <w:pStyle w:val="12"/>
            </w:pPr>
            <w:r>
              <w:t>保洁面积</w:t>
            </w:r>
          </w:p>
        </w:tc>
        <w:tc>
          <w:tcPr>
            <w:tcW w:w="2268" w:type="dxa"/>
            <w:vAlign w:val="center"/>
          </w:tcPr>
          <w:p>
            <w:pPr>
              <w:pStyle w:val="12"/>
            </w:pPr>
            <w:r>
              <w:t>≥4000平方米</w:t>
            </w:r>
          </w:p>
        </w:tc>
        <w:tc>
          <w:tcPr>
            <w:tcW w:w="1276" w:type="dxa"/>
            <w:vAlign w:val="center"/>
          </w:tcPr>
          <w:p>
            <w:pPr>
              <w:pStyle w:val="12"/>
            </w:pPr>
            <w:r>
              <w:t>依据办公区域实际需要保洁面积确认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保洁人员数量</w:t>
            </w:r>
          </w:p>
        </w:tc>
        <w:tc>
          <w:tcPr>
            <w:tcW w:w="5386" w:type="dxa"/>
            <w:vAlign w:val="center"/>
          </w:tcPr>
          <w:p>
            <w:pPr>
              <w:pStyle w:val="12"/>
            </w:pPr>
            <w:r>
              <w:t>聘用保洁人员数量</w:t>
            </w:r>
          </w:p>
        </w:tc>
        <w:tc>
          <w:tcPr>
            <w:tcW w:w="2268" w:type="dxa"/>
            <w:vAlign w:val="center"/>
          </w:tcPr>
          <w:p>
            <w:pPr>
              <w:pStyle w:val="12"/>
            </w:pPr>
            <w:r>
              <w:t>2人</w:t>
            </w:r>
          </w:p>
        </w:tc>
        <w:tc>
          <w:tcPr>
            <w:tcW w:w="1276" w:type="dxa"/>
            <w:vAlign w:val="center"/>
          </w:tcPr>
          <w:p>
            <w:pPr>
              <w:pStyle w:val="12"/>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保安人员数量</w:t>
            </w:r>
          </w:p>
        </w:tc>
        <w:tc>
          <w:tcPr>
            <w:tcW w:w="5386" w:type="dxa"/>
            <w:vAlign w:val="center"/>
          </w:tcPr>
          <w:p>
            <w:pPr>
              <w:pStyle w:val="12"/>
            </w:pPr>
            <w:r>
              <w:t>聘用保安人员数量</w:t>
            </w:r>
          </w:p>
        </w:tc>
        <w:tc>
          <w:tcPr>
            <w:tcW w:w="2268" w:type="dxa"/>
            <w:vAlign w:val="center"/>
          </w:tcPr>
          <w:p>
            <w:pPr>
              <w:pStyle w:val="12"/>
            </w:pPr>
            <w:r>
              <w:t>4人</w:t>
            </w:r>
          </w:p>
        </w:tc>
        <w:tc>
          <w:tcPr>
            <w:tcW w:w="1276" w:type="dxa"/>
            <w:vAlign w:val="center"/>
          </w:tcPr>
          <w:p>
            <w:pPr>
              <w:pStyle w:val="12"/>
            </w:pPr>
            <w:r>
              <w:t>依据保安服务合同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办公区域保洁验收达标率</w:t>
            </w:r>
          </w:p>
        </w:tc>
        <w:tc>
          <w:tcPr>
            <w:tcW w:w="5386" w:type="dxa"/>
            <w:vAlign w:val="center"/>
          </w:tcPr>
          <w:p>
            <w:pPr>
              <w:pStyle w:val="12"/>
            </w:pPr>
            <w:r>
              <w:t>办公楼区域每天保洁验收合格情况</w:t>
            </w:r>
          </w:p>
        </w:tc>
        <w:tc>
          <w:tcPr>
            <w:tcW w:w="2268" w:type="dxa"/>
            <w:vAlign w:val="center"/>
          </w:tcPr>
          <w:p>
            <w:pPr>
              <w:pStyle w:val="12"/>
            </w:pPr>
            <w:r>
              <w:t>≥90%</w:t>
            </w:r>
          </w:p>
        </w:tc>
        <w:tc>
          <w:tcPr>
            <w:tcW w:w="1276" w:type="dxa"/>
            <w:vAlign w:val="center"/>
          </w:tcPr>
          <w:p>
            <w:pPr>
              <w:pStyle w:val="12"/>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聘用人员劳务费支付及时率</w:t>
            </w:r>
          </w:p>
        </w:tc>
        <w:tc>
          <w:tcPr>
            <w:tcW w:w="5386" w:type="dxa"/>
            <w:vAlign w:val="center"/>
          </w:tcPr>
          <w:p>
            <w:pPr>
              <w:pStyle w:val="12"/>
            </w:pPr>
            <w:r>
              <w:t>聘用人员劳务费支付及时情况</w:t>
            </w:r>
          </w:p>
        </w:tc>
        <w:tc>
          <w:tcPr>
            <w:tcW w:w="2268" w:type="dxa"/>
            <w:vAlign w:val="center"/>
          </w:tcPr>
          <w:p>
            <w:pPr>
              <w:pStyle w:val="12"/>
            </w:pPr>
            <w:r>
              <w:t>≥90%</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聘用人员工资发放标准</w:t>
            </w:r>
          </w:p>
        </w:tc>
        <w:tc>
          <w:tcPr>
            <w:tcW w:w="5386" w:type="dxa"/>
            <w:vAlign w:val="center"/>
          </w:tcPr>
          <w:p>
            <w:pPr>
              <w:pStyle w:val="12"/>
            </w:pPr>
            <w:r>
              <w:t>保洁聘用人员工资发放标准</w:t>
            </w:r>
          </w:p>
        </w:tc>
        <w:tc>
          <w:tcPr>
            <w:tcW w:w="2268" w:type="dxa"/>
            <w:vAlign w:val="center"/>
          </w:tcPr>
          <w:p>
            <w:pPr>
              <w:pStyle w:val="12"/>
            </w:pPr>
            <w:r>
              <w:t>54000元/年</w:t>
            </w:r>
          </w:p>
        </w:tc>
        <w:tc>
          <w:tcPr>
            <w:tcW w:w="1276" w:type="dxa"/>
            <w:vAlign w:val="center"/>
          </w:tcPr>
          <w:p>
            <w:pPr>
              <w:pStyle w:val="12"/>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聘用人员工资发放标准</w:t>
            </w:r>
          </w:p>
        </w:tc>
        <w:tc>
          <w:tcPr>
            <w:tcW w:w="5386" w:type="dxa"/>
            <w:vAlign w:val="center"/>
          </w:tcPr>
          <w:p>
            <w:pPr>
              <w:pStyle w:val="12"/>
            </w:pPr>
            <w:r>
              <w:t>保安聘用人员工资发放标准</w:t>
            </w:r>
          </w:p>
        </w:tc>
        <w:tc>
          <w:tcPr>
            <w:tcW w:w="2268" w:type="dxa"/>
            <w:vAlign w:val="center"/>
          </w:tcPr>
          <w:p>
            <w:pPr>
              <w:pStyle w:val="12"/>
            </w:pPr>
            <w:r>
              <w:t>100800元/年</w:t>
            </w:r>
          </w:p>
        </w:tc>
        <w:tc>
          <w:tcPr>
            <w:tcW w:w="1276" w:type="dxa"/>
            <w:vAlign w:val="center"/>
          </w:tcPr>
          <w:p>
            <w:pPr>
              <w:pStyle w:val="12"/>
            </w:pPr>
            <w:r>
              <w:t>依据保安服务合同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机关办公环境整洁度</w:t>
            </w:r>
          </w:p>
        </w:tc>
        <w:tc>
          <w:tcPr>
            <w:tcW w:w="5386" w:type="dxa"/>
            <w:vAlign w:val="center"/>
          </w:tcPr>
          <w:p>
            <w:pPr>
              <w:pStyle w:val="12"/>
            </w:pPr>
            <w:r>
              <w:t>局机关办公环境整洁情况</w:t>
            </w:r>
          </w:p>
        </w:tc>
        <w:tc>
          <w:tcPr>
            <w:tcW w:w="2268" w:type="dxa"/>
            <w:vAlign w:val="center"/>
          </w:tcPr>
          <w:p>
            <w:pPr>
              <w:pStyle w:val="12"/>
            </w:pPr>
            <w:r>
              <w:t>≥95%</w:t>
            </w:r>
          </w:p>
        </w:tc>
        <w:tc>
          <w:tcPr>
            <w:tcW w:w="1276" w:type="dxa"/>
            <w:vAlign w:val="center"/>
          </w:tcPr>
          <w:p>
            <w:pPr>
              <w:pStyle w:val="12"/>
            </w:pPr>
            <w:r>
              <w:t>依据办公楼保洁合同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办公人员满意度</w:t>
            </w:r>
          </w:p>
        </w:tc>
        <w:tc>
          <w:tcPr>
            <w:tcW w:w="5386" w:type="dxa"/>
            <w:vAlign w:val="center"/>
          </w:tcPr>
          <w:p>
            <w:pPr>
              <w:pStyle w:val="12"/>
            </w:pPr>
            <w:r>
              <w:t>办公人员对办公环境整洁度满意度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4、城建路灯电费绩效目标表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13062524P000016100085</w:t>
            </w:r>
          </w:p>
        </w:tc>
        <w:tc>
          <w:tcPr>
            <w:tcW w:w="2835" w:type="dxa"/>
            <w:vAlign w:val="center"/>
          </w:tcPr>
          <w:p>
            <w:pPr>
              <w:pStyle w:val="10"/>
            </w:pPr>
            <w:r>
              <w:t>项目名称</w:t>
            </w:r>
          </w:p>
        </w:tc>
        <w:tc>
          <w:tcPr>
            <w:tcW w:w="6094" w:type="dxa"/>
            <w:gridSpan w:val="3"/>
            <w:vAlign w:val="center"/>
          </w:tcPr>
          <w:p>
            <w:pPr>
              <w:pStyle w:val="12"/>
            </w:pPr>
            <w:r>
              <w:t>城建路灯电费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rPr>
                <w:rFonts w:hint="default"/>
                <w:lang w:val="en-US"/>
              </w:rPr>
              <w:t>15</w:t>
            </w:r>
            <w:r>
              <w:t>0.00</w:t>
            </w:r>
          </w:p>
        </w:tc>
        <w:tc>
          <w:tcPr>
            <w:tcW w:w="2835" w:type="dxa"/>
            <w:vAlign w:val="center"/>
          </w:tcPr>
          <w:p>
            <w:pPr>
              <w:pStyle w:val="10"/>
            </w:pPr>
            <w:r>
              <w:t>其中：财政    资金</w:t>
            </w:r>
          </w:p>
        </w:tc>
        <w:tc>
          <w:tcPr>
            <w:tcW w:w="2551" w:type="dxa"/>
            <w:vAlign w:val="center"/>
          </w:tcPr>
          <w:p>
            <w:pPr>
              <w:pStyle w:val="12"/>
            </w:pPr>
            <w:r>
              <w:rPr>
                <w:rFonts w:hint="default"/>
                <w:lang w:val="en-US"/>
              </w:rPr>
              <w:t>15</w:t>
            </w:r>
            <w:r>
              <w:t>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24%</w:t>
            </w:r>
          </w:p>
        </w:tc>
        <w:tc>
          <w:tcPr>
            <w:tcW w:w="2835" w:type="dxa"/>
            <w:vAlign w:val="center"/>
          </w:tcPr>
          <w:p>
            <w:pPr>
              <w:pStyle w:val="13"/>
            </w:pPr>
            <w:r>
              <w:t>48%</w:t>
            </w:r>
          </w:p>
        </w:tc>
        <w:tc>
          <w:tcPr>
            <w:tcW w:w="2551" w:type="dxa"/>
            <w:vAlign w:val="center"/>
          </w:tcPr>
          <w:p>
            <w:pPr>
              <w:pStyle w:val="13"/>
            </w:pPr>
            <w:r>
              <w:t>72%</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1.城区亮化得到了明显改善，城市面貌有很大的提升。</w:t>
            </w:r>
          </w:p>
          <w:p>
            <w:pPr>
              <w:pStyle w:val="12"/>
            </w:pPr>
            <w:r>
              <w:t>2.保障范围内16000盏路灯的正常照明，通电路灯覆盖率达到95%以上，居民夜间出行便利提升率达到70%以上，居民满意度达到85%以上。</w:t>
            </w:r>
          </w:p>
          <w:p>
            <w:pPr>
              <w:pStyle w:val="12"/>
            </w:pPr>
            <w:r>
              <w:t>3.完成了18条大街小巷街道的照明。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保障照明路灯数量</w:t>
            </w:r>
          </w:p>
        </w:tc>
        <w:tc>
          <w:tcPr>
            <w:tcW w:w="5386" w:type="dxa"/>
            <w:vAlign w:val="center"/>
          </w:tcPr>
          <w:p>
            <w:pPr>
              <w:pStyle w:val="12"/>
            </w:pPr>
            <w:r>
              <w:t>城区范围内路灯的数量</w:t>
            </w:r>
          </w:p>
        </w:tc>
        <w:tc>
          <w:tcPr>
            <w:tcW w:w="2268" w:type="dxa"/>
            <w:vAlign w:val="center"/>
          </w:tcPr>
          <w:p>
            <w:pPr>
              <w:pStyle w:val="12"/>
            </w:pPr>
            <w:r>
              <w:t>16000盏</w:t>
            </w:r>
          </w:p>
        </w:tc>
        <w:tc>
          <w:tcPr>
            <w:tcW w:w="1276" w:type="dxa"/>
            <w:vAlign w:val="center"/>
          </w:tcPr>
          <w:p>
            <w:pPr>
              <w:pStyle w:val="12"/>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通电路灯覆盖率</w:t>
            </w:r>
          </w:p>
        </w:tc>
        <w:tc>
          <w:tcPr>
            <w:tcW w:w="5386" w:type="dxa"/>
            <w:vAlign w:val="center"/>
          </w:tcPr>
          <w:p>
            <w:pPr>
              <w:pStyle w:val="12"/>
            </w:pPr>
            <w:r>
              <w:t>保障城区已通电路灯的照明率</w:t>
            </w:r>
          </w:p>
        </w:tc>
        <w:tc>
          <w:tcPr>
            <w:tcW w:w="2268" w:type="dxa"/>
            <w:vAlign w:val="center"/>
          </w:tcPr>
          <w:p>
            <w:pPr>
              <w:pStyle w:val="12"/>
            </w:pPr>
            <w:r>
              <w:t>≥95%</w:t>
            </w:r>
          </w:p>
        </w:tc>
        <w:tc>
          <w:tcPr>
            <w:tcW w:w="1276" w:type="dxa"/>
            <w:vAlign w:val="center"/>
          </w:tcPr>
          <w:p>
            <w:pPr>
              <w:pStyle w:val="12"/>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电费支付及时率</w:t>
            </w:r>
          </w:p>
        </w:tc>
        <w:tc>
          <w:tcPr>
            <w:tcW w:w="5386" w:type="dxa"/>
            <w:vAlign w:val="center"/>
          </w:tcPr>
          <w:p>
            <w:pPr>
              <w:pStyle w:val="12"/>
            </w:pPr>
            <w:r>
              <w:t>支付电费及时情况</w:t>
            </w:r>
          </w:p>
        </w:tc>
        <w:tc>
          <w:tcPr>
            <w:tcW w:w="2268" w:type="dxa"/>
            <w:vAlign w:val="center"/>
          </w:tcPr>
          <w:p>
            <w:pPr>
              <w:pStyle w:val="12"/>
            </w:pPr>
            <w:r>
              <w:t>100%</w:t>
            </w:r>
          </w:p>
        </w:tc>
        <w:tc>
          <w:tcPr>
            <w:tcW w:w="1276" w:type="dxa"/>
            <w:vAlign w:val="center"/>
          </w:tcPr>
          <w:p>
            <w:pPr>
              <w:pStyle w:val="12"/>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年度预算支出成本</w:t>
            </w:r>
          </w:p>
        </w:tc>
        <w:tc>
          <w:tcPr>
            <w:tcW w:w="5386" w:type="dxa"/>
            <w:vAlign w:val="center"/>
          </w:tcPr>
          <w:p>
            <w:pPr>
              <w:pStyle w:val="12"/>
            </w:pPr>
            <w:r>
              <w:t>年度成本支出情况</w:t>
            </w:r>
          </w:p>
        </w:tc>
        <w:tc>
          <w:tcPr>
            <w:tcW w:w="2268" w:type="dxa"/>
            <w:vAlign w:val="center"/>
          </w:tcPr>
          <w:p>
            <w:pPr>
              <w:pStyle w:val="12"/>
            </w:pPr>
            <w:r>
              <w:t>≤</w:t>
            </w:r>
            <w:r>
              <w:rPr>
                <w:rFonts w:hint="default"/>
                <w:lang w:val="en-US"/>
              </w:rPr>
              <w:t>15</w:t>
            </w:r>
            <w:r>
              <w:t>0万元</w:t>
            </w:r>
          </w:p>
        </w:tc>
        <w:tc>
          <w:tcPr>
            <w:tcW w:w="1276" w:type="dxa"/>
            <w:vAlign w:val="center"/>
          </w:tcPr>
          <w:p>
            <w:pPr>
              <w:pStyle w:val="12"/>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居民夜间出行便利提升率</w:t>
            </w:r>
          </w:p>
        </w:tc>
        <w:tc>
          <w:tcPr>
            <w:tcW w:w="5386" w:type="dxa"/>
            <w:vAlign w:val="center"/>
          </w:tcPr>
          <w:p>
            <w:pPr>
              <w:pStyle w:val="12"/>
            </w:pPr>
            <w:r>
              <w:t>认为夜间出行便利提升的居民比率</w:t>
            </w:r>
          </w:p>
        </w:tc>
        <w:tc>
          <w:tcPr>
            <w:tcW w:w="2268" w:type="dxa"/>
            <w:vAlign w:val="center"/>
          </w:tcPr>
          <w:p>
            <w:pPr>
              <w:pStyle w:val="12"/>
            </w:pPr>
            <w:r>
              <w:t>≥70%</w:t>
            </w:r>
          </w:p>
        </w:tc>
        <w:tc>
          <w:tcPr>
            <w:tcW w:w="1276" w:type="dxa"/>
            <w:vAlign w:val="center"/>
          </w:tcPr>
          <w:p>
            <w:pPr>
              <w:pStyle w:val="12"/>
            </w:pPr>
            <w:r>
              <w:t>执法局城建路灯电费实施计划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居民对夜间出行路灯照明的满意度</w:t>
            </w:r>
          </w:p>
        </w:tc>
        <w:tc>
          <w:tcPr>
            <w:tcW w:w="2268" w:type="dxa"/>
            <w:vAlign w:val="center"/>
          </w:tcPr>
          <w:p>
            <w:pPr>
              <w:pStyle w:val="12"/>
            </w:pPr>
            <w:r>
              <w:t>≥85%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5、市政公众责任险绩效目标表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13062524P000015102689</w:t>
            </w:r>
          </w:p>
        </w:tc>
        <w:tc>
          <w:tcPr>
            <w:tcW w:w="2835" w:type="dxa"/>
            <w:vAlign w:val="center"/>
          </w:tcPr>
          <w:p>
            <w:pPr>
              <w:pStyle w:val="10"/>
            </w:pPr>
            <w:r>
              <w:t>项目名称</w:t>
            </w:r>
          </w:p>
        </w:tc>
        <w:tc>
          <w:tcPr>
            <w:tcW w:w="6094" w:type="dxa"/>
            <w:gridSpan w:val="3"/>
            <w:vAlign w:val="center"/>
          </w:tcPr>
          <w:p>
            <w:pPr>
              <w:pStyle w:val="12"/>
            </w:pPr>
            <w:r>
              <w:t>市政公众责任险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市政公众责任险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1.防治意外事故，保护人身安全和财产安全。负责区域内路灯及附属设施井盖因自身管理疏忽，维护不当发生的意外事故时造成的第三者的人身伤亡及财产损失。</w:t>
            </w:r>
          </w:p>
          <w:p>
            <w:pPr>
              <w:pStyle w:val="12"/>
            </w:pPr>
            <w:r>
              <w:t>2.保险赔偿道路覆盖面积达到2.67平方公里，保险赔偿投诉率低于10%，赔付标准达标率达到90%以上，受补偿人满意度达到90%以上。</w:t>
            </w:r>
          </w:p>
          <w:p>
            <w:pPr>
              <w:pStyle w:val="12"/>
            </w:pPr>
            <w:r>
              <w:t>3.有效降低了人民群众因意外事故所造成的人身伤害和财产伤害，维护了社会和谐稳定。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保险赔偿道路覆盖面积</w:t>
            </w:r>
          </w:p>
        </w:tc>
        <w:tc>
          <w:tcPr>
            <w:tcW w:w="5386" w:type="dxa"/>
            <w:vAlign w:val="center"/>
          </w:tcPr>
          <w:p>
            <w:pPr>
              <w:pStyle w:val="12"/>
            </w:pPr>
            <w:r>
              <w:t>保险赔偿道路覆盖面积情况</w:t>
            </w:r>
          </w:p>
        </w:tc>
        <w:tc>
          <w:tcPr>
            <w:tcW w:w="2268" w:type="dxa"/>
            <w:vAlign w:val="center"/>
          </w:tcPr>
          <w:p>
            <w:pPr>
              <w:pStyle w:val="12"/>
            </w:pPr>
            <w:r>
              <w:t>≥2.67平方公里</w:t>
            </w:r>
          </w:p>
        </w:tc>
        <w:tc>
          <w:tcPr>
            <w:tcW w:w="1276" w:type="dxa"/>
            <w:vAlign w:val="center"/>
          </w:tcPr>
          <w:p>
            <w:pPr>
              <w:pStyle w:val="12"/>
            </w:pPr>
            <w:r>
              <w:t>执法局市政公众责任险实施计划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保险赔偿率</w:t>
            </w:r>
          </w:p>
        </w:tc>
        <w:tc>
          <w:tcPr>
            <w:tcW w:w="5386" w:type="dxa"/>
            <w:vAlign w:val="center"/>
          </w:tcPr>
          <w:p>
            <w:pPr>
              <w:pStyle w:val="12"/>
            </w:pPr>
            <w:r>
              <w:t>应赔资金到位率</w:t>
            </w:r>
          </w:p>
        </w:tc>
        <w:tc>
          <w:tcPr>
            <w:tcW w:w="2268" w:type="dxa"/>
            <w:vAlign w:val="center"/>
          </w:tcPr>
          <w:p>
            <w:pPr>
              <w:pStyle w:val="12"/>
            </w:pPr>
            <w:r>
              <w:t>≥95%</w:t>
            </w:r>
          </w:p>
        </w:tc>
        <w:tc>
          <w:tcPr>
            <w:tcW w:w="1276" w:type="dxa"/>
            <w:vAlign w:val="center"/>
          </w:tcPr>
          <w:p>
            <w:pPr>
              <w:pStyle w:val="12"/>
            </w:pPr>
            <w:r>
              <w:t>执法局市政公众责任险实施计划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保险赔付及时率</w:t>
            </w:r>
          </w:p>
        </w:tc>
        <w:tc>
          <w:tcPr>
            <w:tcW w:w="5386" w:type="dxa"/>
            <w:vAlign w:val="center"/>
          </w:tcPr>
          <w:p>
            <w:pPr>
              <w:pStyle w:val="12"/>
            </w:pPr>
            <w:r>
              <w:t>按时赔付保险及时率</w:t>
            </w:r>
          </w:p>
        </w:tc>
        <w:tc>
          <w:tcPr>
            <w:tcW w:w="2268" w:type="dxa"/>
            <w:vAlign w:val="center"/>
          </w:tcPr>
          <w:p>
            <w:pPr>
              <w:pStyle w:val="12"/>
            </w:pPr>
            <w:r>
              <w:t>≥95%</w:t>
            </w:r>
          </w:p>
        </w:tc>
        <w:tc>
          <w:tcPr>
            <w:tcW w:w="1276" w:type="dxa"/>
            <w:vAlign w:val="center"/>
          </w:tcPr>
          <w:p>
            <w:pPr>
              <w:pStyle w:val="12"/>
            </w:pPr>
            <w:r>
              <w:t>根据公众责任险保险单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成本费用</w:t>
            </w:r>
          </w:p>
        </w:tc>
        <w:tc>
          <w:tcPr>
            <w:tcW w:w="5386" w:type="dxa"/>
            <w:vAlign w:val="center"/>
          </w:tcPr>
          <w:p>
            <w:pPr>
              <w:pStyle w:val="12"/>
            </w:pPr>
            <w:r>
              <w:t>支付保险费用</w:t>
            </w:r>
          </w:p>
        </w:tc>
        <w:tc>
          <w:tcPr>
            <w:tcW w:w="2268" w:type="dxa"/>
            <w:vAlign w:val="center"/>
          </w:tcPr>
          <w:p>
            <w:pPr>
              <w:pStyle w:val="12"/>
            </w:pPr>
            <w:r>
              <w:t>198000元</w:t>
            </w:r>
          </w:p>
        </w:tc>
        <w:tc>
          <w:tcPr>
            <w:tcW w:w="1276" w:type="dxa"/>
            <w:vAlign w:val="center"/>
          </w:tcPr>
          <w:p>
            <w:pPr>
              <w:pStyle w:val="12"/>
            </w:pPr>
            <w:r>
              <w:t>根据公众责任险保险单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及时提供保障</w:t>
            </w:r>
          </w:p>
        </w:tc>
        <w:tc>
          <w:tcPr>
            <w:tcW w:w="5386" w:type="dxa"/>
            <w:vAlign w:val="center"/>
          </w:tcPr>
          <w:p>
            <w:pPr>
              <w:pStyle w:val="12"/>
            </w:pPr>
            <w:r>
              <w:t>为受益对象及时提供保险保障</w:t>
            </w:r>
          </w:p>
        </w:tc>
        <w:tc>
          <w:tcPr>
            <w:tcW w:w="2268" w:type="dxa"/>
            <w:vAlign w:val="center"/>
          </w:tcPr>
          <w:p>
            <w:pPr>
              <w:pStyle w:val="12"/>
            </w:pPr>
            <w:r>
              <w:t>≥95%</w:t>
            </w:r>
          </w:p>
        </w:tc>
        <w:tc>
          <w:tcPr>
            <w:tcW w:w="1276" w:type="dxa"/>
            <w:vAlign w:val="center"/>
          </w:tcPr>
          <w:p>
            <w:pPr>
              <w:pStyle w:val="12"/>
            </w:pPr>
            <w:r>
              <w:t>执法局市政公众责任险实施计划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受补偿人满意度</w:t>
            </w:r>
          </w:p>
        </w:tc>
        <w:tc>
          <w:tcPr>
            <w:tcW w:w="5386" w:type="dxa"/>
            <w:vAlign w:val="center"/>
          </w:tcPr>
          <w:p>
            <w:pPr>
              <w:pStyle w:val="12"/>
            </w:pPr>
            <w:r>
              <w:t>反映受补偿人对保险赔偿处理的满意程度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6、预拨执法局保定玖利徐热力有限公司2023年至2024年采暖季供热补贴资金绩效目标表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13062524P00001510856X</w:t>
            </w:r>
          </w:p>
        </w:tc>
        <w:tc>
          <w:tcPr>
            <w:tcW w:w="2835" w:type="dxa"/>
            <w:vAlign w:val="center"/>
          </w:tcPr>
          <w:p>
            <w:pPr>
              <w:pStyle w:val="10"/>
            </w:pPr>
            <w:r>
              <w:t>项目名称</w:t>
            </w:r>
          </w:p>
        </w:tc>
        <w:tc>
          <w:tcPr>
            <w:tcW w:w="6094" w:type="dxa"/>
            <w:gridSpan w:val="3"/>
            <w:vAlign w:val="center"/>
          </w:tcPr>
          <w:p>
            <w:pPr>
              <w:pStyle w:val="12"/>
            </w:pPr>
            <w:r>
              <w:t>预拨执法局保定玖利徐热力有限公司2023年至2024年采暖季供热补贴资金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w:t>
            </w:r>
          </w:p>
        </w:tc>
        <w:tc>
          <w:tcPr>
            <w:tcW w:w="2835" w:type="dxa"/>
            <w:vAlign w:val="center"/>
          </w:tcPr>
          <w:p>
            <w:pPr>
              <w:pStyle w:val="10"/>
            </w:pPr>
            <w:r>
              <w:t>其中：财政    资金</w:t>
            </w:r>
          </w:p>
        </w:tc>
        <w:tc>
          <w:tcPr>
            <w:tcW w:w="2551" w:type="dxa"/>
            <w:vAlign w:val="center"/>
          </w:tcPr>
          <w:p>
            <w:pPr>
              <w:pStyle w:val="12"/>
            </w:pPr>
            <w:r>
              <w:t>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预拨执法局保定玖利徐热力有限公司2023年至2024年采暖季供热补贴资金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1.城区及时供暖，为居民提供了更好的生活环境。</w:t>
            </w:r>
          </w:p>
          <w:p>
            <w:pPr>
              <w:pStyle w:val="12"/>
            </w:pPr>
            <w:r>
              <w:t>2.完成2023-2024年城区供热。</w:t>
            </w:r>
          </w:p>
          <w:p>
            <w:pPr>
              <w:pStyle w:val="12"/>
            </w:pPr>
            <w:r>
              <w:t>3.城区内供暖面积达3400000平方米，提高了居民生活舒适度。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供暖面积</w:t>
            </w:r>
          </w:p>
        </w:tc>
        <w:tc>
          <w:tcPr>
            <w:tcW w:w="5386" w:type="dxa"/>
            <w:vAlign w:val="center"/>
          </w:tcPr>
          <w:p>
            <w:pPr>
              <w:pStyle w:val="12"/>
            </w:pPr>
            <w:r>
              <w:t>城区内供暖面积</w:t>
            </w:r>
          </w:p>
        </w:tc>
        <w:tc>
          <w:tcPr>
            <w:tcW w:w="2268" w:type="dxa"/>
            <w:vAlign w:val="center"/>
          </w:tcPr>
          <w:p>
            <w:pPr>
              <w:pStyle w:val="12"/>
            </w:pPr>
            <w:r>
              <w:t>≥3400000平方米</w:t>
            </w:r>
          </w:p>
        </w:tc>
        <w:tc>
          <w:tcPr>
            <w:tcW w:w="1276" w:type="dxa"/>
            <w:vAlign w:val="center"/>
          </w:tcPr>
          <w:p>
            <w:pPr>
              <w:pStyle w:val="12"/>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供暖保障率</w:t>
            </w:r>
          </w:p>
        </w:tc>
        <w:tc>
          <w:tcPr>
            <w:tcW w:w="5386" w:type="dxa"/>
            <w:vAlign w:val="center"/>
          </w:tcPr>
          <w:p>
            <w:pPr>
              <w:pStyle w:val="12"/>
            </w:pPr>
            <w:r>
              <w:t>供暖面积的供暖保障率</w:t>
            </w:r>
          </w:p>
        </w:tc>
        <w:tc>
          <w:tcPr>
            <w:tcW w:w="2268" w:type="dxa"/>
            <w:vAlign w:val="center"/>
          </w:tcPr>
          <w:p>
            <w:pPr>
              <w:pStyle w:val="12"/>
            </w:pPr>
            <w:r>
              <w:t>≥95%</w:t>
            </w:r>
          </w:p>
        </w:tc>
        <w:tc>
          <w:tcPr>
            <w:tcW w:w="1276" w:type="dxa"/>
            <w:vAlign w:val="center"/>
          </w:tcPr>
          <w:p>
            <w:pPr>
              <w:pStyle w:val="12"/>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供暖工作完成及时性</w:t>
            </w:r>
          </w:p>
        </w:tc>
        <w:tc>
          <w:tcPr>
            <w:tcW w:w="5386" w:type="dxa"/>
            <w:vAlign w:val="center"/>
          </w:tcPr>
          <w:p>
            <w:pPr>
              <w:pStyle w:val="12"/>
            </w:pPr>
            <w:r>
              <w:t>反映供暖工作开展的及时程度</w:t>
            </w:r>
          </w:p>
        </w:tc>
        <w:tc>
          <w:tcPr>
            <w:tcW w:w="2268" w:type="dxa"/>
            <w:vAlign w:val="center"/>
          </w:tcPr>
          <w:p>
            <w:pPr>
              <w:pStyle w:val="12"/>
            </w:pPr>
            <w:r>
              <w:t>≥90%</w:t>
            </w:r>
          </w:p>
        </w:tc>
        <w:tc>
          <w:tcPr>
            <w:tcW w:w="1276" w:type="dxa"/>
            <w:vAlign w:val="center"/>
          </w:tcPr>
          <w:p>
            <w:pPr>
              <w:pStyle w:val="12"/>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供暖费用</w:t>
            </w:r>
          </w:p>
        </w:tc>
        <w:tc>
          <w:tcPr>
            <w:tcW w:w="5386" w:type="dxa"/>
            <w:vAlign w:val="center"/>
          </w:tcPr>
          <w:p>
            <w:pPr>
              <w:pStyle w:val="12"/>
            </w:pPr>
            <w:r>
              <w:t>供暖费用不超过请示数</w:t>
            </w:r>
          </w:p>
        </w:tc>
        <w:tc>
          <w:tcPr>
            <w:tcW w:w="2268" w:type="dxa"/>
            <w:vAlign w:val="center"/>
          </w:tcPr>
          <w:p>
            <w:pPr>
              <w:pStyle w:val="12"/>
            </w:pPr>
            <w:r>
              <w:t>≤700万元</w:t>
            </w:r>
          </w:p>
        </w:tc>
        <w:tc>
          <w:tcPr>
            <w:tcW w:w="1276" w:type="dxa"/>
            <w:vAlign w:val="center"/>
          </w:tcPr>
          <w:p>
            <w:pPr>
              <w:pStyle w:val="12"/>
            </w:pPr>
            <w:r>
              <w:t>请示和会议纪要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冬季供暖问题</w:t>
            </w:r>
          </w:p>
        </w:tc>
        <w:tc>
          <w:tcPr>
            <w:tcW w:w="5386" w:type="dxa"/>
            <w:vAlign w:val="center"/>
          </w:tcPr>
          <w:p>
            <w:pPr>
              <w:pStyle w:val="12"/>
            </w:pPr>
            <w:r>
              <w:t>彻底解决了冬季供暖问题，为居民提供了更好的生活环境。</w:t>
            </w:r>
          </w:p>
        </w:tc>
        <w:tc>
          <w:tcPr>
            <w:tcW w:w="2268" w:type="dxa"/>
            <w:vAlign w:val="center"/>
          </w:tcPr>
          <w:p>
            <w:pPr>
              <w:pStyle w:val="12"/>
            </w:pPr>
            <w:r>
              <w:t>≥95%</w:t>
            </w:r>
          </w:p>
        </w:tc>
        <w:tc>
          <w:tcPr>
            <w:tcW w:w="1276" w:type="dxa"/>
            <w:vAlign w:val="center"/>
          </w:tcPr>
          <w:p>
            <w:pPr>
              <w:pStyle w:val="12"/>
            </w:pPr>
            <w: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居民对供暖满意度调查情况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7、执法局环卫经费（环卫工人工资）绩效目标表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13062524P00001510828H</w:t>
            </w:r>
          </w:p>
        </w:tc>
        <w:tc>
          <w:tcPr>
            <w:tcW w:w="2835" w:type="dxa"/>
            <w:vAlign w:val="center"/>
          </w:tcPr>
          <w:p>
            <w:pPr>
              <w:pStyle w:val="10"/>
            </w:pPr>
            <w:r>
              <w:t>项目名称</w:t>
            </w:r>
          </w:p>
        </w:tc>
        <w:tc>
          <w:tcPr>
            <w:tcW w:w="6094" w:type="dxa"/>
            <w:gridSpan w:val="3"/>
            <w:vAlign w:val="center"/>
          </w:tcPr>
          <w:p>
            <w:pPr>
              <w:pStyle w:val="12"/>
            </w:pPr>
            <w:r>
              <w:t>执法局环卫经费（环卫工人工资）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2317.52</w:t>
            </w:r>
          </w:p>
        </w:tc>
        <w:tc>
          <w:tcPr>
            <w:tcW w:w="2835" w:type="dxa"/>
            <w:vAlign w:val="center"/>
          </w:tcPr>
          <w:p>
            <w:pPr>
              <w:pStyle w:val="10"/>
            </w:pPr>
            <w:r>
              <w:t>其中：财政    资金</w:t>
            </w:r>
          </w:p>
        </w:tc>
        <w:tc>
          <w:tcPr>
            <w:tcW w:w="2551" w:type="dxa"/>
            <w:vAlign w:val="center"/>
          </w:tcPr>
          <w:p>
            <w:pPr>
              <w:pStyle w:val="12"/>
            </w:pPr>
            <w:r>
              <w:t>2317.52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执法局环卫经费（环卫工人工资）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1.提高居民居住环境，做到城区清洁全覆盖，促进大气污染防治工作。</w:t>
            </w:r>
            <w:r>
              <w:tab/>
            </w:r>
            <w:r>
              <w:tab/>
            </w:r>
            <w:r>
              <w:tab/>
            </w:r>
            <w:r>
              <w:tab/>
            </w:r>
            <w:r>
              <w:tab/>
            </w:r>
          </w:p>
          <w:p>
            <w:pPr>
              <w:pStyle w:val="12"/>
            </w:pPr>
            <w:r>
              <w:t>2.进一步改善城区环境，基本实现城区道路整洁干净，提高了城市形象。</w:t>
            </w:r>
          </w:p>
          <w:p>
            <w:pPr>
              <w:pStyle w:val="12"/>
            </w:pPr>
            <w:r>
              <w:t>3.卫生工作井然有序，无卫生死角，方便了群众生活。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合同项目数</w:t>
            </w:r>
          </w:p>
        </w:tc>
        <w:tc>
          <w:tcPr>
            <w:tcW w:w="5386" w:type="dxa"/>
            <w:vAlign w:val="center"/>
          </w:tcPr>
          <w:p>
            <w:pPr>
              <w:pStyle w:val="12"/>
            </w:pPr>
            <w:r>
              <w:t>合同项目数</w:t>
            </w:r>
          </w:p>
        </w:tc>
        <w:tc>
          <w:tcPr>
            <w:tcW w:w="2268" w:type="dxa"/>
            <w:vAlign w:val="center"/>
          </w:tcPr>
          <w:p>
            <w:pPr>
              <w:pStyle w:val="12"/>
            </w:pPr>
            <w:r>
              <w:t>8个</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服务工作验收合格率</w:t>
            </w:r>
          </w:p>
        </w:tc>
        <w:tc>
          <w:tcPr>
            <w:tcW w:w="5386" w:type="dxa"/>
            <w:vAlign w:val="center"/>
          </w:tcPr>
          <w:p>
            <w:pPr>
              <w:pStyle w:val="12"/>
            </w:pPr>
            <w:r>
              <w:t>清扫保洁等工作按合同标准验收合格</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按合同规定时间内完成各项工作情况</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不超过成本预算数</w:t>
            </w:r>
          </w:p>
        </w:tc>
        <w:tc>
          <w:tcPr>
            <w:tcW w:w="5386" w:type="dxa"/>
            <w:vAlign w:val="center"/>
          </w:tcPr>
          <w:p>
            <w:pPr>
              <w:pStyle w:val="12"/>
            </w:pPr>
            <w:r>
              <w:t>不超过成本预算数</w:t>
            </w:r>
          </w:p>
        </w:tc>
        <w:tc>
          <w:tcPr>
            <w:tcW w:w="2268" w:type="dxa"/>
            <w:vAlign w:val="center"/>
          </w:tcPr>
          <w:p>
            <w:pPr>
              <w:pStyle w:val="12"/>
            </w:pPr>
            <w:r>
              <w:t>≤2317.52万元</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居民居住环境提高率</w:t>
            </w:r>
          </w:p>
        </w:tc>
        <w:tc>
          <w:tcPr>
            <w:tcW w:w="5386" w:type="dxa"/>
            <w:vAlign w:val="center"/>
          </w:tcPr>
          <w:p>
            <w:pPr>
              <w:pStyle w:val="12"/>
            </w:pPr>
            <w:r>
              <w:t>提升居民的居住环境并促进大气污染防治工作。</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居民对于城区环卫作业服务质量的满意情况</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8、执法局绩效经费绩效目标表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13062524P00001510267M</w:t>
            </w:r>
          </w:p>
        </w:tc>
        <w:tc>
          <w:tcPr>
            <w:tcW w:w="2835" w:type="dxa"/>
            <w:vAlign w:val="center"/>
          </w:tcPr>
          <w:p>
            <w:pPr>
              <w:pStyle w:val="10"/>
            </w:pPr>
            <w:r>
              <w:t>项目名称</w:t>
            </w:r>
          </w:p>
        </w:tc>
        <w:tc>
          <w:tcPr>
            <w:tcW w:w="6094" w:type="dxa"/>
            <w:gridSpan w:val="3"/>
            <w:vAlign w:val="center"/>
          </w:tcPr>
          <w:p>
            <w:pPr>
              <w:pStyle w:val="12"/>
            </w:pPr>
            <w:r>
              <w:t>执法局绩效经费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83.52</w:t>
            </w:r>
          </w:p>
        </w:tc>
        <w:tc>
          <w:tcPr>
            <w:tcW w:w="2835" w:type="dxa"/>
            <w:vAlign w:val="center"/>
          </w:tcPr>
          <w:p>
            <w:pPr>
              <w:pStyle w:val="10"/>
            </w:pPr>
            <w:r>
              <w:t>其中：财政    资金</w:t>
            </w:r>
          </w:p>
        </w:tc>
        <w:tc>
          <w:tcPr>
            <w:tcW w:w="2551" w:type="dxa"/>
            <w:vAlign w:val="center"/>
          </w:tcPr>
          <w:p>
            <w:pPr>
              <w:pStyle w:val="12"/>
            </w:pPr>
            <w:r>
              <w:t>83.52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执法局绩效经费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24%</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1.保障执法人员数量232人，促进执法工作的顺利开展，提升市容环境。</w:t>
            </w:r>
          </w:p>
          <w:p>
            <w:pPr>
              <w:pStyle w:val="12"/>
            </w:pPr>
            <w:r>
              <w:t>2.每月按时完成执法人员绩效经费的支付，绩效发放率达到95%，执法人员满意度达到85%以上。</w:t>
            </w:r>
          </w:p>
          <w:p>
            <w:pPr>
              <w:pStyle w:val="12"/>
            </w:pPr>
            <w:r>
              <w:t>3.执法全覆盖，无缝隙链接，全力开展市容秩序和环境卫生综合整治行动。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绩效挂钩保障人数</w:t>
            </w:r>
          </w:p>
        </w:tc>
        <w:tc>
          <w:tcPr>
            <w:tcW w:w="5386" w:type="dxa"/>
            <w:vAlign w:val="center"/>
          </w:tcPr>
          <w:p>
            <w:pPr>
              <w:pStyle w:val="12"/>
            </w:pPr>
            <w:r>
              <w:t>绩效挂钩保障执法人员数量</w:t>
            </w:r>
          </w:p>
        </w:tc>
        <w:tc>
          <w:tcPr>
            <w:tcW w:w="2268" w:type="dxa"/>
            <w:vAlign w:val="center"/>
          </w:tcPr>
          <w:p>
            <w:pPr>
              <w:pStyle w:val="12"/>
            </w:pPr>
            <w:r>
              <w:t>232人</w:t>
            </w:r>
          </w:p>
        </w:tc>
        <w:tc>
          <w:tcPr>
            <w:tcW w:w="1276" w:type="dxa"/>
            <w:vAlign w:val="center"/>
          </w:tcPr>
          <w:p>
            <w:pPr>
              <w:pStyle w:val="12"/>
            </w:pPr>
            <w:r>
              <w:t>保定市徐水区人民政府专题会议纪要【2019】11号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经费发放准确率</w:t>
            </w:r>
          </w:p>
        </w:tc>
        <w:tc>
          <w:tcPr>
            <w:tcW w:w="5386" w:type="dxa"/>
            <w:vAlign w:val="center"/>
          </w:tcPr>
          <w:p>
            <w:pPr>
              <w:pStyle w:val="12"/>
            </w:pPr>
            <w:r>
              <w:t>考察执法人员经费发放准确到位情况</w:t>
            </w:r>
          </w:p>
        </w:tc>
        <w:tc>
          <w:tcPr>
            <w:tcW w:w="2268" w:type="dxa"/>
            <w:vAlign w:val="center"/>
          </w:tcPr>
          <w:p>
            <w:pPr>
              <w:pStyle w:val="12"/>
            </w:pPr>
            <w:r>
              <w:t>100%</w:t>
            </w:r>
          </w:p>
        </w:tc>
        <w:tc>
          <w:tcPr>
            <w:tcW w:w="1276" w:type="dxa"/>
            <w:vAlign w:val="center"/>
          </w:tcPr>
          <w:p>
            <w:pPr>
              <w:pStyle w:val="12"/>
            </w:pPr>
            <w:r>
              <w:t>执法局绩效经费实施计划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绩效发放及时情况</w:t>
            </w:r>
          </w:p>
        </w:tc>
        <w:tc>
          <w:tcPr>
            <w:tcW w:w="2268" w:type="dxa"/>
            <w:vAlign w:val="center"/>
          </w:tcPr>
          <w:p>
            <w:pPr>
              <w:pStyle w:val="12"/>
            </w:pPr>
            <w:r>
              <w:t>95%</w:t>
            </w:r>
          </w:p>
        </w:tc>
        <w:tc>
          <w:tcPr>
            <w:tcW w:w="1276" w:type="dxa"/>
            <w:vAlign w:val="center"/>
          </w:tcPr>
          <w:p>
            <w:pPr>
              <w:pStyle w:val="12"/>
            </w:pPr>
            <w:r>
              <w:t>执法局绩效经费实施计划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人均经费支出标准</w:t>
            </w:r>
          </w:p>
        </w:tc>
        <w:tc>
          <w:tcPr>
            <w:tcW w:w="5386" w:type="dxa"/>
            <w:vAlign w:val="center"/>
          </w:tcPr>
          <w:p>
            <w:pPr>
              <w:pStyle w:val="12"/>
            </w:pPr>
            <w:r>
              <w:t>每人每月费用</w:t>
            </w:r>
          </w:p>
        </w:tc>
        <w:tc>
          <w:tcPr>
            <w:tcW w:w="2268" w:type="dxa"/>
            <w:vAlign w:val="center"/>
          </w:tcPr>
          <w:p>
            <w:pPr>
              <w:pStyle w:val="12"/>
            </w:pPr>
            <w:r>
              <w:t>≤300元</w:t>
            </w:r>
          </w:p>
        </w:tc>
        <w:tc>
          <w:tcPr>
            <w:tcW w:w="1276" w:type="dxa"/>
            <w:vAlign w:val="center"/>
          </w:tcPr>
          <w:p>
            <w:pPr>
              <w:pStyle w:val="12"/>
            </w:pPr>
            <w:r>
              <w:t>保定市徐水区人民政府专题会议纪要【2019】11号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执法人员队伍稳定率</w:t>
            </w:r>
          </w:p>
        </w:tc>
        <w:tc>
          <w:tcPr>
            <w:tcW w:w="5386" w:type="dxa"/>
            <w:vAlign w:val="center"/>
          </w:tcPr>
          <w:p>
            <w:pPr>
              <w:pStyle w:val="12"/>
            </w:pPr>
            <w:r>
              <w:t>执法人员队伍稳定情况</w:t>
            </w:r>
          </w:p>
        </w:tc>
        <w:tc>
          <w:tcPr>
            <w:tcW w:w="2268" w:type="dxa"/>
            <w:vAlign w:val="center"/>
          </w:tcPr>
          <w:p>
            <w:pPr>
              <w:pStyle w:val="12"/>
            </w:pPr>
            <w:r>
              <w:t>≥95%</w:t>
            </w:r>
          </w:p>
        </w:tc>
        <w:tc>
          <w:tcPr>
            <w:tcW w:w="1276" w:type="dxa"/>
            <w:vAlign w:val="center"/>
          </w:tcPr>
          <w:p>
            <w:pPr>
              <w:pStyle w:val="12"/>
            </w:pPr>
            <w:r>
              <w:t>执法局绩效经费实施计划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执法人员满意度</w:t>
            </w:r>
          </w:p>
        </w:tc>
        <w:tc>
          <w:tcPr>
            <w:tcW w:w="5386" w:type="dxa"/>
            <w:vAlign w:val="center"/>
          </w:tcPr>
          <w:p>
            <w:pPr>
              <w:pStyle w:val="12"/>
            </w:pPr>
            <w:r>
              <w:t>考察执法人员对绩效经费项目整体满意程度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9、执法局劳务派遣人员费用绩效目标表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13062524P00001510269W</w:t>
            </w:r>
          </w:p>
        </w:tc>
        <w:tc>
          <w:tcPr>
            <w:tcW w:w="2835" w:type="dxa"/>
            <w:vAlign w:val="center"/>
          </w:tcPr>
          <w:p>
            <w:pPr>
              <w:pStyle w:val="10"/>
            </w:pPr>
            <w:r>
              <w:t>项目名称</w:t>
            </w:r>
          </w:p>
        </w:tc>
        <w:tc>
          <w:tcPr>
            <w:tcW w:w="6094" w:type="dxa"/>
            <w:gridSpan w:val="3"/>
            <w:vAlign w:val="center"/>
          </w:tcPr>
          <w:p>
            <w:pPr>
              <w:pStyle w:val="12"/>
            </w:pPr>
            <w:r>
              <w:t>执法局劳务派遣人员费用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210.91</w:t>
            </w:r>
          </w:p>
        </w:tc>
        <w:tc>
          <w:tcPr>
            <w:tcW w:w="2835" w:type="dxa"/>
            <w:vAlign w:val="center"/>
          </w:tcPr>
          <w:p>
            <w:pPr>
              <w:pStyle w:val="10"/>
            </w:pPr>
            <w:r>
              <w:t>其中：财政    资金</w:t>
            </w:r>
          </w:p>
        </w:tc>
        <w:tc>
          <w:tcPr>
            <w:tcW w:w="2551" w:type="dxa"/>
            <w:vAlign w:val="center"/>
          </w:tcPr>
          <w:p>
            <w:pPr>
              <w:pStyle w:val="12"/>
            </w:pPr>
            <w:r>
              <w:t>210.91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执法局劳务派遣人员费用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24%</w:t>
            </w:r>
          </w:p>
        </w:tc>
        <w:tc>
          <w:tcPr>
            <w:tcW w:w="2835" w:type="dxa"/>
            <w:vAlign w:val="center"/>
          </w:tcPr>
          <w:p>
            <w:pPr>
              <w:pStyle w:val="13"/>
            </w:pPr>
            <w:r>
              <w:t>48%</w:t>
            </w:r>
          </w:p>
        </w:tc>
        <w:tc>
          <w:tcPr>
            <w:tcW w:w="2551" w:type="dxa"/>
            <w:vAlign w:val="center"/>
          </w:tcPr>
          <w:p>
            <w:pPr>
              <w:pStyle w:val="13"/>
            </w:pPr>
            <w:r>
              <w:t>72%</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1.新招录40名协管人员，缓解执法人员不足问题。</w:t>
            </w:r>
          </w:p>
          <w:p>
            <w:pPr>
              <w:pStyle w:val="12"/>
            </w:pPr>
            <w:r>
              <w:t>2.实现城市管理工作“持续化、常态化、精细化”目标。</w:t>
            </w:r>
          </w:p>
          <w:p>
            <w:pPr>
              <w:pStyle w:val="12"/>
            </w:pPr>
            <w:r>
              <w:t>3.提高了城区市容管理的工作效率，扩大了城市管理的覆盖面。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招聘协管人员数量</w:t>
            </w:r>
          </w:p>
        </w:tc>
        <w:tc>
          <w:tcPr>
            <w:tcW w:w="5386" w:type="dxa"/>
            <w:vAlign w:val="center"/>
          </w:tcPr>
          <w:p>
            <w:pPr>
              <w:pStyle w:val="12"/>
            </w:pPr>
            <w:r>
              <w:t>协管人员数量</w:t>
            </w:r>
          </w:p>
        </w:tc>
        <w:tc>
          <w:tcPr>
            <w:tcW w:w="2268" w:type="dxa"/>
            <w:vAlign w:val="center"/>
          </w:tcPr>
          <w:p>
            <w:pPr>
              <w:pStyle w:val="12"/>
            </w:pPr>
            <w:r>
              <w:t>40人</w:t>
            </w:r>
          </w:p>
        </w:tc>
        <w:tc>
          <w:tcPr>
            <w:tcW w:w="1276" w:type="dxa"/>
            <w:vAlign w:val="center"/>
          </w:tcPr>
          <w:p>
            <w:pPr>
              <w:pStyle w:val="12"/>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工作完成得到社会认可程度</w:t>
            </w:r>
          </w:p>
        </w:tc>
        <w:tc>
          <w:tcPr>
            <w:tcW w:w="2268" w:type="dxa"/>
            <w:vAlign w:val="center"/>
          </w:tcPr>
          <w:p>
            <w:pPr>
              <w:pStyle w:val="12"/>
            </w:pPr>
            <w:r>
              <w:t>≥95%</w:t>
            </w:r>
          </w:p>
        </w:tc>
        <w:tc>
          <w:tcPr>
            <w:tcW w:w="1276" w:type="dxa"/>
            <w:vAlign w:val="center"/>
          </w:tcPr>
          <w:p>
            <w:pPr>
              <w:pStyle w:val="12"/>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工资发放时间</w:t>
            </w:r>
          </w:p>
        </w:tc>
        <w:tc>
          <w:tcPr>
            <w:tcW w:w="5386" w:type="dxa"/>
            <w:vAlign w:val="center"/>
          </w:tcPr>
          <w:p>
            <w:pPr>
              <w:pStyle w:val="12"/>
            </w:pPr>
            <w:r>
              <w:t>工资发放及时率</w:t>
            </w:r>
          </w:p>
        </w:tc>
        <w:tc>
          <w:tcPr>
            <w:tcW w:w="2268" w:type="dxa"/>
            <w:vAlign w:val="center"/>
          </w:tcPr>
          <w:p>
            <w:pPr>
              <w:pStyle w:val="12"/>
            </w:pPr>
            <w:r>
              <w:t>≥95%</w:t>
            </w:r>
          </w:p>
        </w:tc>
        <w:tc>
          <w:tcPr>
            <w:tcW w:w="1276" w:type="dxa"/>
            <w:vAlign w:val="center"/>
          </w:tcPr>
          <w:p>
            <w:pPr>
              <w:pStyle w:val="12"/>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人均费用</w:t>
            </w:r>
          </w:p>
        </w:tc>
        <w:tc>
          <w:tcPr>
            <w:tcW w:w="5386" w:type="dxa"/>
            <w:vAlign w:val="center"/>
          </w:tcPr>
          <w:p>
            <w:pPr>
              <w:pStyle w:val="12"/>
            </w:pPr>
            <w:r>
              <w:t>每人每年费用</w:t>
            </w:r>
          </w:p>
        </w:tc>
        <w:tc>
          <w:tcPr>
            <w:tcW w:w="2268" w:type="dxa"/>
            <w:vAlign w:val="center"/>
          </w:tcPr>
          <w:p>
            <w:pPr>
              <w:pStyle w:val="12"/>
            </w:pPr>
            <w:r>
              <w:t>≤52728.12元</w:t>
            </w:r>
          </w:p>
        </w:tc>
        <w:tc>
          <w:tcPr>
            <w:tcW w:w="1276" w:type="dxa"/>
            <w:vAlign w:val="center"/>
          </w:tcPr>
          <w:p>
            <w:pPr>
              <w:pStyle w:val="12"/>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全面提升市容环境</w:t>
            </w:r>
          </w:p>
        </w:tc>
        <w:tc>
          <w:tcPr>
            <w:tcW w:w="5386" w:type="dxa"/>
            <w:vAlign w:val="center"/>
          </w:tcPr>
          <w:p>
            <w:pPr>
              <w:pStyle w:val="12"/>
            </w:pPr>
            <w:r>
              <w:t>通过协管人员协助执法，实现城市管理大提升</w:t>
            </w:r>
          </w:p>
        </w:tc>
        <w:tc>
          <w:tcPr>
            <w:tcW w:w="2268" w:type="dxa"/>
            <w:vAlign w:val="center"/>
          </w:tcPr>
          <w:p>
            <w:pPr>
              <w:pStyle w:val="12"/>
            </w:pPr>
            <w:r>
              <w:t>≥95%</w:t>
            </w:r>
          </w:p>
        </w:tc>
        <w:tc>
          <w:tcPr>
            <w:tcW w:w="1276" w:type="dxa"/>
            <w:vAlign w:val="center"/>
          </w:tcPr>
          <w:p>
            <w:pPr>
              <w:pStyle w:val="12"/>
            </w:pPr>
            <w:r>
              <w:t>依据劳务派遣合同要求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劳务派遣人员满意度调查</w:t>
            </w:r>
          </w:p>
        </w:tc>
        <w:tc>
          <w:tcPr>
            <w:tcW w:w="5386" w:type="dxa"/>
            <w:vAlign w:val="center"/>
          </w:tcPr>
          <w:p>
            <w:pPr>
              <w:pStyle w:val="12"/>
            </w:pPr>
            <w:r>
              <w:t>对劳务派遣人员进行满意程度调查</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10、执法局人员伙食补助费用绩效目标表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13062524P000015102662</w:t>
            </w:r>
          </w:p>
        </w:tc>
        <w:tc>
          <w:tcPr>
            <w:tcW w:w="2835" w:type="dxa"/>
            <w:vAlign w:val="center"/>
          </w:tcPr>
          <w:p>
            <w:pPr>
              <w:pStyle w:val="10"/>
            </w:pPr>
            <w:r>
              <w:t>项目名称</w:t>
            </w:r>
          </w:p>
        </w:tc>
        <w:tc>
          <w:tcPr>
            <w:tcW w:w="6094" w:type="dxa"/>
            <w:gridSpan w:val="3"/>
            <w:vAlign w:val="center"/>
          </w:tcPr>
          <w:p>
            <w:pPr>
              <w:pStyle w:val="12"/>
            </w:pPr>
            <w:r>
              <w:t>执法局人员伙食补助费用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143.47</w:t>
            </w:r>
          </w:p>
        </w:tc>
        <w:tc>
          <w:tcPr>
            <w:tcW w:w="2835" w:type="dxa"/>
            <w:vAlign w:val="center"/>
          </w:tcPr>
          <w:p>
            <w:pPr>
              <w:pStyle w:val="10"/>
            </w:pPr>
            <w:r>
              <w:t>其中：财政    资金</w:t>
            </w:r>
          </w:p>
        </w:tc>
        <w:tc>
          <w:tcPr>
            <w:tcW w:w="2551" w:type="dxa"/>
            <w:vAlign w:val="center"/>
          </w:tcPr>
          <w:p>
            <w:pPr>
              <w:pStyle w:val="12"/>
            </w:pPr>
            <w:r>
              <w:t>143.47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执法局人员伙食补助费用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24%</w:t>
            </w:r>
          </w:p>
        </w:tc>
        <w:tc>
          <w:tcPr>
            <w:tcW w:w="2835" w:type="dxa"/>
            <w:vAlign w:val="center"/>
          </w:tcPr>
          <w:p>
            <w:pPr>
              <w:pStyle w:val="13"/>
            </w:pPr>
            <w:r>
              <w:t>48%</w:t>
            </w:r>
          </w:p>
        </w:tc>
        <w:tc>
          <w:tcPr>
            <w:tcW w:w="2551" w:type="dxa"/>
            <w:vAlign w:val="center"/>
          </w:tcPr>
          <w:p>
            <w:pPr>
              <w:pStyle w:val="13"/>
            </w:pPr>
            <w:r>
              <w:t>72%</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1.保证执法工作顺利开展，提升城区整体市容环境。</w:t>
            </w:r>
          </w:p>
          <w:p>
            <w:pPr>
              <w:pStyle w:val="12"/>
            </w:pPr>
            <w:r>
              <w:t>2.按时完成伙食费支付，执法人员对伙食补助满意度达到85%以上。</w:t>
            </w:r>
          </w:p>
          <w:p>
            <w:pPr>
              <w:pStyle w:val="12"/>
            </w:pPr>
            <w:r>
              <w:t>3.为广大职工提供有力的生活保障，保证执法工作高效有序的开展。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执法队员伙食补助人数</w:t>
            </w:r>
          </w:p>
        </w:tc>
        <w:tc>
          <w:tcPr>
            <w:tcW w:w="5386" w:type="dxa"/>
            <w:vAlign w:val="center"/>
          </w:tcPr>
          <w:p>
            <w:pPr>
              <w:pStyle w:val="12"/>
            </w:pPr>
            <w:r>
              <w:t>执法队员伙食补助人数</w:t>
            </w:r>
          </w:p>
        </w:tc>
        <w:tc>
          <w:tcPr>
            <w:tcW w:w="2268" w:type="dxa"/>
            <w:vAlign w:val="center"/>
          </w:tcPr>
          <w:p>
            <w:pPr>
              <w:pStyle w:val="12"/>
            </w:pPr>
            <w:r>
              <w:t>245人</w:t>
            </w:r>
          </w:p>
        </w:tc>
        <w:tc>
          <w:tcPr>
            <w:tcW w:w="1276" w:type="dxa"/>
            <w:vAlign w:val="center"/>
          </w:tcPr>
          <w:p>
            <w:pPr>
              <w:pStyle w:val="12"/>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食品质量合格率</w:t>
            </w:r>
          </w:p>
        </w:tc>
        <w:tc>
          <w:tcPr>
            <w:tcW w:w="2268" w:type="dxa"/>
            <w:vAlign w:val="center"/>
          </w:tcPr>
          <w:p>
            <w:pPr>
              <w:pStyle w:val="12"/>
            </w:pPr>
            <w:r>
              <w:t>≥95%</w:t>
            </w:r>
          </w:p>
        </w:tc>
        <w:tc>
          <w:tcPr>
            <w:tcW w:w="1276" w:type="dxa"/>
            <w:vAlign w:val="center"/>
          </w:tcPr>
          <w:p>
            <w:pPr>
              <w:pStyle w:val="12"/>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支付及时情况</w:t>
            </w:r>
          </w:p>
        </w:tc>
        <w:tc>
          <w:tcPr>
            <w:tcW w:w="2268" w:type="dxa"/>
            <w:vAlign w:val="center"/>
          </w:tcPr>
          <w:p>
            <w:pPr>
              <w:pStyle w:val="12"/>
            </w:pPr>
            <w:r>
              <w:t>100%</w:t>
            </w:r>
          </w:p>
        </w:tc>
        <w:tc>
          <w:tcPr>
            <w:tcW w:w="1276" w:type="dxa"/>
            <w:vAlign w:val="center"/>
          </w:tcPr>
          <w:p>
            <w:pPr>
              <w:pStyle w:val="12"/>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成本费用</w:t>
            </w:r>
          </w:p>
        </w:tc>
        <w:tc>
          <w:tcPr>
            <w:tcW w:w="5386" w:type="dxa"/>
            <w:vAlign w:val="center"/>
          </w:tcPr>
          <w:p>
            <w:pPr>
              <w:pStyle w:val="12"/>
            </w:pPr>
            <w:r>
              <w:t>不超过预算数</w:t>
            </w:r>
          </w:p>
        </w:tc>
        <w:tc>
          <w:tcPr>
            <w:tcW w:w="2268" w:type="dxa"/>
            <w:vAlign w:val="center"/>
          </w:tcPr>
          <w:p>
            <w:pPr>
              <w:pStyle w:val="12"/>
            </w:pPr>
            <w:r>
              <w:t>≤143.47万元</w:t>
            </w:r>
          </w:p>
        </w:tc>
        <w:tc>
          <w:tcPr>
            <w:tcW w:w="1276" w:type="dxa"/>
            <w:vAlign w:val="center"/>
          </w:tcPr>
          <w:p>
            <w:pPr>
              <w:pStyle w:val="12"/>
            </w:pPr>
            <w:r>
              <w:t>保定市徐水区人民政府会议纪要【2019】11号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执法工作“停摆”情况发生数</w:t>
            </w:r>
          </w:p>
        </w:tc>
        <w:tc>
          <w:tcPr>
            <w:tcW w:w="5386" w:type="dxa"/>
            <w:vAlign w:val="center"/>
          </w:tcPr>
          <w:p>
            <w:pPr>
              <w:pStyle w:val="12"/>
            </w:pPr>
            <w:r>
              <w:t>反映项目实施对执法工作顺利开展的保障程度</w:t>
            </w:r>
          </w:p>
        </w:tc>
        <w:tc>
          <w:tcPr>
            <w:tcW w:w="2268" w:type="dxa"/>
            <w:vAlign w:val="center"/>
          </w:tcPr>
          <w:p>
            <w:pPr>
              <w:pStyle w:val="12"/>
            </w:pPr>
            <w:r>
              <w:t>&lt;1次</w:t>
            </w:r>
          </w:p>
        </w:tc>
        <w:tc>
          <w:tcPr>
            <w:tcW w:w="1276" w:type="dxa"/>
            <w:vAlign w:val="center"/>
          </w:tcPr>
          <w:p>
            <w:pPr>
              <w:pStyle w:val="12"/>
            </w:pPr>
            <w:r>
              <w:t>执法局伙食补助经费实施计划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执法人员对伙食补助满意度</w:t>
            </w:r>
          </w:p>
        </w:tc>
        <w:tc>
          <w:tcPr>
            <w:tcW w:w="5386" w:type="dxa"/>
            <w:vAlign w:val="center"/>
          </w:tcPr>
          <w:p>
            <w:pPr>
              <w:pStyle w:val="12"/>
            </w:pPr>
            <w:r>
              <w:t>反映执法人员对伙食补助费用的整体满意程度</w:t>
            </w:r>
          </w:p>
        </w:tc>
        <w:tc>
          <w:tcPr>
            <w:tcW w:w="2268" w:type="dxa"/>
            <w:vAlign w:val="center"/>
          </w:tcPr>
          <w:p>
            <w:pPr>
              <w:pStyle w:val="12"/>
            </w:pPr>
            <w:r>
              <w:t>≥85%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11、执法局网络租赁费用绩效目标表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13062524P00001510272F</w:t>
            </w:r>
          </w:p>
        </w:tc>
        <w:tc>
          <w:tcPr>
            <w:tcW w:w="2835" w:type="dxa"/>
            <w:vAlign w:val="center"/>
          </w:tcPr>
          <w:p>
            <w:pPr>
              <w:pStyle w:val="10"/>
            </w:pPr>
            <w:r>
              <w:t>项目名称</w:t>
            </w:r>
          </w:p>
        </w:tc>
        <w:tc>
          <w:tcPr>
            <w:tcW w:w="6094" w:type="dxa"/>
            <w:gridSpan w:val="3"/>
            <w:vAlign w:val="center"/>
          </w:tcPr>
          <w:p>
            <w:pPr>
              <w:pStyle w:val="12"/>
            </w:pPr>
            <w:r>
              <w:t>执法局网络租赁费用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25.47</w:t>
            </w:r>
          </w:p>
        </w:tc>
        <w:tc>
          <w:tcPr>
            <w:tcW w:w="2835" w:type="dxa"/>
            <w:vAlign w:val="center"/>
          </w:tcPr>
          <w:p>
            <w:pPr>
              <w:pStyle w:val="10"/>
            </w:pPr>
            <w:r>
              <w:t>其中：财政    资金</w:t>
            </w:r>
          </w:p>
        </w:tc>
        <w:tc>
          <w:tcPr>
            <w:tcW w:w="2551" w:type="dxa"/>
            <w:vAlign w:val="center"/>
          </w:tcPr>
          <w:p>
            <w:pPr>
              <w:pStyle w:val="12"/>
            </w:pPr>
            <w:r>
              <w:t>25.47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执法局网络租赁费用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1.通过开展此项工作，实现了数字化城管管理工作，实现城市管理工作“数字化、精细化”目标。</w:t>
            </w:r>
          </w:p>
          <w:p>
            <w:pPr>
              <w:pStyle w:val="12"/>
            </w:pPr>
            <w:r>
              <w:t>2.维护网络，维修设备不低于30次。</w:t>
            </w:r>
            <w:r>
              <w:tab/>
            </w:r>
            <w:r>
              <w:tab/>
            </w:r>
            <w:r>
              <w:tab/>
            </w:r>
            <w:r>
              <w:tab/>
            </w:r>
            <w:r>
              <w:tab/>
            </w:r>
          </w:p>
          <w:p>
            <w:pPr>
              <w:pStyle w:val="12"/>
            </w:pPr>
            <w:r>
              <w:t>3.促进社会管理综合治理工作信息化、高效化、提高了工作效率。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数控中心租用线路</w:t>
            </w:r>
          </w:p>
        </w:tc>
        <w:tc>
          <w:tcPr>
            <w:tcW w:w="5386" w:type="dxa"/>
            <w:vAlign w:val="center"/>
          </w:tcPr>
          <w:p>
            <w:pPr>
              <w:pStyle w:val="12"/>
            </w:pPr>
            <w:r>
              <w:t>租用线路条数</w:t>
            </w:r>
          </w:p>
        </w:tc>
        <w:tc>
          <w:tcPr>
            <w:tcW w:w="2268" w:type="dxa"/>
            <w:vAlign w:val="center"/>
          </w:tcPr>
          <w:p>
            <w:pPr>
              <w:pStyle w:val="12"/>
            </w:pPr>
            <w:r>
              <w:t>52条</w:t>
            </w:r>
          </w:p>
        </w:tc>
        <w:tc>
          <w:tcPr>
            <w:tcW w:w="1276" w:type="dxa"/>
            <w:vAlign w:val="center"/>
          </w:tcPr>
          <w:p>
            <w:pPr>
              <w:pStyle w:val="12"/>
            </w:pPr>
            <w:r>
              <w:t>依据专项业务协议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采购物联卡个数</w:t>
            </w:r>
          </w:p>
        </w:tc>
        <w:tc>
          <w:tcPr>
            <w:tcW w:w="5386" w:type="dxa"/>
            <w:vAlign w:val="center"/>
          </w:tcPr>
          <w:p>
            <w:pPr>
              <w:pStyle w:val="12"/>
            </w:pPr>
            <w:r>
              <w:t>采购物联卡个数</w:t>
            </w:r>
          </w:p>
        </w:tc>
        <w:tc>
          <w:tcPr>
            <w:tcW w:w="2268" w:type="dxa"/>
            <w:vAlign w:val="center"/>
          </w:tcPr>
          <w:p>
            <w:pPr>
              <w:pStyle w:val="12"/>
            </w:pPr>
            <w:r>
              <w:t>146张</w:t>
            </w:r>
          </w:p>
        </w:tc>
        <w:tc>
          <w:tcPr>
            <w:tcW w:w="1276" w:type="dxa"/>
            <w:vAlign w:val="center"/>
          </w:tcPr>
          <w:p>
            <w:pPr>
              <w:pStyle w:val="12"/>
            </w:pPr>
            <w:r>
              <w:t>依据物联网业务合作协议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手机套餐使用个数</w:t>
            </w:r>
          </w:p>
        </w:tc>
        <w:tc>
          <w:tcPr>
            <w:tcW w:w="5386" w:type="dxa"/>
            <w:vAlign w:val="center"/>
          </w:tcPr>
          <w:p>
            <w:pPr>
              <w:pStyle w:val="12"/>
            </w:pPr>
            <w:r>
              <w:t>手机套餐使用个数</w:t>
            </w:r>
          </w:p>
        </w:tc>
        <w:tc>
          <w:tcPr>
            <w:tcW w:w="2268" w:type="dxa"/>
            <w:vAlign w:val="center"/>
          </w:tcPr>
          <w:p>
            <w:pPr>
              <w:pStyle w:val="12"/>
            </w:pPr>
            <w:r>
              <w:t>40部</w:t>
            </w:r>
          </w:p>
        </w:tc>
        <w:tc>
          <w:tcPr>
            <w:tcW w:w="1276" w:type="dxa"/>
            <w:vAlign w:val="center"/>
          </w:tcPr>
          <w:p>
            <w:pPr>
              <w:pStyle w:val="12"/>
            </w:pPr>
            <w:r>
              <w:t>依据应用服务协议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路灯控制器网线个数</w:t>
            </w:r>
          </w:p>
        </w:tc>
        <w:tc>
          <w:tcPr>
            <w:tcW w:w="5386" w:type="dxa"/>
            <w:vAlign w:val="center"/>
          </w:tcPr>
          <w:p>
            <w:pPr>
              <w:pStyle w:val="12"/>
            </w:pPr>
            <w:r>
              <w:t>路灯控制器网线个数</w:t>
            </w:r>
          </w:p>
        </w:tc>
        <w:tc>
          <w:tcPr>
            <w:tcW w:w="2268" w:type="dxa"/>
            <w:vAlign w:val="center"/>
          </w:tcPr>
          <w:p>
            <w:pPr>
              <w:pStyle w:val="12"/>
            </w:pPr>
            <w:r>
              <w:t>3条</w:t>
            </w:r>
          </w:p>
        </w:tc>
        <w:tc>
          <w:tcPr>
            <w:tcW w:w="1276" w:type="dxa"/>
            <w:vAlign w:val="center"/>
          </w:tcPr>
          <w:p>
            <w:pPr>
              <w:pStyle w:val="12"/>
            </w:pPr>
            <w:r>
              <w:t>依据互联网专项业务合作协议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租用线路验收合格率</w:t>
            </w:r>
          </w:p>
        </w:tc>
        <w:tc>
          <w:tcPr>
            <w:tcW w:w="5386" w:type="dxa"/>
            <w:vAlign w:val="center"/>
          </w:tcPr>
          <w:p>
            <w:pPr>
              <w:pStyle w:val="12"/>
            </w:pPr>
            <w:r>
              <w:t>租用线路验收合格率</w:t>
            </w:r>
          </w:p>
        </w:tc>
        <w:tc>
          <w:tcPr>
            <w:tcW w:w="2268" w:type="dxa"/>
            <w:vAlign w:val="center"/>
          </w:tcPr>
          <w:p>
            <w:pPr>
              <w:pStyle w:val="12"/>
            </w:pPr>
            <w:r>
              <w:t>≥95%</w:t>
            </w:r>
          </w:p>
        </w:tc>
        <w:tc>
          <w:tcPr>
            <w:tcW w:w="1276" w:type="dxa"/>
            <w:vAlign w:val="center"/>
          </w:tcPr>
          <w:p>
            <w:pPr>
              <w:pStyle w:val="12"/>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支付费用及时情况</w:t>
            </w:r>
          </w:p>
        </w:tc>
        <w:tc>
          <w:tcPr>
            <w:tcW w:w="5386" w:type="dxa"/>
            <w:vAlign w:val="center"/>
          </w:tcPr>
          <w:p>
            <w:pPr>
              <w:pStyle w:val="12"/>
            </w:pPr>
            <w:r>
              <w:t>支付费用及时率</w:t>
            </w:r>
          </w:p>
        </w:tc>
        <w:tc>
          <w:tcPr>
            <w:tcW w:w="2268" w:type="dxa"/>
            <w:vAlign w:val="center"/>
          </w:tcPr>
          <w:p>
            <w:pPr>
              <w:pStyle w:val="12"/>
            </w:pPr>
            <w:r>
              <w:t>≥95%</w:t>
            </w:r>
          </w:p>
        </w:tc>
        <w:tc>
          <w:tcPr>
            <w:tcW w:w="1276" w:type="dxa"/>
            <w:vAlign w:val="center"/>
          </w:tcPr>
          <w:p>
            <w:pPr>
              <w:pStyle w:val="12"/>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网络租赁费用</w:t>
            </w:r>
          </w:p>
        </w:tc>
        <w:tc>
          <w:tcPr>
            <w:tcW w:w="5386" w:type="dxa"/>
            <w:vAlign w:val="center"/>
          </w:tcPr>
          <w:p>
            <w:pPr>
              <w:pStyle w:val="12"/>
            </w:pPr>
            <w:r>
              <w:t>反映网络租赁费用不高于预算金额</w:t>
            </w:r>
          </w:p>
        </w:tc>
        <w:tc>
          <w:tcPr>
            <w:tcW w:w="2268" w:type="dxa"/>
            <w:vAlign w:val="center"/>
          </w:tcPr>
          <w:p>
            <w:pPr>
              <w:pStyle w:val="12"/>
            </w:pPr>
            <w:r>
              <w:t>≤254688元</w:t>
            </w:r>
          </w:p>
        </w:tc>
        <w:tc>
          <w:tcPr>
            <w:tcW w:w="1276" w:type="dxa"/>
            <w:vAlign w:val="center"/>
          </w:tcPr>
          <w:p>
            <w:pPr>
              <w:pStyle w:val="12"/>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城市规范化管理水平提高率</w:t>
            </w:r>
          </w:p>
        </w:tc>
        <w:tc>
          <w:tcPr>
            <w:tcW w:w="5386" w:type="dxa"/>
            <w:vAlign w:val="center"/>
          </w:tcPr>
          <w:p>
            <w:pPr>
              <w:pStyle w:val="12"/>
            </w:pPr>
            <w:r>
              <w:t>反映城市规范化管理水平提高情况</w:t>
            </w:r>
          </w:p>
        </w:tc>
        <w:tc>
          <w:tcPr>
            <w:tcW w:w="2268" w:type="dxa"/>
            <w:vAlign w:val="center"/>
          </w:tcPr>
          <w:p>
            <w:pPr>
              <w:pStyle w:val="12"/>
            </w:pPr>
            <w:r>
              <w:t>≥90%</w:t>
            </w:r>
          </w:p>
        </w:tc>
        <w:tc>
          <w:tcPr>
            <w:tcW w:w="1276" w:type="dxa"/>
            <w:vAlign w:val="center"/>
          </w:tcPr>
          <w:p>
            <w:pPr>
              <w:pStyle w:val="12"/>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反映执法部门工作人员对网络及设备的满意程度</w:t>
            </w:r>
          </w:p>
        </w:tc>
        <w:tc>
          <w:tcPr>
            <w:tcW w:w="2268" w:type="dxa"/>
            <w:vAlign w:val="center"/>
          </w:tcPr>
          <w:p>
            <w:pPr>
              <w:pStyle w:val="12"/>
            </w:pPr>
            <w:r>
              <w:t>≥85%</w:t>
            </w:r>
          </w:p>
        </w:tc>
        <w:tc>
          <w:tcPr>
            <w:tcW w:w="1276" w:type="dxa"/>
            <w:vAlign w:val="center"/>
          </w:tcPr>
          <w:p>
            <w:pPr>
              <w:pStyle w:val="12"/>
            </w:pPr>
            <w:r>
              <w:t>居民满意度调查问卷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12、执法局巡逻车辆经费绩效目标表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13062524P00001510271U</w:t>
            </w:r>
          </w:p>
        </w:tc>
        <w:tc>
          <w:tcPr>
            <w:tcW w:w="2835" w:type="dxa"/>
            <w:vAlign w:val="center"/>
          </w:tcPr>
          <w:p>
            <w:pPr>
              <w:pStyle w:val="10"/>
            </w:pPr>
            <w:r>
              <w:t>项目名称</w:t>
            </w:r>
          </w:p>
        </w:tc>
        <w:tc>
          <w:tcPr>
            <w:tcW w:w="6094" w:type="dxa"/>
            <w:gridSpan w:val="3"/>
            <w:vAlign w:val="center"/>
          </w:tcPr>
          <w:p>
            <w:pPr>
              <w:pStyle w:val="12"/>
            </w:pPr>
            <w:r>
              <w:t>执法局巡逻车辆经费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87.48</w:t>
            </w:r>
          </w:p>
        </w:tc>
        <w:tc>
          <w:tcPr>
            <w:tcW w:w="2835" w:type="dxa"/>
            <w:vAlign w:val="center"/>
          </w:tcPr>
          <w:p>
            <w:pPr>
              <w:pStyle w:val="10"/>
            </w:pPr>
            <w:r>
              <w:t>其中：财政    资金</w:t>
            </w:r>
          </w:p>
        </w:tc>
        <w:tc>
          <w:tcPr>
            <w:tcW w:w="2551" w:type="dxa"/>
            <w:vAlign w:val="center"/>
          </w:tcPr>
          <w:p>
            <w:pPr>
              <w:pStyle w:val="12"/>
            </w:pPr>
            <w:r>
              <w:t>87.48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执法局巡逻车辆经费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1.提高城市管理工作水平，保障执法正常开展，创造城区干净、整洁、有序的生活环境。</w:t>
            </w:r>
          </w:p>
          <w:p>
            <w:pPr>
              <w:pStyle w:val="12"/>
            </w:pPr>
            <w:r>
              <w:t>2.经费用于保障执法局24辆执法车辆的保养和维护费用，车辆保养合格率达到100%，车辆保养及时率达到100%，确保车辆正常使用，执法人员满意度达到85%以上。</w:t>
            </w:r>
          </w:p>
          <w:p>
            <w:pPr>
              <w:pStyle w:val="12"/>
            </w:pPr>
            <w:r>
              <w:t>3.有效增强执法队伍的快速反应能力和执法服务能效，加快城市管理步伐，提升了城市管理执法水平。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执法车保障数量</w:t>
            </w:r>
          </w:p>
        </w:tc>
        <w:tc>
          <w:tcPr>
            <w:tcW w:w="5386" w:type="dxa"/>
            <w:vAlign w:val="center"/>
          </w:tcPr>
          <w:p>
            <w:pPr>
              <w:pStyle w:val="12"/>
            </w:pPr>
            <w:r>
              <w:t>执法车实际保障数量</w:t>
            </w:r>
          </w:p>
        </w:tc>
        <w:tc>
          <w:tcPr>
            <w:tcW w:w="2268" w:type="dxa"/>
            <w:vAlign w:val="center"/>
          </w:tcPr>
          <w:p>
            <w:pPr>
              <w:pStyle w:val="12"/>
            </w:pPr>
            <w:r>
              <w:t>24辆</w:t>
            </w:r>
          </w:p>
        </w:tc>
        <w:tc>
          <w:tcPr>
            <w:tcW w:w="1276" w:type="dxa"/>
            <w:vAlign w:val="center"/>
          </w:tcPr>
          <w:p>
            <w:pPr>
              <w:pStyle w:val="12"/>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车辆保养合格率</w:t>
            </w:r>
          </w:p>
        </w:tc>
        <w:tc>
          <w:tcPr>
            <w:tcW w:w="5386" w:type="dxa"/>
            <w:vAlign w:val="center"/>
          </w:tcPr>
          <w:p>
            <w:pPr>
              <w:pStyle w:val="12"/>
            </w:pPr>
            <w:r>
              <w:t>车辆保养合格情况</w:t>
            </w:r>
          </w:p>
        </w:tc>
        <w:tc>
          <w:tcPr>
            <w:tcW w:w="2268" w:type="dxa"/>
            <w:vAlign w:val="center"/>
          </w:tcPr>
          <w:p>
            <w:pPr>
              <w:pStyle w:val="12"/>
            </w:pPr>
            <w:r>
              <w:t>100%</w:t>
            </w:r>
          </w:p>
        </w:tc>
        <w:tc>
          <w:tcPr>
            <w:tcW w:w="1276" w:type="dxa"/>
            <w:vAlign w:val="center"/>
          </w:tcPr>
          <w:p>
            <w:pPr>
              <w:pStyle w:val="12"/>
            </w:pPr>
            <w:r>
              <w:t>执法局巡逻保障经费实施计划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车辆保养及时率</w:t>
            </w:r>
          </w:p>
        </w:tc>
        <w:tc>
          <w:tcPr>
            <w:tcW w:w="5386" w:type="dxa"/>
            <w:vAlign w:val="center"/>
          </w:tcPr>
          <w:p>
            <w:pPr>
              <w:pStyle w:val="12"/>
            </w:pPr>
            <w:r>
              <w:t>车辆保养及时完成情况</w:t>
            </w:r>
          </w:p>
        </w:tc>
        <w:tc>
          <w:tcPr>
            <w:tcW w:w="2268" w:type="dxa"/>
            <w:vAlign w:val="center"/>
          </w:tcPr>
          <w:p>
            <w:pPr>
              <w:pStyle w:val="12"/>
            </w:pPr>
            <w:r>
              <w:t>100%</w:t>
            </w:r>
          </w:p>
        </w:tc>
        <w:tc>
          <w:tcPr>
            <w:tcW w:w="1276" w:type="dxa"/>
            <w:vAlign w:val="center"/>
          </w:tcPr>
          <w:p>
            <w:pPr>
              <w:pStyle w:val="12"/>
            </w:pPr>
            <w:r>
              <w:t>执法局巡逻保障经费实施计划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车辆年费用支出标准</w:t>
            </w:r>
          </w:p>
        </w:tc>
        <w:tc>
          <w:tcPr>
            <w:tcW w:w="5386" w:type="dxa"/>
            <w:vAlign w:val="center"/>
          </w:tcPr>
          <w:p>
            <w:pPr>
              <w:pStyle w:val="12"/>
            </w:pPr>
            <w:r>
              <w:t>车辆年费用支出控制情况</w:t>
            </w:r>
          </w:p>
        </w:tc>
        <w:tc>
          <w:tcPr>
            <w:tcW w:w="2268" w:type="dxa"/>
            <w:vAlign w:val="center"/>
          </w:tcPr>
          <w:p>
            <w:pPr>
              <w:pStyle w:val="12"/>
            </w:pPr>
            <w:r>
              <w:t>≤87.48万元</w:t>
            </w:r>
          </w:p>
        </w:tc>
        <w:tc>
          <w:tcPr>
            <w:tcW w:w="1276" w:type="dxa"/>
            <w:vAlign w:val="center"/>
          </w:tcPr>
          <w:p>
            <w:pPr>
              <w:pStyle w:val="12"/>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车辆正常使用率</w:t>
            </w:r>
          </w:p>
        </w:tc>
        <w:tc>
          <w:tcPr>
            <w:tcW w:w="5386" w:type="dxa"/>
            <w:vAlign w:val="center"/>
          </w:tcPr>
          <w:p>
            <w:pPr>
              <w:pStyle w:val="12"/>
            </w:pPr>
            <w:r>
              <w:t>车辆正常使用保障情况</w:t>
            </w:r>
          </w:p>
        </w:tc>
        <w:tc>
          <w:tcPr>
            <w:tcW w:w="2268" w:type="dxa"/>
            <w:vAlign w:val="center"/>
          </w:tcPr>
          <w:p>
            <w:pPr>
              <w:pStyle w:val="12"/>
            </w:pPr>
            <w:r>
              <w:t>≥95%</w:t>
            </w:r>
          </w:p>
        </w:tc>
        <w:tc>
          <w:tcPr>
            <w:tcW w:w="1276"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执法人员满意度</w:t>
            </w:r>
          </w:p>
        </w:tc>
        <w:tc>
          <w:tcPr>
            <w:tcW w:w="5386" w:type="dxa"/>
            <w:vAlign w:val="center"/>
          </w:tcPr>
          <w:p>
            <w:pPr>
              <w:pStyle w:val="12"/>
            </w:pPr>
            <w:r>
              <w:t>考察徐执法人员对车辆经费项目的整体满意程度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13、执法局再就业人员办公经费绩效目标表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13062524P00001510264T</w:t>
            </w:r>
          </w:p>
        </w:tc>
        <w:tc>
          <w:tcPr>
            <w:tcW w:w="2835" w:type="dxa"/>
            <w:vAlign w:val="center"/>
          </w:tcPr>
          <w:p>
            <w:pPr>
              <w:pStyle w:val="10"/>
            </w:pPr>
            <w:r>
              <w:t>项目名称</w:t>
            </w:r>
          </w:p>
        </w:tc>
        <w:tc>
          <w:tcPr>
            <w:tcW w:w="6094" w:type="dxa"/>
            <w:gridSpan w:val="3"/>
            <w:vAlign w:val="center"/>
          </w:tcPr>
          <w:p>
            <w:pPr>
              <w:pStyle w:val="12"/>
            </w:pPr>
            <w:r>
              <w:t>执法局再就业人员办公经费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4.09</w:t>
            </w:r>
          </w:p>
        </w:tc>
        <w:tc>
          <w:tcPr>
            <w:tcW w:w="2835" w:type="dxa"/>
            <w:vAlign w:val="center"/>
          </w:tcPr>
          <w:p>
            <w:pPr>
              <w:pStyle w:val="10"/>
            </w:pPr>
            <w:r>
              <w:t>其中：财政    资金</w:t>
            </w:r>
          </w:p>
        </w:tc>
        <w:tc>
          <w:tcPr>
            <w:tcW w:w="2551" w:type="dxa"/>
            <w:vAlign w:val="center"/>
          </w:tcPr>
          <w:p>
            <w:pPr>
              <w:pStyle w:val="12"/>
            </w:pPr>
            <w:r>
              <w:t>4.09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执法局再就业人员办公经费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1.落实我区军队退役人员政策，解决就业困难军队退役人员实际问题，与7名自谋职业转业志愿兵（士官）签订再就业劳动合同。</w:t>
            </w:r>
          </w:p>
          <w:p>
            <w:pPr>
              <w:pStyle w:val="12"/>
            </w:pPr>
            <w:r>
              <w:t>2.积极促进再就业人员。</w:t>
            </w:r>
          </w:p>
          <w:p>
            <w:pPr>
              <w:pStyle w:val="12"/>
            </w:pPr>
            <w:r>
              <w:t>3.支付7名自谋职业转业志愿兵（士官）福利费、工会费和办公综合定额，再就业促进率达到95%以上，再就业人员满意度达到85%以上。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再就业人员保障数量</w:t>
            </w:r>
          </w:p>
        </w:tc>
        <w:tc>
          <w:tcPr>
            <w:tcW w:w="5386" w:type="dxa"/>
            <w:vAlign w:val="center"/>
          </w:tcPr>
          <w:p>
            <w:pPr>
              <w:pStyle w:val="12"/>
            </w:pPr>
            <w:r>
              <w:t>再就业人员数量</w:t>
            </w:r>
          </w:p>
        </w:tc>
        <w:tc>
          <w:tcPr>
            <w:tcW w:w="2268" w:type="dxa"/>
            <w:vAlign w:val="center"/>
          </w:tcPr>
          <w:p>
            <w:pPr>
              <w:pStyle w:val="12"/>
            </w:pPr>
            <w:r>
              <w:t>7人</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再就业问题解决达标情况</w:t>
            </w:r>
          </w:p>
        </w:tc>
        <w:tc>
          <w:tcPr>
            <w:tcW w:w="5386" w:type="dxa"/>
            <w:vAlign w:val="center"/>
          </w:tcPr>
          <w:p>
            <w:pPr>
              <w:pStyle w:val="12"/>
            </w:pPr>
            <w:r>
              <w:t>考察按照自谋职业转业志愿兵（士官）实际情况解决问题达到要求情况</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发放经费及时率</w:t>
            </w:r>
          </w:p>
        </w:tc>
        <w:tc>
          <w:tcPr>
            <w:tcW w:w="5386" w:type="dxa"/>
            <w:vAlign w:val="center"/>
          </w:tcPr>
          <w:p>
            <w:pPr>
              <w:pStyle w:val="12"/>
            </w:pPr>
            <w:r>
              <w:t>发放经费及时率</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人员费用支出金额标准</w:t>
            </w:r>
          </w:p>
        </w:tc>
        <w:tc>
          <w:tcPr>
            <w:tcW w:w="5386" w:type="dxa"/>
            <w:vAlign w:val="center"/>
          </w:tcPr>
          <w:p>
            <w:pPr>
              <w:pStyle w:val="12"/>
            </w:pPr>
            <w:r>
              <w:t>每年人员总费用支出控制情况</w:t>
            </w:r>
          </w:p>
        </w:tc>
        <w:tc>
          <w:tcPr>
            <w:tcW w:w="2268" w:type="dxa"/>
            <w:vAlign w:val="center"/>
          </w:tcPr>
          <w:p>
            <w:pPr>
              <w:pStyle w:val="12"/>
            </w:pPr>
            <w:r>
              <w:t>≤40886.34元</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再就业促进率</w:t>
            </w:r>
          </w:p>
        </w:tc>
        <w:tc>
          <w:tcPr>
            <w:tcW w:w="5386" w:type="dxa"/>
            <w:vAlign w:val="center"/>
          </w:tcPr>
          <w:p>
            <w:pPr>
              <w:pStyle w:val="12"/>
            </w:pPr>
            <w:r>
              <w:t>项目对公益岗位再就业促进的作用比例</w:t>
            </w:r>
          </w:p>
        </w:tc>
        <w:tc>
          <w:tcPr>
            <w:tcW w:w="2268" w:type="dxa"/>
            <w:vAlign w:val="center"/>
          </w:tcPr>
          <w:p>
            <w:pPr>
              <w:pStyle w:val="12"/>
            </w:pPr>
            <w:r>
              <w:t>≥95%</w:t>
            </w:r>
          </w:p>
        </w:tc>
        <w:tc>
          <w:tcPr>
            <w:tcW w:w="1276" w:type="dxa"/>
            <w:vAlign w:val="center"/>
          </w:tcPr>
          <w:p>
            <w:pPr>
              <w:pStyle w:val="12"/>
            </w:pPr>
            <w:r>
              <w:t xml:space="preserve">保定市徐水区人民政府专题会议纪要【2017】29号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再就业人员满意度调查</w:t>
            </w:r>
          </w:p>
        </w:tc>
        <w:tc>
          <w:tcPr>
            <w:tcW w:w="5386" w:type="dxa"/>
            <w:vAlign w:val="center"/>
          </w:tcPr>
          <w:p>
            <w:pPr>
              <w:pStyle w:val="12"/>
            </w:pPr>
            <w:r>
              <w:t>对再就业人员进行满意程度调查</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14、执法局再就业人员经费绩效目标表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13062524P000015102708</w:t>
            </w:r>
          </w:p>
        </w:tc>
        <w:tc>
          <w:tcPr>
            <w:tcW w:w="2835" w:type="dxa"/>
            <w:vAlign w:val="center"/>
          </w:tcPr>
          <w:p>
            <w:pPr>
              <w:pStyle w:val="10"/>
            </w:pPr>
            <w:r>
              <w:t>项目名称</w:t>
            </w:r>
          </w:p>
        </w:tc>
        <w:tc>
          <w:tcPr>
            <w:tcW w:w="6094" w:type="dxa"/>
            <w:gridSpan w:val="3"/>
            <w:vAlign w:val="center"/>
          </w:tcPr>
          <w:p>
            <w:pPr>
              <w:pStyle w:val="12"/>
            </w:pPr>
            <w:r>
              <w:t>执法局再就业人员经费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84.83</w:t>
            </w:r>
          </w:p>
        </w:tc>
        <w:tc>
          <w:tcPr>
            <w:tcW w:w="2835" w:type="dxa"/>
            <w:vAlign w:val="center"/>
          </w:tcPr>
          <w:p>
            <w:pPr>
              <w:pStyle w:val="10"/>
            </w:pPr>
            <w:r>
              <w:t>其中：财政    资金</w:t>
            </w:r>
          </w:p>
        </w:tc>
        <w:tc>
          <w:tcPr>
            <w:tcW w:w="2551" w:type="dxa"/>
            <w:vAlign w:val="center"/>
          </w:tcPr>
          <w:p>
            <w:pPr>
              <w:pStyle w:val="12"/>
            </w:pPr>
            <w:r>
              <w:t>84.83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执法局再就业人员经费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24%</w:t>
            </w:r>
          </w:p>
        </w:tc>
        <w:tc>
          <w:tcPr>
            <w:tcW w:w="2835" w:type="dxa"/>
            <w:vAlign w:val="center"/>
          </w:tcPr>
          <w:p>
            <w:pPr>
              <w:pStyle w:val="13"/>
            </w:pPr>
            <w:r>
              <w:t>48%</w:t>
            </w:r>
          </w:p>
        </w:tc>
        <w:tc>
          <w:tcPr>
            <w:tcW w:w="2551" w:type="dxa"/>
            <w:vAlign w:val="center"/>
          </w:tcPr>
          <w:p>
            <w:pPr>
              <w:pStyle w:val="13"/>
            </w:pPr>
            <w:r>
              <w:t>72%</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1.落实我区军队退役人员政策，解决就业困难军队退役人员实际问题，与7名自谋职业转业志愿兵（士官）签订再就业劳动合同。</w:t>
            </w:r>
          </w:p>
          <w:p>
            <w:pPr>
              <w:pStyle w:val="12"/>
            </w:pPr>
            <w:r>
              <w:t>2.积极促进再就业人员。</w:t>
            </w:r>
          </w:p>
          <w:p>
            <w:pPr>
              <w:pStyle w:val="12"/>
            </w:pPr>
            <w:r>
              <w:t>3.支付7名自谋职业转业志愿兵（士官）工资保险，再就业促进率达到95%以上，再就业人员满意度达到85%以上。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再就业人员保障数量</w:t>
            </w:r>
          </w:p>
        </w:tc>
        <w:tc>
          <w:tcPr>
            <w:tcW w:w="5386" w:type="dxa"/>
            <w:vAlign w:val="center"/>
          </w:tcPr>
          <w:p>
            <w:pPr>
              <w:pStyle w:val="12"/>
            </w:pPr>
            <w:r>
              <w:t>再就业人员数量</w:t>
            </w:r>
          </w:p>
        </w:tc>
        <w:tc>
          <w:tcPr>
            <w:tcW w:w="2268" w:type="dxa"/>
            <w:vAlign w:val="center"/>
          </w:tcPr>
          <w:p>
            <w:pPr>
              <w:pStyle w:val="12"/>
            </w:pPr>
            <w:r>
              <w:t>7人</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再就业问题解决达标情况</w:t>
            </w:r>
          </w:p>
        </w:tc>
        <w:tc>
          <w:tcPr>
            <w:tcW w:w="5386" w:type="dxa"/>
            <w:vAlign w:val="center"/>
          </w:tcPr>
          <w:p>
            <w:pPr>
              <w:pStyle w:val="12"/>
            </w:pPr>
            <w:r>
              <w:t>考察按照自谋职业转业志愿兵（士官）实际情况解决问题达到要求情况</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发放经费及时率</w:t>
            </w:r>
          </w:p>
        </w:tc>
        <w:tc>
          <w:tcPr>
            <w:tcW w:w="5386" w:type="dxa"/>
            <w:vAlign w:val="center"/>
          </w:tcPr>
          <w:p>
            <w:pPr>
              <w:pStyle w:val="12"/>
            </w:pPr>
            <w:r>
              <w:t>发放经费及时率</w:t>
            </w:r>
          </w:p>
        </w:tc>
        <w:tc>
          <w:tcPr>
            <w:tcW w:w="2268" w:type="dxa"/>
            <w:vAlign w:val="center"/>
          </w:tcPr>
          <w:p>
            <w:pPr>
              <w:pStyle w:val="12"/>
            </w:pPr>
            <w:r>
              <w:t>≥95%</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人员费用支出金额标准</w:t>
            </w:r>
          </w:p>
        </w:tc>
        <w:tc>
          <w:tcPr>
            <w:tcW w:w="5386" w:type="dxa"/>
            <w:vAlign w:val="center"/>
          </w:tcPr>
          <w:p>
            <w:pPr>
              <w:pStyle w:val="12"/>
            </w:pPr>
            <w:r>
              <w:t>每年人员总费用支出控制情况</w:t>
            </w:r>
          </w:p>
        </w:tc>
        <w:tc>
          <w:tcPr>
            <w:tcW w:w="2268" w:type="dxa"/>
            <w:vAlign w:val="center"/>
          </w:tcPr>
          <w:p>
            <w:pPr>
              <w:pStyle w:val="12"/>
            </w:pPr>
            <w:r>
              <w:t>≤848265.39元</w:t>
            </w:r>
          </w:p>
        </w:tc>
        <w:tc>
          <w:tcPr>
            <w:tcW w:w="1276" w:type="dxa"/>
            <w:vAlign w:val="center"/>
          </w:tcPr>
          <w:p>
            <w:pPr>
              <w:pStyle w:val="12"/>
            </w:pPr>
            <w:r>
              <w:t>保定市徐水区人民政府专题会议纪要【2017】29号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再就业促进率</w:t>
            </w:r>
          </w:p>
        </w:tc>
        <w:tc>
          <w:tcPr>
            <w:tcW w:w="5386" w:type="dxa"/>
            <w:vAlign w:val="center"/>
          </w:tcPr>
          <w:p>
            <w:pPr>
              <w:pStyle w:val="12"/>
            </w:pPr>
            <w:r>
              <w:t>项目对公益岗位再就业促进的作用比例</w:t>
            </w:r>
          </w:p>
        </w:tc>
        <w:tc>
          <w:tcPr>
            <w:tcW w:w="2268" w:type="dxa"/>
            <w:vAlign w:val="center"/>
          </w:tcPr>
          <w:p>
            <w:pPr>
              <w:pStyle w:val="12"/>
            </w:pPr>
            <w:r>
              <w:t>≥95%</w:t>
            </w:r>
          </w:p>
        </w:tc>
        <w:tc>
          <w:tcPr>
            <w:tcW w:w="1276" w:type="dxa"/>
            <w:vAlign w:val="center"/>
          </w:tcPr>
          <w:p>
            <w:pPr>
              <w:pStyle w:val="12"/>
            </w:pPr>
            <w:r>
              <w:t xml:space="preserve">保定市徐水区人民政府专题会议纪要【2017】29号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再就业人员满意度调查</w:t>
            </w:r>
          </w:p>
        </w:tc>
        <w:tc>
          <w:tcPr>
            <w:tcW w:w="5386" w:type="dxa"/>
            <w:vAlign w:val="center"/>
          </w:tcPr>
          <w:p>
            <w:pPr>
              <w:pStyle w:val="12"/>
            </w:pPr>
            <w:r>
              <w:t>对再就业人员进行满意程度调查</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13062524P000015102637</w:t>
            </w:r>
          </w:p>
        </w:tc>
        <w:tc>
          <w:tcPr>
            <w:tcW w:w="2835" w:type="dxa"/>
            <w:vAlign w:val="center"/>
          </w:tcPr>
          <w:p>
            <w:pPr>
              <w:pStyle w:val="10"/>
            </w:pPr>
            <w:r>
              <w:t>项目名称</w:t>
            </w:r>
          </w:p>
        </w:tc>
        <w:tc>
          <w:tcPr>
            <w:tcW w:w="6094" w:type="dxa"/>
            <w:gridSpan w:val="3"/>
            <w:vAlign w:val="center"/>
          </w:tcPr>
          <w:p>
            <w:pPr>
              <w:pStyle w:val="12"/>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61.91</w:t>
            </w:r>
          </w:p>
        </w:tc>
        <w:tc>
          <w:tcPr>
            <w:tcW w:w="2835" w:type="dxa"/>
            <w:vAlign w:val="center"/>
          </w:tcPr>
          <w:p>
            <w:pPr>
              <w:pStyle w:val="10"/>
            </w:pPr>
            <w:r>
              <w:t>其中：财政    资金</w:t>
            </w:r>
          </w:p>
        </w:tc>
        <w:tc>
          <w:tcPr>
            <w:tcW w:w="2551" w:type="dxa"/>
            <w:vAlign w:val="center"/>
          </w:tcPr>
          <w:p>
            <w:pPr>
              <w:pStyle w:val="12"/>
            </w:pPr>
            <w:r>
              <w:t>61.91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1.通过此项目的实施，保障专项业务有序开展，提升综合执法水平，城区形象得到提升。</w:t>
            </w:r>
          </w:p>
          <w:p>
            <w:pPr>
              <w:pStyle w:val="12"/>
            </w:pPr>
            <w:r>
              <w:t>2.专项经费保障完成服务项目5项，确保服务项目验收达标率达到95%以上。</w:t>
            </w:r>
          </w:p>
          <w:p>
            <w:pPr>
              <w:pStyle w:val="12"/>
            </w:pPr>
            <w:r>
              <w:t>3.进一步改善执法人员办公环境，工作人员对本项目开展的满意程度达到90%以上。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5386" w:type="dxa"/>
            <w:vAlign w:val="center"/>
          </w:tcPr>
          <w:p>
            <w:pPr>
              <w:pStyle w:val="12"/>
            </w:pPr>
            <w:r>
              <w:t>考察专项业务费中包含的服务项目数量</w:t>
            </w:r>
          </w:p>
        </w:tc>
        <w:tc>
          <w:tcPr>
            <w:tcW w:w="2268" w:type="dxa"/>
            <w:vAlign w:val="center"/>
          </w:tcPr>
          <w:p>
            <w:pPr>
              <w:pStyle w:val="12"/>
            </w:pPr>
            <w:r>
              <w:t>≥6项</w:t>
            </w:r>
          </w:p>
        </w:tc>
        <w:tc>
          <w:tcPr>
            <w:tcW w:w="1276" w:type="dxa"/>
            <w:vAlign w:val="center"/>
          </w:tcPr>
          <w:p>
            <w:pPr>
              <w:pStyle w:val="12"/>
            </w:pPr>
            <w:r>
              <w:t>执法局专项业务费实施计划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服务项目验收达标率</w:t>
            </w:r>
          </w:p>
        </w:tc>
        <w:tc>
          <w:tcPr>
            <w:tcW w:w="5386" w:type="dxa"/>
            <w:vAlign w:val="center"/>
          </w:tcPr>
          <w:p>
            <w:pPr>
              <w:pStyle w:val="12"/>
            </w:pPr>
            <w:r>
              <w:t>所包含的服务项目完成率</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费用支付及时率</w:t>
            </w:r>
          </w:p>
        </w:tc>
        <w:tc>
          <w:tcPr>
            <w:tcW w:w="5386" w:type="dxa"/>
            <w:vAlign w:val="center"/>
          </w:tcPr>
          <w:p>
            <w:pPr>
              <w:pStyle w:val="12"/>
            </w:pPr>
            <w:r>
              <w:t>支付服务项目费用及时情况</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合同控制金额</w:t>
            </w:r>
          </w:p>
        </w:tc>
        <w:tc>
          <w:tcPr>
            <w:tcW w:w="5386" w:type="dxa"/>
            <w:vAlign w:val="center"/>
          </w:tcPr>
          <w:p>
            <w:pPr>
              <w:pStyle w:val="12"/>
            </w:pPr>
            <w:r>
              <w:t>考察项目总体支出成本情况</w:t>
            </w:r>
          </w:p>
        </w:tc>
        <w:tc>
          <w:tcPr>
            <w:tcW w:w="2268" w:type="dxa"/>
            <w:vAlign w:val="center"/>
          </w:tcPr>
          <w:p>
            <w:pPr>
              <w:pStyle w:val="12"/>
            </w:pPr>
            <w:r>
              <w:t>≤619093.66元</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工作环境改善度</w:t>
            </w:r>
          </w:p>
        </w:tc>
        <w:tc>
          <w:tcPr>
            <w:tcW w:w="5386" w:type="dxa"/>
            <w:vAlign w:val="center"/>
          </w:tcPr>
          <w:p>
            <w:pPr>
              <w:pStyle w:val="12"/>
            </w:pPr>
            <w:r>
              <w:t>考察工作环境改善情况</w:t>
            </w:r>
          </w:p>
        </w:tc>
        <w:tc>
          <w:tcPr>
            <w:tcW w:w="2268" w:type="dxa"/>
            <w:vAlign w:val="center"/>
          </w:tcPr>
          <w:p>
            <w:pPr>
              <w:pStyle w:val="12"/>
            </w:pPr>
            <w:r>
              <w:t>≥95%</w:t>
            </w:r>
          </w:p>
        </w:tc>
        <w:tc>
          <w:tcPr>
            <w:tcW w:w="1276" w:type="dxa"/>
            <w:vAlign w:val="center"/>
          </w:tcPr>
          <w:p>
            <w:pPr>
              <w:pStyle w:val="12"/>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反映工作人员对本项目开展的满意程度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56.89</w:t>
            </w:r>
          </w:p>
        </w:tc>
        <w:tc>
          <w:tcPr>
            <w:tcW w:w="964" w:type="dxa"/>
            <w:vAlign w:val="center"/>
          </w:tcPr>
          <w:p>
            <w:pPr>
              <w:pStyle w:val="15"/>
            </w:pPr>
            <w:r>
              <w:t>56.89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保定市徐水区城市管理综合行政执法局本级小计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56.89</w:t>
            </w:r>
          </w:p>
        </w:tc>
        <w:tc>
          <w:tcPr>
            <w:tcW w:w="964" w:type="dxa"/>
            <w:vAlign w:val="center"/>
          </w:tcPr>
          <w:p>
            <w:pPr>
              <w:pStyle w:val="15"/>
            </w:pPr>
            <w:r>
              <w:t>56.89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公用经费项目二（三保）</w:t>
            </w:r>
          </w:p>
        </w:tc>
        <w:tc>
          <w:tcPr>
            <w:tcW w:w="964" w:type="dxa"/>
            <w:vAlign w:val="center"/>
          </w:tcPr>
          <w:p>
            <w:pPr>
              <w:pStyle w:val="11"/>
            </w:pPr>
            <w:r>
              <w:t>109.08</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公用经费项目二（三保）</w:t>
            </w:r>
          </w:p>
        </w:tc>
        <w:tc>
          <w:tcPr>
            <w:tcW w:w="964" w:type="dxa"/>
            <w:vAlign w:val="center"/>
          </w:tcPr>
          <w:p>
            <w:pPr>
              <w:pStyle w:val="11"/>
            </w:pPr>
            <w:r>
              <w:t>109.08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46.17</w:t>
            </w:r>
          </w:p>
        </w:tc>
        <w:tc>
          <w:tcPr>
            <w:tcW w:w="964" w:type="dxa"/>
            <w:vAlign w:val="center"/>
          </w:tcPr>
          <w:p>
            <w:pPr>
              <w:pStyle w:val="11"/>
            </w:pPr>
            <w:r>
              <w:t>46.17</w:t>
            </w:r>
          </w:p>
        </w:tc>
        <w:tc>
          <w:tcPr>
            <w:tcW w:w="964" w:type="dxa"/>
            <w:vAlign w:val="center"/>
          </w:tcPr>
          <w:p>
            <w:pPr>
              <w:pStyle w:val="11"/>
            </w:pPr>
            <w:r>
              <w:t>46.17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28.47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9.72</w:t>
            </w:r>
          </w:p>
        </w:tc>
        <w:tc>
          <w:tcPr>
            <w:tcW w:w="964" w:type="dxa"/>
            <w:vAlign w:val="center"/>
          </w:tcPr>
          <w:p>
            <w:pPr>
              <w:pStyle w:val="11"/>
            </w:pPr>
            <w:r>
              <w:t>9.72</w:t>
            </w:r>
          </w:p>
        </w:tc>
        <w:tc>
          <w:tcPr>
            <w:tcW w:w="964" w:type="dxa"/>
            <w:vAlign w:val="center"/>
          </w:tcPr>
          <w:p>
            <w:pPr>
              <w:pStyle w:val="11"/>
            </w:pPr>
            <w:r>
              <w:t>9.72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9.72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保定市徐水区城市管理综合行政执法局本级上年末固定资产金额为1279.68万元（详见下表）。本年度拟购置固定资产总额为1.00万元，已按要求列入政府采购预算，详见政府采购预算表。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506001保定市徐水区城市管理综合行政执法局本级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1279.68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22</w:t>
            </w:r>
          </w:p>
        </w:tc>
        <w:tc>
          <w:tcPr>
            <w:tcW w:w="2835" w:type="dxa"/>
            <w:vAlign w:val="center"/>
          </w:tcPr>
          <w:p>
            <w:pPr>
              <w:pStyle w:val="11"/>
            </w:pPr>
            <w:r>
              <w:t>517.80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229.92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2337</w:t>
            </w:r>
          </w:p>
        </w:tc>
        <w:tc>
          <w:tcPr>
            <w:tcW w:w="2835" w:type="dxa"/>
            <w:vAlign w:val="center"/>
          </w:tcPr>
          <w:p>
            <w:pPr>
              <w:pStyle w:val="11"/>
            </w:pPr>
            <w:r>
              <w:t>531.96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B64A5"/>
    <w:rsid w:val="055D6793"/>
    <w:rsid w:val="0949309E"/>
    <w:rsid w:val="09D430C9"/>
    <w:rsid w:val="1AFC30C0"/>
    <w:rsid w:val="1DFA3A42"/>
    <w:rsid w:val="1F680A5A"/>
    <w:rsid w:val="300B70FF"/>
    <w:rsid w:val="31123B5E"/>
    <w:rsid w:val="363B3B58"/>
    <w:rsid w:val="36C403AA"/>
    <w:rsid w:val="38865C91"/>
    <w:rsid w:val="38F45E52"/>
    <w:rsid w:val="3A720124"/>
    <w:rsid w:val="3D014EB2"/>
    <w:rsid w:val="3D906B31"/>
    <w:rsid w:val="3E0E38C3"/>
    <w:rsid w:val="3F0A3218"/>
    <w:rsid w:val="44923D4B"/>
    <w:rsid w:val="4AA73D9A"/>
    <w:rsid w:val="4E0113CD"/>
    <w:rsid w:val="50976E60"/>
    <w:rsid w:val="50C472A8"/>
    <w:rsid w:val="518520B3"/>
    <w:rsid w:val="56451029"/>
    <w:rsid w:val="585D220F"/>
    <w:rsid w:val="5B375602"/>
    <w:rsid w:val="5B7C0A1C"/>
    <w:rsid w:val="5F5548B7"/>
    <w:rsid w:val="643B6725"/>
    <w:rsid w:val="648F4EDF"/>
    <w:rsid w:val="6D5542D4"/>
    <w:rsid w:val="708F3413"/>
    <w:rsid w:val="71F33A2D"/>
    <w:rsid w:val="75080F76"/>
    <w:rsid w:val="759E7112"/>
    <w:rsid w:val="7AFA6E1A"/>
    <w:rsid w:val="7BB235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2024-02-26T10:45:30Z</dcterms:created>
  <dcterms:modified xsi:type="dcterms:W3CDTF">2024-02-26T02:45:29Z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2024-02-26T10:45:33Z</dcterms:created>
  <dcterms:modified xsi:type="dcterms:W3CDTF">2024-02-26T02:45:33Z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2024-02-26T10:45:32Z</dcterms:created>
  <dcterms:modified xsi:type="dcterms:W3CDTF">2024-02-26T02:45:32Z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2024-02-26T10:45:27Z</dcterms:created>
  <dcterms:modified xsi:type="dcterms:W3CDTF">2024-02-26T02:45:27Z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2024-02-26T10:45:31Z</dcterms:created>
  <dcterms:modified xsi:type="dcterms:W3CDTF">2024-02-26T02:45:31Z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2024-02-26T10:45:34Z</dcterms:created>
  <dcterms:modified xsi:type="dcterms:W3CDTF">2024-02-26T02:45:34Z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93069b0-9e5d-4708-a628-e415a7b1f701}">
  <ds:schemaRefs/>
</ds:datastoreItem>
</file>

<file path=customXml/itemProps11.xml><?xml version="1.0" encoding="utf-8"?>
<ds:datastoreItem xmlns:ds="http://schemas.openxmlformats.org/officeDocument/2006/customXml" ds:itemID="{d2dd6a7e-721b-4fbe-83da-478d528a8c06}">
  <ds:schemaRefs/>
</ds:datastoreItem>
</file>

<file path=customXml/itemProps12.xml><?xml version="1.0" encoding="utf-8"?>
<ds:datastoreItem xmlns:ds="http://schemas.openxmlformats.org/officeDocument/2006/customXml" ds:itemID="{e5d01d69-d2f8-434a-b331-6602ebb08be8}">
  <ds:schemaRefs/>
</ds:datastoreItem>
</file>

<file path=customXml/itemProps13.xml><?xml version="1.0" encoding="utf-8"?>
<ds:datastoreItem xmlns:ds="http://schemas.openxmlformats.org/officeDocument/2006/customXml" ds:itemID="{b8ce0025-918c-465c-9614-5139b6eab622}">
  <ds:schemaRefs/>
</ds:datastoreItem>
</file>

<file path=customXml/itemProps14.xml><?xml version="1.0" encoding="utf-8"?>
<ds:datastoreItem xmlns:ds="http://schemas.openxmlformats.org/officeDocument/2006/customXml" ds:itemID="{6f2bef4d-be8b-4e9a-8606-e8a36059b387}">
  <ds:schemaRefs/>
</ds:datastoreItem>
</file>

<file path=customXml/itemProps15.xml><?xml version="1.0" encoding="utf-8"?>
<ds:datastoreItem xmlns:ds="http://schemas.openxmlformats.org/officeDocument/2006/customXml" ds:itemID="{c927261b-9ddf-4807-9fe7-5de27a7e96a6}">
  <ds:schemaRefs/>
</ds:datastoreItem>
</file>

<file path=customXml/itemProps16.xml><?xml version="1.0" encoding="utf-8"?>
<ds:datastoreItem xmlns:ds="http://schemas.openxmlformats.org/officeDocument/2006/customXml" ds:itemID="{4224949f-ea29-413f-8b67-100b4510a705}">
  <ds:schemaRefs/>
</ds:datastoreItem>
</file>

<file path=customXml/itemProps17.xml><?xml version="1.0" encoding="utf-8"?>
<ds:datastoreItem xmlns:ds="http://schemas.openxmlformats.org/officeDocument/2006/customXml" ds:itemID="{d787b825-9de7-4024-8f6d-261297eb8f4a}">
  <ds:schemaRefs/>
</ds:datastoreItem>
</file>

<file path=customXml/itemProps18.xml><?xml version="1.0" encoding="utf-8"?>
<ds:datastoreItem xmlns:ds="http://schemas.openxmlformats.org/officeDocument/2006/customXml" ds:itemID="{e4862e45-cb3e-4123-a3a8-c3d1d760e168}">
  <ds:schemaRefs/>
</ds:datastoreItem>
</file>

<file path=customXml/itemProps19.xml><?xml version="1.0" encoding="utf-8"?>
<ds:datastoreItem xmlns:ds="http://schemas.openxmlformats.org/officeDocument/2006/customXml" ds:itemID="{97a47503-22a1-4a35-b494-946fff335e18}">
  <ds:schemaRefs/>
</ds:datastoreItem>
</file>

<file path=customXml/itemProps2.xml><?xml version="1.0" encoding="utf-8"?>
<ds:datastoreItem xmlns:ds="http://schemas.openxmlformats.org/officeDocument/2006/customXml" ds:itemID="{2a49eeac-2b9e-45b7-905a-232d893a5378}">
  <ds:schemaRefs/>
</ds:datastoreItem>
</file>

<file path=customXml/itemProps20.xml><?xml version="1.0" encoding="utf-8"?>
<ds:datastoreItem xmlns:ds="http://schemas.openxmlformats.org/officeDocument/2006/customXml" ds:itemID="{b5241d97-6a8c-477f-8762-9f73b8e59861}">
  <ds:schemaRefs/>
</ds:datastoreItem>
</file>

<file path=customXml/itemProps21.xml><?xml version="1.0" encoding="utf-8"?>
<ds:datastoreItem xmlns:ds="http://schemas.openxmlformats.org/officeDocument/2006/customXml" ds:itemID="{c204371f-05e1-4901-8c4e-b9c11f216cbf}">
  <ds:schemaRefs/>
</ds:datastoreItem>
</file>

<file path=customXml/itemProps22.xml><?xml version="1.0" encoding="utf-8"?>
<ds:datastoreItem xmlns:ds="http://schemas.openxmlformats.org/officeDocument/2006/customXml" ds:itemID="{9aab6a5d-8c3b-4273-9ce1-2b289485892f}">
  <ds:schemaRefs/>
</ds:datastoreItem>
</file>

<file path=customXml/itemProps23.xml><?xml version="1.0" encoding="utf-8"?>
<ds:datastoreItem xmlns:ds="http://schemas.openxmlformats.org/officeDocument/2006/customXml" ds:itemID="{c126d859-df2b-4410-a33d-7d5f9926982b}">
  <ds:schemaRefs/>
</ds:datastoreItem>
</file>

<file path=customXml/itemProps24.xml><?xml version="1.0" encoding="utf-8"?>
<ds:datastoreItem xmlns:ds="http://schemas.openxmlformats.org/officeDocument/2006/customXml" ds:itemID="{7e08ec80-b4b0-4fd8-8d74-ac3dc6091067}">
  <ds:schemaRefs/>
</ds:datastoreItem>
</file>

<file path=customXml/itemProps25.xml><?xml version="1.0" encoding="utf-8"?>
<ds:datastoreItem xmlns:ds="http://schemas.openxmlformats.org/officeDocument/2006/customXml" ds:itemID="{8899d3a6-e5af-4618-9add-3716179cd6c3}">
  <ds:schemaRefs/>
</ds:datastoreItem>
</file>

<file path=customXml/itemProps26.xml><?xml version="1.0" encoding="utf-8"?>
<ds:datastoreItem xmlns:ds="http://schemas.openxmlformats.org/officeDocument/2006/customXml" ds:itemID="{f6b23477-d999-4935-905c-6544fb4965ad}">
  <ds:schemaRefs/>
</ds:datastoreItem>
</file>

<file path=customXml/itemProps27.xml><?xml version="1.0" encoding="utf-8"?>
<ds:datastoreItem xmlns:ds="http://schemas.openxmlformats.org/officeDocument/2006/customXml" ds:itemID="{14f2dfb8-aee3-41c4-969c-7a7ff56efec6}">
  <ds:schemaRefs/>
</ds:datastoreItem>
</file>

<file path=customXml/itemProps28.xml><?xml version="1.0" encoding="utf-8"?>
<ds:datastoreItem xmlns:ds="http://schemas.openxmlformats.org/officeDocument/2006/customXml" ds:itemID="{c6b47d90-07a6-44c3-a0d5-5a442ba52e18}">
  <ds:schemaRefs/>
</ds:datastoreItem>
</file>

<file path=customXml/itemProps29.xml><?xml version="1.0" encoding="utf-8"?>
<ds:datastoreItem xmlns:ds="http://schemas.openxmlformats.org/officeDocument/2006/customXml" ds:itemID="{3573631d-730a-425a-bc5a-7b1e685dac83}">
  <ds:schemaRefs/>
</ds:datastoreItem>
</file>

<file path=customXml/itemProps3.xml><?xml version="1.0" encoding="utf-8"?>
<ds:datastoreItem xmlns:ds="http://schemas.openxmlformats.org/officeDocument/2006/customXml" ds:itemID="{042a9701-fe1e-45d7-88ab-d390e11a163a}">
  <ds:schemaRefs/>
</ds:datastoreItem>
</file>

<file path=customXml/itemProps30.xml><?xml version="1.0" encoding="utf-8"?>
<ds:datastoreItem xmlns:ds="http://schemas.openxmlformats.org/officeDocument/2006/customXml" ds:itemID="{9a1db0e7-cc25-4407-a6f9-8a4f2c9bbe8a}">
  <ds:schemaRefs/>
</ds:datastoreItem>
</file>

<file path=customXml/itemProps31.xml><?xml version="1.0" encoding="utf-8"?>
<ds:datastoreItem xmlns:ds="http://schemas.openxmlformats.org/officeDocument/2006/customXml" ds:itemID="{cbf84215-d118-4fff-8e51-292aa56cd2aa}">
  <ds:schemaRefs/>
</ds:datastoreItem>
</file>

<file path=customXml/itemProps32.xml><?xml version="1.0" encoding="utf-8"?>
<ds:datastoreItem xmlns:ds="http://schemas.openxmlformats.org/officeDocument/2006/customXml" ds:itemID="{15223c1a-7bb5-4065-a5a4-ab62acf971f6}">
  <ds:schemaRefs/>
</ds:datastoreItem>
</file>

<file path=customXml/itemProps33.xml><?xml version="1.0" encoding="utf-8"?>
<ds:datastoreItem xmlns:ds="http://schemas.openxmlformats.org/officeDocument/2006/customXml" ds:itemID="{551ef94d-5702-4fd6-a4aa-6d14a973441c}">
  <ds:schemaRefs/>
</ds:datastoreItem>
</file>

<file path=customXml/itemProps34.xml><?xml version="1.0" encoding="utf-8"?>
<ds:datastoreItem xmlns:ds="http://schemas.openxmlformats.org/officeDocument/2006/customXml" ds:itemID="{b19ad843-5839-48cc-b1c8-87bb9b8f15f2}">
  <ds:schemaRefs/>
</ds:datastoreItem>
</file>

<file path=customXml/itemProps35.xml><?xml version="1.0" encoding="utf-8"?>
<ds:datastoreItem xmlns:ds="http://schemas.openxmlformats.org/officeDocument/2006/customXml" ds:itemID="{289ce73c-f15d-4ddf-869b-f0c7b869acf6}">
  <ds:schemaRefs/>
</ds:datastoreItem>
</file>

<file path=customXml/itemProps36.xml><?xml version="1.0" encoding="utf-8"?>
<ds:datastoreItem xmlns:ds="http://schemas.openxmlformats.org/officeDocument/2006/customXml" ds:itemID="{f7902937-5058-4a28-9f53-2354bf6d6fa3}">
  <ds:schemaRefs/>
</ds:datastoreItem>
</file>

<file path=customXml/itemProps37.xml><?xml version="1.0" encoding="utf-8"?>
<ds:datastoreItem xmlns:ds="http://schemas.openxmlformats.org/officeDocument/2006/customXml" ds:itemID="{d3d89907-a3f2-471d-8acc-c5b8476f2fa8}">
  <ds:schemaRefs/>
</ds:datastoreItem>
</file>

<file path=customXml/itemProps4.xml><?xml version="1.0" encoding="utf-8"?>
<ds:datastoreItem xmlns:ds="http://schemas.openxmlformats.org/officeDocument/2006/customXml" ds:itemID="{d2ec903a-716e-4971-99ed-fa748686bc9e}">
  <ds:schemaRefs/>
</ds:datastoreItem>
</file>

<file path=customXml/itemProps5.xml><?xml version="1.0" encoding="utf-8"?>
<ds:datastoreItem xmlns:ds="http://schemas.openxmlformats.org/officeDocument/2006/customXml" ds:itemID="{1e18cc3a-4599-4a2a-9170-67b711031b8f}">
  <ds:schemaRefs/>
</ds:datastoreItem>
</file>

<file path=customXml/itemProps6.xml><?xml version="1.0" encoding="utf-8"?>
<ds:datastoreItem xmlns:ds="http://schemas.openxmlformats.org/officeDocument/2006/customXml" ds:itemID="{3ee29c6b-5f72-446e-aa5b-1bf9dc57a760}">
  <ds:schemaRefs/>
</ds:datastoreItem>
</file>

<file path=customXml/itemProps7.xml><?xml version="1.0" encoding="utf-8"?>
<ds:datastoreItem xmlns:ds="http://schemas.openxmlformats.org/officeDocument/2006/customXml" ds:itemID="{7206860d-e1d6-41ab-9061-050fd2af8423}">
  <ds:schemaRefs/>
</ds:datastoreItem>
</file>

<file path=customXml/itemProps8.xml><?xml version="1.0" encoding="utf-8"?>
<ds:datastoreItem xmlns:ds="http://schemas.openxmlformats.org/officeDocument/2006/customXml" ds:itemID="{903a2f53-7d2a-477d-ad4d-6cd563dbad4f}">
  <ds:schemaRefs/>
</ds:datastoreItem>
</file>

<file path=customXml/itemProps9.xml><?xml version="1.0" encoding="utf-8"?>
<ds:datastoreItem xmlns:ds="http://schemas.openxmlformats.org/officeDocument/2006/customXml" ds:itemID="{c6204b06-6d74-4d45-8312-cbca2e2b82a8}">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2024-02-26T10:45:00Z</dcterms:created>
  <dc:creator>Administrator</dc:creator>
  <cp:lastModifiedBy>user</cp:lastModifiedBy>
  <dcterms:modified xsi:type="dcterms:W3CDTF">2024-04-08T06:33:05Z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F11A074871EE43609354C39FF589F606</vt:lpwstr>
  </property>
</Properties>
</file>