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2024年单位预算信息公开目录</w:t>
      </w:r>
    </w:p>
    <w:p>
      <w:pPr>
        <w:spacing w:before="0" w:after="0" w:line="240" w:lineRule="auto"/>
        <w:ind w:firstLine="0"/>
        <w:jc w:val="center"/>
        <w:outlineLvl w:val="0"/>
      </w:pPr>
      <w:r>
        <w:rPr>
          <w:rFonts w:ascii="方正小标宋_GBK" w:hAnsi="方正小标宋_GBK" w:eastAsia="方正小标宋_GBK" w:cs="方正小标宋_GBK"/>
          <w:b w:val="0"/>
          <w:color w:val="000000"/>
          <w:sz w:val="44"/>
        </w:rPr>
        <w:tab/>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6</w:t>
      </w:r>
      <w:r>
        <w:fldChar w:fldCharType="end"/>
      </w:r>
    </w:p>
    <w:p>
      <w:pPr>
        <w:pStyle w:val="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0</w:t>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default"/>
          <w:lang w:val="en-US"/>
        </w:rPr>
        <w:t>2</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2</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w:t>
      </w:r>
      <w:r>
        <w:rPr>
          <w:rFonts w:hint="default"/>
          <w:lang w:val="en-US"/>
        </w:rPr>
        <w:t>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w:t>
      </w:r>
      <w:r>
        <w:rPr>
          <w:rFonts w:hint="default"/>
          <w:lang w:val="en-US"/>
        </w:rPr>
        <w:t>7</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default"/>
          <w:lang w:val="en-US"/>
        </w:rPr>
        <w:t>8</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w:t>
      </w:r>
      <w:r>
        <w:rPr>
          <w:rFonts w:hint="eastAsia"/>
          <w:lang w:eastAsia="zh-CN"/>
        </w:rPr>
        <w:t>机关</w:t>
      </w:r>
      <w:r>
        <w:t>运行经费安排情况</w:t>
      </w:r>
      <w:r>
        <w:tab/>
      </w:r>
      <w:r>
        <w:fldChar w:fldCharType="begin"/>
      </w:r>
      <w:r>
        <w:instrText xml:space="preserve">PAGEREF _Toc_3_3_0000000012 \h</w:instrText>
      </w:r>
      <w:r>
        <w:fldChar w:fldCharType="separate"/>
      </w:r>
      <w:r>
        <w:t>2</w:t>
      </w:r>
      <w:r>
        <w:rPr>
          <w:rFonts w:hint="default"/>
          <w:lang w:val="en-US"/>
        </w:rPr>
        <w:t>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9</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default"/>
          <w:lang w:val="en-US"/>
        </w:rPr>
        <w:t>2</w:t>
      </w:r>
      <w:r>
        <w:fldChar w:fldCharType="end"/>
      </w:r>
      <w:r>
        <w:rPr>
          <w:rFonts w:hint="default"/>
          <w:lang w:val="en-US"/>
        </w:rPr>
        <w:t>9</w:t>
      </w:r>
    </w:p>
    <w:p>
      <w:pPr>
        <w:pStyle w:val="2"/>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w:t>
      </w:r>
      <w:r>
        <w:rPr>
          <w:rFonts w:hint="default"/>
          <w:lang w:val="en-US"/>
        </w:rPr>
        <w:t>7</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3</w:t>
      </w:r>
      <w:r>
        <w:rPr>
          <w:rFonts w:hint="default"/>
          <w:lang w:val="en-US"/>
        </w:rPr>
        <w:t>8</w:t>
      </w:r>
      <w:r>
        <w:fldChar w:fldCharType="end"/>
      </w:r>
      <w:r>
        <w:fldChar w:fldCharType="end"/>
      </w:r>
    </w:p>
    <w:p>
      <w:pPr>
        <w:tabs>
          <w:tab w:val="left" w:pos="613"/>
        </w:tabs>
        <w:spacing w:before="0" w:after="0"/>
        <w:ind w:firstLine="0"/>
        <w:jc w:val="left"/>
        <w:outlineLvl w:val="3"/>
        <w:rPr>
          <w:rFonts w:ascii="方正小标宋_GBK" w:hAnsi="方正小标宋_GBK" w:eastAsia="方正小标宋_GBK" w:cs="方正小标宋_GBK"/>
          <w:b w:val="0"/>
          <w:color w:val="000000"/>
          <w:sz w:val="44"/>
        </w:rPr>
      </w:pP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44"/>
        </w:rPr>
      </w:pPr>
    </w:p>
    <w:bookmarkEnd w:id="0"/>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501001保定市徐水区信访局本级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306.56</w:t>
            </w:r>
          </w:p>
        </w:tc>
        <w:tc>
          <w:tcPr>
            <w:tcW w:w="4535" w:type="dxa"/>
            <w:vAlign w:val="center"/>
          </w:tcPr>
          <w:p>
            <w:pPr>
              <w:pStyle w:val="12"/>
            </w:pPr>
            <w:r>
              <w:t>一、一般公共服务支出</w:t>
            </w:r>
          </w:p>
        </w:tc>
        <w:tc>
          <w:tcPr>
            <w:tcW w:w="2126" w:type="dxa"/>
            <w:vAlign w:val="center"/>
          </w:tcPr>
          <w:p>
            <w:pPr>
              <w:pStyle w:val="11"/>
            </w:pPr>
            <w:r>
              <w:t>249.83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306.56</w:t>
            </w:r>
          </w:p>
        </w:tc>
        <w:tc>
          <w:tcPr>
            <w:tcW w:w="4535" w:type="dxa"/>
            <w:vAlign w:val="center"/>
          </w:tcPr>
          <w:p>
            <w:pPr>
              <w:pStyle w:val="14"/>
            </w:pPr>
            <w:r>
              <w:t>本年支出合计</w:t>
            </w:r>
          </w:p>
        </w:tc>
        <w:tc>
          <w:tcPr>
            <w:tcW w:w="2126" w:type="dxa"/>
            <w:vAlign w:val="center"/>
          </w:tcPr>
          <w:p>
            <w:pPr>
              <w:pStyle w:val="15"/>
            </w:pPr>
            <w:r>
              <w:t>306.56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306.56</w:t>
            </w:r>
          </w:p>
        </w:tc>
        <w:tc>
          <w:tcPr>
            <w:tcW w:w="4535" w:type="dxa"/>
            <w:vAlign w:val="center"/>
          </w:tcPr>
          <w:p>
            <w:pPr>
              <w:pStyle w:val="14"/>
            </w:pPr>
            <w:r>
              <w:t>支出总计</w:t>
            </w:r>
          </w:p>
        </w:tc>
        <w:tc>
          <w:tcPr>
            <w:tcW w:w="2126" w:type="dxa"/>
            <w:vAlign w:val="center"/>
          </w:tcPr>
          <w:p>
            <w:pPr>
              <w:pStyle w:val="15"/>
            </w:pPr>
            <w:r>
              <w:t>306.56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501001保定市徐水区信访局本级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306.56</w:t>
            </w:r>
          </w:p>
        </w:tc>
        <w:tc>
          <w:tcPr>
            <w:tcW w:w="1134" w:type="dxa"/>
            <w:vAlign w:val="center"/>
          </w:tcPr>
          <w:p>
            <w:pPr>
              <w:pStyle w:val="15"/>
            </w:pPr>
            <w:r>
              <w:t>306.56</w:t>
            </w:r>
          </w:p>
        </w:tc>
        <w:tc>
          <w:tcPr>
            <w:tcW w:w="1134" w:type="dxa"/>
            <w:vAlign w:val="center"/>
          </w:tcPr>
          <w:p>
            <w:pPr>
              <w:pStyle w:val="15"/>
            </w:pPr>
            <w:r>
              <w:t>306.56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249.83</w:t>
            </w:r>
          </w:p>
        </w:tc>
        <w:tc>
          <w:tcPr>
            <w:tcW w:w="1134" w:type="dxa"/>
            <w:vAlign w:val="center"/>
          </w:tcPr>
          <w:p>
            <w:pPr>
              <w:pStyle w:val="11"/>
            </w:pPr>
            <w:r>
              <w:t>249.83</w:t>
            </w:r>
          </w:p>
        </w:tc>
        <w:tc>
          <w:tcPr>
            <w:tcW w:w="1134" w:type="dxa"/>
            <w:vAlign w:val="center"/>
          </w:tcPr>
          <w:p>
            <w:pPr>
              <w:pStyle w:val="11"/>
            </w:pPr>
            <w:r>
              <w:t>249.83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249.83</w:t>
            </w:r>
          </w:p>
        </w:tc>
        <w:tc>
          <w:tcPr>
            <w:tcW w:w="1134" w:type="dxa"/>
            <w:vAlign w:val="center"/>
          </w:tcPr>
          <w:p>
            <w:pPr>
              <w:pStyle w:val="11"/>
            </w:pPr>
            <w:r>
              <w:t>249.83</w:t>
            </w:r>
          </w:p>
        </w:tc>
        <w:tc>
          <w:tcPr>
            <w:tcW w:w="1134" w:type="dxa"/>
            <w:vAlign w:val="center"/>
          </w:tcPr>
          <w:p>
            <w:pPr>
              <w:pStyle w:val="11"/>
            </w:pPr>
            <w:r>
              <w:t>249.83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149.39</w:t>
            </w:r>
          </w:p>
        </w:tc>
        <w:tc>
          <w:tcPr>
            <w:tcW w:w="1134" w:type="dxa"/>
            <w:vAlign w:val="center"/>
          </w:tcPr>
          <w:p>
            <w:pPr>
              <w:pStyle w:val="11"/>
            </w:pPr>
            <w:r>
              <w:t>149.39</w:t>
            </w:r>
          </w:p>
        </w:tc>
        <w:tc>
          <w:tcPr>
            <w:tcW w:w="1134" w:type="dxa"/>
            <w:vAlign w:val="center"/>
          </w:tcPr>
          <w:p>
            <w:pPr>
              <w:pStyle w:val="11"/>
            </w:pPr>
            <w:r>
              <w:t>149.39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2013602</w:t>
            </w:r>
          </w:p>
        </w:tc>
        <w:tc>
          <w:tcPr>
            <w:tcW w:w="1559" w:type="dxa"/>
            <w:vAlign w:val="center"/>
          </w:tcPr>
          <w:p>
            <w:pPr>
              <w:pStyle w:val="12"/>
            </w:pPr>
            <w:r>
              <w:t>一般行政管理事务</w:t>
            </w:r>
          </w:p>
        </w:tc>
        <w:tc>
          <w:tcPr>
            <w:tcW w:w="1134" w:type="dxa"/>
            <w:vAlign w:val="center"/>
          </w:tcPr>
          <w:p>
            <w:pPr>
              <w:pStyle w:val="11"/>
            </w:pPr>
            <w:r>
              <w:t>100.44</w:t>
            </w:r>
          </w:p>
        </w:tc>
        <w:tc>
          <w:tcPr>
            <w:tcW w:w="1134" w:type="dxa"/>
            <w:vAlign w:val="center"/>
          </w:tcPr>
          <w:p>
            <w:pPr>
              <w:pStyle w:val="11"/>
            </w:pPr>
            <w:r>
              <w:t>100.44</w:t>
            </w:r>
          </w:p>
        </w:tc>
        <w:tc>
          <w:tcPr>
            <w:tcW w:w="1134" w:type="dxa"/>
            <w:vAlign w:val="center"/>
          </w:tcPr>
          <w:p>
            <w:pPr>
              <w:pStyle w:val="11"/>
            </w:pPr>
            <w:r>
              <w:t>100.44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39.08</w:t>
            </w:r>
          </w:p>
        </w:tc>
        <w:tc>
          <w:tcPr>
            <w:tcW w:w="1134" w:type="dxa"/>
            <w:vAlign w:val="center"/>
          </w:tcPr>
          <w:p>
            <w:pPr>
              <w:pStyle w:val="11"/>
            </w:pPr>
            <w:r>
              <w:t>39.08</w:t>
            </w:r>
          </w:p>
        </w:tc>
        <w:tc>
          <w:tcPr>
            <w:tcW w:w="1134" w:type="dxa"/>
            <w:vAlign w:val="center"/>
          </w:tcPr>
          <w:p>
            <w:pPr>
              <w:pStyle w:val="11"/>
            </w:pPr>
            <w:r>
              <w:t>39.08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39.08</w:t>
            </w:r>
          </w:p>
        </w:tc>
        <w:tc>
          <w:tcPr>
            <w:tcW w:w="1134" w:type="dxa"/>
            <w:vAlign w:val="center"/>
          </w:tcPr>
          <w:p>
            <w:pPr>
              <w:pStyle w:val="11"/>
            </w:pPr>
            <w:r>
              <w:t>39.08</w:t>
            </w:r>
          </w:p>
        </w:tc>
        <w:tc>
          <w:tcPr>
            <w:tcW w:w="1134" w:type="dxa"/>
            <w:vAlign w:val="center"/>
          </w:tcPr>
          <w:p>
            <w:pPr>
              <w:pStyle w:val="11"/>
            </w:pPr>
            <w:r>
              <w:t>39.08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23.76</w:t>
            </w:r>
          </w:p>
        </w:tc>
        <w:tc>
          <w:tcPr>
            <w:tcW w:w="1134" w:type="dxa"/>
            <w:vAlign w:val="center"/>
          </w:tcPr>
          <w:p>
            <w:pPr>
              <w:pStyle w:val="11"/>
            </w:pPr>
            <w:r>
              <w:t>23.76</w:t>
            </w:r>
          </w:p>
        </w:tc>
        <w:tc>
          <w:tcPr>
            <w:tcW w:w="1134" w:type="dxa"/>
            <w:vAlign w:val="center"/>
          </w:tcPr>
          <w:p>
            <w:pPr>
              <w:pStyle w:val="11"/>
            </w:pPr>
            <w:r>
              <w:t>23.76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306.56</w:t>
            </w:r>
          </w:p>
        </w:tc>
        <w:tc>
          <w:tcPr>
            <w:tcW w:w="1361" w:type="dxa"/>
            <w:vAlign w:val="center"/>
          </w:tcPr>
          <w:p>
            <w:pPr>
              <w:pStyle w:val="15"/>
            </w:pPr>
            <w:r>
              <w:t>206.12</w:t>
            </w:r>
          </w:p>
        </w:tc>
        <w:tc>
          <w:tcPr>
            <w:tcW w:w="1361" w:type="dxa"/>
            <w:vAlign w:val="center"/>
          </w:tcPr>
          <w:p>
            <w:pPr>
              <w:pStyle w:val="15"/>
            </w:pPr>
            <w:r>
              <w:t>100.44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249.83</w:t>
            </w:r>
          </w:p>
        </w:tc>
        <w:tc>
          <w:tcPr>
            <w:tcW w:w="1361" w:type="dxa"/>
            <w:vAlign w:val="center"/>
          </w:tcPr>
          <w:p>
            <w:pPr>
              <w:pStyle w:val="11"/>
            </w:pPr>
            <w:r>
              <w:t>149.39</w:t>
            </w:r>
          </w:p>
        </w:tc>
        <w:tc>
          <w:tcPr>
            <w:tcW w:w="1361" w:type="dxa"/>
            <w:vAlign w:val="center"/>
          </w:tcPr>
          <w:p>
            <w:pPr>
              <w:pStyle w:val="11"/>
            </w:pPr>
            <w:r>
              <w:t>100.44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249.83</w:t>
            </w:r>
          </w:p>
        </w:tc>
        <w:tc>
          <w:tcPr>
            <w:tcW w:w="1361" w:type="dxa"/>
            <w:vAlign w:val="center"/>
          </w:tcPr>
          <w:p>
            <w:pPr>
              <w:pStyle w:val="11"/>
            </w:pPr>
            <w:r>
              <w:t>149.39</w:t>
            </w:r>
          </w:p>
        </w:tc>
        <w:tc>
          <w:tcPr>
            <w:tcW w:w="1361" w:type="dxa"/>
            <w:vAlign w:val="center"/>
          </w:tcPr>
          <w:p>
            <w:pPr>
              <w:pStyle w:val="11"/>
            </w:pPr>
            <w:r>
              <w:t>100.44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149.39</w:t>
            </w:r>
          </w:p>
        </w:tc>
        <w:tc>
          <w:tcPr>
            <w:tcW w:w="1361" w:type="dxa"/>
            <w:vAlign w:val="center"/>
          </w:tcPr>
          <w:p>
            <w:pPr>
              <w:pStyle w:val="11"/>
            </w:pPr>
            <w:r>
              <w:t>149.39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2013602</w:t>
            </w:r>
          </w:p>
        </w:tc>
        <w:tc>
          <w:tcPr>
            <w:tcW w:w="4535" w:type="dxa"/>
            <w:vAlign w:val="center"/>
          </w:tcPr>
          <w:p>
            <w:pPr>
              <w:pStyle w:val="12"/>
            </w:pPr>
            <w:r>
              <w:t>一般行政管理事务</w:t>
            </w:r>
          </w:p>
        </w:tc>
        <w:tc>
          <w:tcPr>
            <w:tcW w:w="1361" w:type="dxa"/>
            <w:vAlign w:val="center"/>
          </w:tcPr>
          <w:p>
            <w:pPr>
              <w:pStyle w:val="11"/>
            </w:pPr>
            <w:r>
              <w:t>100.44</w:t>
            </w:r>
          </w:p>
        </w:tc>
        <w:tc>
          <w:tcPr>
            <w:tcW w:w="1361" w:type="dxa"/>
            <w:vAlign w:val="center"/>
          </w:tcPr>
          <w:p>
            <w:pPr>
              <w:pStyle w:val="11"/>
            </w:pPr>
          </w:p>
        </w:tc>
        <w:tc>
          <w:tcPr>
            <w:tcW w:w="1361" w:type="dxa"/>
            <w:vAlign w:val="center"/>
          </w:tcPr>
          <w:p>
            <w:pPr>
              <w:pStyle w:val="11"/>
            </w:pPr>
            <w:r>
              <w:t>100.44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39.08</w:t>
            </w:r>
          </w:p>
        </w:tc>
        <w:tc>
          <w:tcPr>
            <w:tcW w:w="1361" w:type="dxa"/>
            <w:vAlign w:val="center"/>
          </w:tcPr>
          <w:p>
            <w:pPr>
              <w:pStyle w:val="11"/>
            </w:pPr>
            <w:r>
              <w:t>39.08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39.08</w:t>
            </w:r>
          </w:p>
        </w:tc>
        <w:tc>
          <w:tcPr>
            <w:tcW w:w="1361" w:type="dxa"/>
            <w:vAlign w:val="center"/>
          </w:tcPr>
          <w:p>
            <w:pPr>
              <w:pStyle w:val="11"/>
            </w:pPr>
            <w:r>
              <w:t>39.08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23.76</w:t>
            </w:r>
          </w:p>
        </w:tc>
        <w:tc>
          <w:tcPr>
            <w:tcW w:w="1361" w:type="dxa"/>
            <w:vAlign w:val="center"/>
          </w:tcPr>
          <w:p>
            <w:pPr>
              <w:pStyle w:val="11"/>
            </w:pPr>
            <w:r>
              <w:t>23.76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15.32</w:t>
            </w:r>
          </w:p>
        </w:tc>
        <w:tc>
          <w:tcPr>
            <w:tcW w:w="1361" w:type="dxa"/>
            <w:vAlign w:val="center"/>
          </w:tcPr>
          <w:p>
            <w:pPr>
              <w:pStyle w:val="11"/>
            </w:pPr>
            <w:r>
              <w:t>15.32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306.56</w:t>
            </w:r>
          </w:p>
        </w:tc>
        <w:tc>
          <w:tcPr>
            <w:tcW w:w="3402" w:type="dxa"/>
            <w:vAlign w:val="center"/>
          </w:tcPr>
          <w:p>
            <w:pPr>
              <w:pStyle w:val="12"/>
            </w:pPr>
            <w:r>
              <w:t>一、一般公共服务支出</w:t>
            </w:r>
          </w:p>
        </w:tc>
        <w:tc>
          <w:tcPr>
            <w:tcW w:w="1474" w:type="dxa"/>
            <w:vAlign w:val="center"/>
          </w:tcPr>
          <w:p>
            <w:pPr>
              <w:pStyle w:val="11"/>
            </w:pPr>
            <w:r>
              <w:t>249.83</w:t>
            </w:r>
          </w:p>
        </w:tc>
        <w:tc>
          <w:tcPr>
            <w:tcW w:w="1474" w:type="dxa"/>
            <w:vAlign w:val="center"/>
          </w:tcPr>
          <w:p>
            <w:pPr>
              <w:pStyle w:val="11"/>
            </w:pPr>
            <w:r>
              <w:t>249.83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39.08</w:t>
            </w:r>
          </w:p>
        </w:tc>
        <w:tc>
          <w:tcPr>
            <w:tcW w:w="1474" w:type="dxa"/>
            <w:vAlign w:val="center"/>
          </w:tcPr>
          <w:p>
            <w:pPr>
              <w:pStyle w:val="11"/>
            </w:pPr>
            <w:r>
              <w:t>39.08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5.11</w:t>
            </w:r>
          </w:p>
        </w:tc>
        <w:tc>
          <w:tcPr>
            <w:tcW w:w="1474" w:type="dxa"/>
            <w:vAlign w:val="center"/>
          </w:tcPr>
          <w:p>
            <w:pPr>
              <w:pStyle w:val="11"/>
            </w:pPr>
            <w:r>
              <w:t>5.11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12.55</w:t>
            </w:r>
          </w:p>
        </w:tc>
        <w:tc>
          <w:tcPr>
            <w:tcW w:w="1474" w:type="dxa"/>
            <w:vAlign w:val="center"/>
          </w:tcPr>
          <w:p>
            <w:pPr>
              <w:pStyle w:val="11"/>
            </w:pPr>
            <w:r>
              <w:t>12.55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306.56</w:t>
            </w:r>
          </w:p>
        </w:tc>
        <w:tc>
          <w:tcPr>
            <w:tcW w:w="3402" w:type="dxa"/>
            <w:vAlign w:val="center"/>
          </w:tcPr>
          <w:p>
            <w:pPr>
              <w:pStyle w:val="14"/>
            </w:pPr>
            <w:r>
              <w:t>本年支出合计</w:t>
            </w:r>
          </w:p>
        </w:tc>
        <w:tc>
          <w:tcPr>
            <w:tcW w:w="1474" w:type="dxa"/>
            <w:vAlign w:val="center"/>
          </w:tcPr>
          <w:p>
            <w:pPr>
              <w:pStyle w:val="15"/>
            </w:pPr>
            <w:r>
              <w:t>306.56</w:t>
            </w:r>
          </w:p>
        </w:tc>
        <w:tc>
          <w:tcPr>
            <w:tcW w:w="1474" w:type="dxa"/>
            <w:vAlign w:val="center"/>
          </w:tcPr>
          <w:p>
            <w:pPr>
              <w:pStyle w:val="15"/>
            </w:pPr>
            <w:r>
              <w:t>306.56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306.56</w:t>
            </w:r>
          </w:p>
        </w:tc>
        <w:tc>
          <w:tcPr>
            <w:tcW w:w="3402" w:type="dxa"/>
            <w:vAlign w:val="center"/>
          </w:tcPr>
          <w:p>
            <w:pPr>
              <w:pStyle w:val="14"/>
            </w:pPr>
            <w:r>
              <w:t>支出总计</w:t>
            </w:r>
          </w:p>
        </w:tc>
        <w:tc>
          <w:tcPr>
            <w:tcW w:w="1474" w:type="dxa"/>
            <w:vAlign w:val="center"/>
          </w:tcPr>
          <w:p>
            <w:pPr>
              <w:pStyle w:val="15"/>
            </w:pPr>
            <w:r>
              <w:t>306.56</w:t>
            </w:r>
          </w:p>
        </w:tc>
        <w:tc>
          <w:tcPr>
            <w:tcW w:w="1474" w:type="dxa"/>
            <w:vAlign w:val="center"/>
          </w:tcPr>
          <w:p>
            <w:pPr>
              <w:pStyle w:val="15"/>
            </w:pPr>
            <w:r>
              <w:t>306.56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306.56</w:t>
            </w:r>
          </w:p>
        </w:tc>
        <w:tc>
          <w:tcPr>
            <w:tcW w:w="2551" w:type="dxa"/>
            <w:vAlign w:val="center"/>
          </w:tcPr>
          <w:p>
            <w:pPr>
              <w:pStyle w:val="15"/>
            </w:pPr>
            <w:r>
              <w:t>206.12</w:t>
            </w:r>
          </w:p>
        </w:tc>
        <w:tc>
          <w:tcPr>
            <w:tcW w:w="2551" w:type="dxa"/>
            <w:vAlign w:val="center"/>
          </w:tcPr>
          <w:p>
            <w:pPr>
              <w:pStyle w:val="15"/>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249.83</w:t>
            </w:r>
          </w:p>
        </w:tc>
        <w:tc>
          <w:tcPr>
            <w:tcW w:w="2551" w:type="dxa"/>
            <w:vAlign w:val="center"/>
          </w:tcPr>
          <w:p>
            <w:pPr>
              <w:pStyle w:val="11"/>
            </w:pPr>
            <w:r>
              <w:t>149.39</w:t>
            </w:r>
          </w:p>
        </w:tc>
        <w:tc>
          <w:tcPr>
            <w:tcW w:w="2551" w:type="dxa"/>
            <w:vAlign w:val="center"/>
          </w:tcPr>
          <w:p>
            <w:pPr>
              <w:pStyle w:val="11"/>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249.83</w:t>
            </w:r>
          </w:p>
        </w:tc>
        <w:tc>
          <w:tcPr>
            <w:tcW w:w="2551" w:type="dxa"/>
            <w:vAlign w:val="center"/>
          </w:tcPr>
          <w:p>
            <w:pPr>
              <w:pStyle w:val="11"/>
            </w:pPr>
            <w:r>
              <w:t>149.39</w:t>
            </w:r>
          </w:p>
        </w:tc>
        <w:tc>
          <w:tcPr>
            <w:tcW w:w="2551" w:type="dxa"/>
            <w:vAlign w:val="center"/>
          </w:tcPr>
          <w:p>
            <w:pPr>
              <w:pStyle w:val="11"/>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149.39</w:t>
            </w:r>
          </w:p>
        </w:tc>
        <w:tc>
          <w:tcPr>
            <w:tcW w:w="2551" w:type="dxa"/>
            <w:vAlign w:val="center"/>
          </w:tcPr>
          <w:p>
            <w:pPr>
              <w:pStyle w:val="11"/>
            </w:pPr>
            <w:r>
              <w:t>149.39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2013602</w:t>
            </w:r>
          </w:p>
        </w:tc>
        <w:tc>
          <w:tcPr>
            <w:tcW w:w="4535" w:type="dxa"/>
            <w:vAlign w:val="center"/>
          </w:tcPr>
          <w:p>
            <w:pPr>
              <w:pStyle w:val="12"/>
            </w:pPr>
            <w:r>
              <w:t>一般行政管理事务</w:t>
            </w:r>
          </w:p>
        </w:tc>
        <w:tc>
          <w:tcPr>
            <w:tcW w:w="2551" w:type="dxa"/>
            <w:vAlign w:val="center"/>
          </w:tcPr>
          <w:p>
            <w:pPr>
              <w:pStyle w:val="11"/>
            </w:pPr>
            <w:r>
              <w:t>100.44</w:t>
            </w:r>
          </w:p>
        </w:tc>
        <w:tc>
          <w:tcPr>
            <w:tcW w:w="2551" w:type="dxa"/>
            <w:vAlign w:val="center"/>
          </w:tcPr>
          <w:p>
            <w:pPr>
              <w:pStyle w:val="11"/>
            </w:pPr>
          </w:p>
        </w:tc>
        <w:tc>
          <w:tcPr>
            <w:tcW w:w="2551" w:type="dxa"/>
            <w:vAlign w:val="center"/>
          </w:tcPr>
          <w:p>
            <w:pPr>
              <w:pStyle w:val="11"/>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39.08</w:t>
            </w:r>
          </w:p>
        </w:tc>
        <w:tc>
          <w:tcPr>
            <w:tcW w:w="2551" w:type="dxa"/>
            <w:vAlign w:val="center"/>
          </w:tcPr>
          <w:p>
            <w:pPr>
              <w:pStyle w:val="11"/>
            </w:pPr>
            <w:r>
              <w:t>39.08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39.08</w:t>
            </w:r>
          </w:p>
        </w:tc>
        <w:tc>
          <w:tcPr>
            <w:tcW w:w="2551" w:type="dxa"/>
            <w:vAlign w:val="center"/>
          </w:tcPr>
          <w:p>
            <w:pPr>
              <w:pStyle w:val="11"/>
            </w:pPr>
            <w:r>
              <w:t>39.08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23.76</w:t>
            </w:r>
          </w:p>
        </w:tc>
        <w:tc>
          <w:tcPr>
            <w:tcW w:w="2551" w:type="dxa"/>
            <w:vAlign w:val="center"/>
          </w:tcPr>
          <w:p>
            <w:pPr>
              <w:pStyle w:val="11"/>
            </w:pPr>
            <w:r>
              <w:t>23.76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15.32</w:t>
            </w:r>
          </w:p>
        </w:tc>
        <w:tc>
          <w:tcPr>
            <w:tcW w:w="2551" w:type="dxa"/>
            <w:vAlign w:val="center"/>
          </w:tcPr>
          <w:p>
            <w:pPr>
              <w:pStyle w:val="11"/>
            </w:pPr>
            <w:r>
              <w:t>15.32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206.12</w:t>
            </w:r>
          </w:p>
        </w:tc>
        <w:tc>
          <w:tcPr>
            <w:tcW w:w="2551" w:type="dxa"/>
            <w:vAlign w:val="center"/>
          </w:tcPr>
          <w:p>
            <w:pPr>
              <w:pStyle w:val="15"/>
            </w:pPr>
            <w:r>
              <w:t>186.44</w:t>
            </w:r>
          </w:p>
        </w:tc>
        <w:tc>
          <w:tcPr>
            <w:tcW w:w="2551" w:type="dxa"/>
            <w:vAlign w:val="center"/>
          </w:tcPr>
          <w:p>
            <w:pPr>
              <w:pStyle w:val="15"/>
            </w:pPr>
            <w:r>
              <w:t>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163.20</w:t>
            </w:r>
          </w:p>
        </w:tc>
        <w:tc>
          <w:tcPr>
            <w:tcW w:w="2551" w:type="dxa"/>
            <w:vAlign w:val="center"/>
          </w:tcPr>
          <w:p>
            <w:pPr>
              <w:pStyle w:val="11"/>
            </w:pPr>
            <w:r>
              <w:t>163.20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43.28</w:t>
            </w:r>
          </w:p>
        </w:tc>
        <w:tc>
          <w:tcPr>
            <w:tcW w:w="2551" w:type="dxa"/>
            <w:vAlign w:val="center"/>
          </w:tcPr>
          <w:p>
            <w:pPr>
              <w:pStyle w:val="11"/>
            </w:pPr>
            <w:r>
              <w:t>43.28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41.85</w:t>
            </w:r>
          </w:p>
        </w:tc>
        <w:tc>
          <w:tcPr>
            <w:tcW w:w="2551" w:type="dxa"/>
            <w:vAlign w:val="center"/>
          </w:tcPr>
          <w:p>
            <w:pPr>
              <w:pStyle w:val="11"/>
            </w:pPr>
            <w:r>
              <w:t>41.85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30.88</w:t>
            </w:r>
          </w:p>
        </w:tc>
        <w:tc>
          <w:tcPr>
            <w:tcW w:w="2551" w:type="dxa"/>
            <w:vAlign w:val="center"/>
          </w:tcPr>
          <w:p>
            <w:pPr>
              <w:pStyle w:val="11"/>
            </w:pPr>
            <w:r>
              <w:t>30.88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15.32</w:t>
            </w:r>
          </w:p>
        </w:tc>
        <w:tc>
          <w:tcPr>
            <w:tcW w:w="2551" w:type="dxa"/>
            <w:vAlign w:val="center"/>
          </w:tcPr>
          <w:p>
            <w:pPr>
              <w:pStyle w:val="11"/>
            </w:pPr>
            <w:r>
              <w:t>15.32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13.83</w:t>
            </w:r>
          </w:p>
        </w:tc>
        <w:tc>
          <w:tcPr>
            <w:tcW w:w="2551" w:type="dxa"/>
            <w:vAlign w:val="center"/>
          </w:tcPr>
          <w:p>
            <w:pPr>
              <w:pStyle w:val="11"/>
            </w:pPr>
            <w:r>
              <w:t>13.83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19.24</w:t>
            </w:r>
          </w:p>
        </w:tc>
        <w:tc>
          <w:tcPr>
            <w:tcW w:w="2551" w:type="dxa"/>
            <w:vAlign w:val="center"/>
          </w:tcPr>
          <w:p>
            <w:pPr>
              <w:pStyle w:val="11"/>
            </w:pPr>
          </w:p>
        </w:tc>
        <w:tc>
          <w:tcPr>
            <w:tcW w:w="2551" w:type="dxa"/>
            <w:vAlign w:val="center"/>
          </w:tcPr>
          <w:p>
            <w:pPr>
              <w:pStyle w:val="11"/>
            </w:pPr>
            <w:r>
              <w:t>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4.96</w:t>
            </w:r>
          </w:p>
        </w:tc>
        <w:tc>
          <w:tcPr>
            <w:tcW w:w="2551" w:type="dxa"/>
            <w:vAlign w:val="center"/>
          </w:tcPr>
          <w:p>
            <w:pPr>
              <w:pStyle w:val="11"/>
            </w:pPr>
          </w:p>
        </w:tc>
        <w:tc>
          <w:tcPr>
            <w:tcW w:w="2551" w:type="dxa"/>
            <w:vAlign w:val="center"/>
          </w:tcPr>
          <w:p>
            <w:pPr>
              <w:pStyle w:val="11"/>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1.42</w:t>
            </w:r>
          </w:p>
        </w:tc>
        <w:tc>
          <w:tcPr>
            <w:tcW w:w="2551" w:type="dxa"/>
            <w:vAlign w:val="center"/>
          </w:tcPr>
          <w:p>
            <w:pPr>
              <w:pStyle w:val="11"/>
            </w:pPr>
          </w:p>
        </w:tc>
        <w:tc>
          <w:tcPr>
            <w:tcW w:w="2551"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23.24</w:t>
            </w:r>
          </w:p>
        </w:tc>
        <w:tc>
          <w:tcPr>
            <w:tcW w:w="2551" w:type="dxa"/>
            <w:vAlign w:val="center"/>
          </w:tcPr>
          <w:p>
            <w:pPr>
              <w:pStyle w:val="11"/>
            </w:pPr>
            <w:r>
              <w:t>23.24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23.22</w:t>
            </w:r>
          </w:p>
        </w:tc>
        <w:tc>
          <w:tcPr>
            <w:tcW w:w="2551" w:type="dxa"/>
            <w:vAlign w:val="center"/>
          </w:tcPr>
          <w:p>
            <w:pPr>
              <w:pStyle w:val="11"/>
            </w:pPr>
            <w:r>
              <w:t>23.22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501001保定市徐水区信访局本级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2.52</w:t>
            </w:r>
          </w:p>
        </w:tc>
        <w:tc>
          <w:tcPr>
            <w:tcW w:w="2381" w:type="dxa"/>
            <w:vAlign w:val="center"/>
          </w:tcPr>
          <w:p>
            <w:pPr>
              <w:pStyle w:val="15"/>
            </w:pPr>
            <w:r>
              <w:t>2.52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2.52</w:t>
            </w:r>
          </w:p>
        </w:tc>
        <w:tc>
          <w:tcPr>
            <w:tcW w:w="2381" w:type="dxa"/>
            <w:vAlign w:val="center"/>
          </w:tcPr>
          <w:p>
            <w:pPr>
              <w:pStyle w:val="11"/>
            </w:pPr>
            <w:r>
              <w:t>2.52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0.09</w:t>
            </w:r>
          </w:p>
        </w:tc>
        <w:tc>
          <w:tcPr>
            <w:tcW w:w="2381" w:type="dxa"/>
            <w:vAlign w:val="center"/>
          </w:tcPr>
          <w:p>
            <w:pPr>
              <w:pStyle w:val="11"/>
            </w:pPr>
            <w:r>
              <w:t>0.09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保定市徐水区信访局本级2024年单位预算信息公开情况说明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按照《中华人民共和国预算法》、《地方预决算公开操作规程》和《关于进一步推进预算公开工作的实施意见》规定，现将保定市徐水区信访局本级2024年单位预算公开如下：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（一）研究提出全区信访工作思路，拟订信访工作规范性文件。</w:t>
      </w:r>
    </w:p>
    <w:p>
      <w:pPr>
        <w:pStyle w:val="17"/>
      </w:pPr>
      <w:r>
        <w:t>（二）办理人民群众来信，接待群众来访，受理群众网上投诉，督办信访案件，负责人民群众建议征集工作。</w:t>
      </w:r>
    </w:p>
    <w:p>
      <w:pPr>
        <w:pStyle w:val="17"/>
      </w:pPr>
      <w:r>
        <w:t>（三）调查研究和综合分析全区信访形势及信访工作状况，总结推广各乡镇（城区办）、区直各部门信访工作经验，提出改进和加强信访工作的意见和建议。</w:t>
      </w:r>
    </w:p>
    <w:p>
      <w:pPr>
        <w:pStyle w:val="17"/>
      </w:pPr>
      <w:r>
        <w:t>（四）参与处理影响社会政治稳定的突发性、群体性事件，协调保障国家和省、市、区重大政治活动顺利进行。</w:t>
      </w:r>
    </w:p>
    <w:p>
      <w:pPr>
        <w:pStyle w:val="17"/>
      </w:pPr>
      <w: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pStyle w:val="17"/>
      </w:pPr>
      <w:r>
        <w:t>（六）协助国家、省、市信访局处理徐水区群众进京、赴省、到市上访，综合协调处理跨地区、跨部门、跨行业的重要信访问题。</w:t>
      </w:r>
    </w:p>
    <w:p>
      <w:pPr>
        <w:pStyle w:val="17"/>
      </w:pPr>
      <w:r>
        <w:t>（七）负责区级领导公开接访、包联督访和重点信访事项会商的组织协调工作。</w:t>
      </w:r>
    </w:p>
    <w:p>
      <w:pPr>
        <w:pStyle w:val="17"/>
      </w:pPr>
      <w:r>
        <w:t>（八）承担保定市徐水区信访工作联席会议的日常工作，督促落实联席会议决定的事项。</w:t>
      </w:r>
    </w:p>
    <w:p>
      <w:pPr>
        <w:pStyle w:val="17"/>
      </w:pPr>
      <w:r>
        <w:t>（九）负责保定市徐水区群众工作中心工作。</w:t>
      </w:r>
    </w:p>
    <w:p>
      <w:pPr>
        <w:pStyle w:val="17"/>
      </w:pPr>
      <w:r>
        <w:t>（十）承办区委、区政府以及国家信访局、省信访局、市信访局交办的其他任务。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eastAsia="zh-CN"/>
        </w:rPr>
        <w:t>（一）、</w:t>
      </w:r>
      <w:r>
        <w:t>收入说明</w:t>
      </w:r>
    </w:p>
    <w:p>
      <w:pPr>
        <w:pStyle w:val="18"/>
      </w:pPr>
      <w:r>
        <w:t>反映本单位当年全部收入。2024年预算收入306.56万元，其中：一般公共预算收入306.56万元，基金预算收入0万元，国有资本经营预算收入0万元，财政专户核拨收入0万元，单位资金收入0万元，上年结转结余0万元。</w:t>
      </w:r>
    </w:p>
    <w:p>
      <w:pPr>
        <w:pStyle w:val="18"/>
      </w:pPr>
      <w:r>
        <w:rPr>
          <w:rFonts w:hint="eastAsia"/>
          <w:lang w:eastAsia="zh-CN"/>
        </w:rPr>
        <w:t>（二）、</w:t>
      </w:r>
      <w:r>
        <w:t>支出说明</w:t>
      </w:r>
    </w:p>
    <w:p>
      <w:pPr>
        <w:pStyle w:val="18"/>
      </w:pPr>
      <w:r>
        <w:t>收支预算总表支出栏、基本支出表、项目支出表按经济分类和支出功能分类科目编制，反映保定市徐水区信访局年度部门预算中支出预算的总体情况。2024年支出预算306.56万元，其中基本支出206.12万元，包括人员经费186.44万元和日常公用经费19.69万元；项目支出100.44万元，主要为化解重点疑难信访案件专项经费，国家、省、市重大会议及节假日值班经费，徐水区群众工作中心运行经费（运转保障）等。</w:t>
      </w:r>
    </w:p>
    <w:p>
      <w:pPr>
        <w:pStyle w:val="18"/>
      </w:pPr>
      <w:r>
        <w:rPr>
          <w:rFonts w:hint="eastAsia"/>
          <w:lang w:eastAsia="zh-CN"/>
        </w:rPr>
        <w:t>（三）、</w:t>
      </w:r>
      <w:r>
        <w:t>比上年增减情况</w:t>
      </w:r>
      <w:bookmarkStart w:id="1" w:name="_GoBack"/>
      <w:bookmarkEnd w:id="1"/>
    </w:p>
    <w:p>
      <w:pPr>
        <w:pStyle w:val="18"/>
      </w:pPr>
      <w:r>
        <w:t>本年度预算收支安排306.56万元，较上年减少2.11万元。其中:基本支出减少2.10万元，主要原因是人员经费减少1.17万元，日常公用经费减少0.93万元；项目支出减少0.01万元，主要原因是其他资金支出减少0.01万元。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2024年我单位机关运行经费安排19.69万元，其中办公费2.16万元，邮电费4.96万元，工会经费、福利费2.97万元，公务用车运行维护费2.43万元，其他支出7.17万元。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2.52万元，其中因公出国（境）费0万元；公务用车购置及运维费2.43万元（其中：公务用车购置费为0万元，公务用车运维费2.43万元)；公务接待费0.09万元。与2023年相比增加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1、国家、省、市重大会议及节假日值班经费绩效目标表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13062524P00001510321R</w:t>
            </w:r>
          </w:p>
        </w:tc>
        <w:tc>
          <w:tcPr>
            <w:tcW w:w="2835" w:type="dxa"/>
            <w:vAlign w:val="center"/>
          </w:tcPr>
          <w:p>
            <w:pPr>
              <w:pStyle w:val="10"/>
            </w:pPr>
            <w:r>
              <w:t>项目名称</w:t>
            </w:r>
          </w:p>
        </w:tc>
        <w:tc>
          <w:tcPr>
            <w:tcW w:w="6094" w:type="dxa"/>
            <w:gridSpan w:val="3"/>
            <w:vAlign w:val="center"/>
          </w:tcPr>
          <w:p>
            <w:pPr>
              <w:pStyle w:val="12"/>
            </w:pPr>
            <w:r>
              <w:t>国家、省、市重大会议及节假日值班经费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24.34</w:t>
            </w:r>
          </w:p>
        </w:tc>
        <w:tc>
          <w:tcPr>
            <w:tcW w:w="2835" w:type="dxa"/>
            <w:vAlign w:val="center"/>
          </w:tcPr>
          <w:p>
            <w:pPr>
              <w:pStyle w:val="10"/>
            </w:pPr>
            <w:r>
              <w:t>其中：财政    资金</w:t>
            </w:r>
          </w:p>
        </w:tc>
        <w:tc>
          <w:tcPr>
            <w:tcW w:w="2551" w:type="dxa"/>
            <w:vAlign w:val="center"/>
          </w:tcPr>
          <w:p>
            <w:pPr>
              <w:pStyle w:val="12"/>
            </w:pPr>
            <w:r>
              <w:t>24.34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支付出差人员差旅费。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w:t>
            </w:r>
          </w:p>
        </w:tc>
        <w:tc>
          <w:tcPr>
            <w:tcW w:w="2835" w:type="dxa"/>
            <w:vAlign w:val="center"/>
          </w:tcPr>
          <w:p>
            <w:pPr>
              <w:pStyle w:val="13"/>
            </w:pPr>
            <w:r>
              <w:t>90%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1.通过妥善处置信访案件，减少各种访量，维护社会和谐稳定。</w:t>
            </w:r>
          </w:p>
          <w:p>
            <w:pPr>
              <w:pStyle w:val="12"/>
            </w:pPr>
            <w:r>
              <w:t>2.及时支付出差人员差旅费，出差人员不少于3人，伙食补助标准100元/人/天，交通补助标准80元/人/天，石家庄住宿费标准350元/人/天，北京住宿费标准500元/人/天，北戴河住宿费标准7-8月旺季期间500元/人/天。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进京、赴省、到市出差人员不少于3人</w:t>
            </w:r>
          </w:p>
        </w:tc>
        <w:tc>
          <w:tcPr>
            <w:tcW w:w="5386" w:type="dxa"/>
            <w:vAlign w:val="center"/>
          </w:tcPr>
          <w:p>
            <w:pPr>
              <w:pStyle w:val="12"/>
            </w:pPr>
            <w:r>
              <w:t>反映信访工作人员进京、赴省到市值班人数</w:t>
            </w:r>
          </w:p>
        </w:tc>
        <w:tc>
          <w:tcPr>
            <w:tcW w:w="2268" w:type="dxa"/>
            <w:vAlign w:val="center"/>
          </w:tcPr>
          <w:p>
            <w:pPr>
              <w:pStyle w:val="12"/>
            </w:pPr>
            <w:r>
              <w:t>≥3人</w:t>
            </w:r>
          </w:p>
        </w:tc>
        <w:tc>
          <w:tcPr>
            <w:tcW w:w="1276" w:type="dxa"/>
            <w:vAlign w:val="center"/>
          </w:tcPr>
          <w:p>
            <w:pPr>
              <w:pStyle w:val="12"/>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信访案件妥善处置率</w:t>
            </w:r>
          </w:p>
        </w:tc>
        <w:tc>
          <w:tcPr>
            <w:tcW w:w="5386" w:type="dxa"/>
            <w:vAlign w:val="center"/>
          </w:tcPr>
          <w:p>
            <w:pPr>
              <w:pStyle w:val="12"/>
            </w:pPr>
            <w:r>
              <w:t>反映出差人员妥善处置上访人员情况</w:t>
            </w:r>
          </w:p>
        </w:tc>
        <w:tc>
          <w:tcPr>
            <w:tcW w:w="2268" w:type="dxa"/>
            <w:vAlign w:val="center"/>
          </w:tcPr>
          <w:p>
            <w:pPr>
              <w:pStyle w:val="12"/>
            </w:pPr>
            <w:r>
              <w:t>≥95%</w:t>
            </w:r>
          </w:p>
        </w:tc>
        <w:tc>
          <w:tcPr>
            <w:tcW w:w="1276" w:type="dxa"/>
            <w:vAlign w:val="center"/>
          </w:tcPr>
          <w:p>
            <w:pPr>
              <w:pStyle w:val="12"/>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及时支付差旅费</w:t>
            </w:r>
          </w:p>
        </w:tc>
        <w:tc>
          <w:tcPr>
            <w:tcW w:w="5386" w:type="dxa"/>
            <w:vAlign w:val="center"/>
          </w:tcPr>
          <w:p>
            <w:pPr>
              <w:pStyle w:val="12"/>
            </w:pPr>
            <w:r>
              <w:t>反映支付差旅费及时程度</w:t>
            </w:r>
          </w:p>
        </w:tc>
        <w:tc>
          <w:tcPr>
            <w:tcW w:w="2268" w:type="dxa"/>
            <w:vAlign w:val="center"/>
          </w:tcPr>
          <w:p>
            <w:pPr>
              <w:pStyle w:val="12"/>
            </w:pPr>
            <w:r>
              <w:t>100%</w:t>
            </w:r>
          </w:p>
        </w:tc>
        <w:tc>
          <w:tcPr>
            <w:tcW w:w="1276" w:type="dxa"/>
            <w:vAlign w:val="center"/>
          </w:tcPr>
          <w:p>
            <w:pPr>
              <w:pStyle w:val="12"/>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反映出差人员差旅费用</w:t>
            </w:r>
          </w:p>
        </w:tc>
        <w:tc>
          <w:tcPr>
            <w:tcW w:w="2268" w:type="dxa"/>
            <w:vAlign w:val="center"/>
          </w:tcPr>
          <w:p>
            <w:pPr>
              <w:pStyle w:val="12"/>
            </w:pPr>
            <w:r>
              <w:t>≤24.34万元</w:t>
            </w:r>
          </w:p>
        </w:tc>
        <w:tc>
          <w:tcPr>
            <w:tcW w:w="1276" w:type="dxa"/>
            <w:vAlign w:val="center"/>
          </w:tcPr>
          <w:p>
            <w:pPr>
              <w:pStyle w:val="12"/>
            </w:pPr>
            <w:r>
              <w:t>差旅报销单及国家、省、市重大会议及节假日值班经费项目实施计划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信访隐患排查率</w:t>
            </w:r>
          </w:p>
        </w:tc>
        <w:tc>
          <w:tcPr>
            <w:tcW w:w="5386" w:type="dxa"/>
            <w:vAlign w:val="center"/>
          </w:tcPr>
          <w:p>
            <w:pPr>
              <w:pStyle w:val="12"/>
            </w:pPr>
            <w:r>
              <w:t>及时排查各类信访隐患，严防漏排。</w:t>
            </w:r>
          </w:p>
        </w:tc>
        <w:tc>
          <w:tcPr>
            <w:tcW w:w="2268" w:type="dxa"/>
            <w:vAlign w:val="center"/>
          </w:tcPr>
          <w:p>
            <w:pPr>
              <w:pStyle w:val="12"/>
            </w:pPr>
            <w:r>
              <w:t>≥95%</w:t>
            </w:r>
          </w:p>
        </w:tc>
        <w:tc>
          <w:tcPr>
            <w:tcW w:w="1276" w:type="dxa"/>
            <w:vAlign w:val="center"/>
          </w:tcPr>
          <w:p>
            <w:pPr>
              <w:pStyle w:val="12"/>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出差人员满意率</w:t>
            </w:r>
          </w:p>
        </w:tc>
        <w:tc>
          <w:tcPr>
            <w:tcW w:w="5386" w:type="dxa"/>
            <w:vAlign w:val="center"/>
          </w:tcPr>
          <w:p>
            <w:pPr>
              <w:pStyle w:val="12"/>
            </w:pPr>
            <w:r>
              <w:t>反映出差人员满意程度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2、化解重点疑难信访案件专项经费绩效目标表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13062524P00001510319T</w:t>
            </w:r>
          </w:p>
        </w:tc>
        <w:tc>
          <w:tcPr>
            <w:tcW w:w="2835" w:type="dxa"/>
            <w:vAlign w:val="center"/>
          </w:tcPr>
          <w:p>
            <w:pPr>
              <w:pStyle w:val="10"/>
            </w:pPr>
            <w:r>
              <w:t>项目名称</w:t>
            </w:r>
          </w:p>
        </w:tc>
        <w:tc>
          <w:tcPr>
            <w:tcW w:w="6094" w:type="dxa"/>
            <w:gridSpan w:val="3"/>
            <w:vAlign w:val="center"/>
          </w:tcPr>
          <w:p>
            <w:pPr>
              <w:pStyle w:val="12"/>
            </w:pPr>
            <w:r>
              <w:t>化解重点疑难信访案件专项经费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根据乡镇和单位的请示，信访经费及时调剂到不少于3个相关需求部门。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w:t>
            </w:r>
          </w:p>
        </w:tc>
        <w:tc>
          <w:tcPr>
            <w:tcW w:w="2835" w:type="dxa"/>
            <w:vAlign w:val="center"/>
          </w:tcPr>
          <w:p>
            <w:pPr>
              <w:pStyle w:val="13"/>
            </w:pPr>
            <w:r>
              <w:t>65%</w:t>
            </w:r>
          </w:p>
        </w:tc>
        <w:tc>
          <w:tcPr>
            <w:tcW w:w="2551" w:type="dxa"/>
            <w:vAlign w:val="center"/>
          </w:tcPr>
          <w:p>
            <w:pPr>
              <w:pStyle w:val="13"/>
            </w:pPr>
            <w:r>
              <w:t>95%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1.用于全力化解影响全区稳定的重点疑难信访案件和久拖未决的历史遗留问题；及时妥善处理突发性信访案件，最大限度解决问题、消除积案；维护社会和谐稳定。信访案件受理及时率不小于95%。</w:t>
            </w:r>
          </w:p>
          <w:p>
            <w:pPr>
              <w:pStyle w:val="12"/>
            </w:pPr>
            <w:r>
              <w:t>2.根据乡镇和单位的请示，信访经费及时调剂到不少于3个相关需求部门。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调剂经费到各乡镇和其他单位数量</w:t>
            </w:r>
          </w:p>
        </w:tc>
        <w:tc>
          <w:tcPr>
            <w:tcW w:w="5386" w:type="dxa"/>
            <w:vAlign w:val="center"/>
          </w:tcPr>
          <w:p>
            <w:pPr>
              <w:pStyle w:val="12"/>
            </w:pPr>
            <w:r>
              <w:t>反映调剂经费到各乡镇和其他单位数量</w:t>
            </w:r>
          </w:p>
        </w:tc>
        <w:tc>
          <w:tcPr>
            <w:tcW w:w="2268" w:type="dxa"/>
            <w:vAlign w:val="center"/>
          </w:tcPr>
          <w:p>
            <w:pPr>
              <w:pStyle w:val="12"/>
            </w:pPr>
            <w:r>
              <w:t>≥3个</w:t>
            </w:r>
          </w:p>
        </w:tc>
        <w:tc>
          <w:tcPr>
            <w:tcW w:w="1276" w:type="dxa"/>
            <w:vAlign w:val="center"/>
          </w:tcPr>
          <w:p>
            <w:pPr>
              <w:pStyle w:val="12"/>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信访案件妥善处置率</w:t>
            </w:r>
          </w:p>
        </w:tc>
        <w:tc>
          <w:tcPr>
            <w:tcW w:w="5386" w:type="dxa"/>
            <w:vAlign w:val="center"/>
          </w:tcPr>
          <w:p>
            <w:pPr>
              <w:pStyle w:val="12"/>
            </w:pPr>
            <w:r>
              <w:t>反映妥善处置信访案件的程度</w:t>
            </w:r>
          </w:p>
        </w:tc>
        <w:tc>
          <w:tcPr>
            <w:tcW w:w="2268" w:type="dxa"/>
            <w:vAlign w:val="center"/>
          </w:tcPr>
          <w:p>
            <w:pPr>
              <w:pStyle w:val="12"/>
            </w:pPr>
            <w:r>
              <w:t>≥95%</w:t>
            </w:r>
          </w:p>
        </w:tc>
        <w:tc>
          <w:tcPr>
            <w:tcW w:w="1276" w:type="dxa"/>
            <w:vAlign w:val="center"/>
          </w:tcPr>
          <w:p>
            <w:pPr>
              <w:pStyle w:val="12"/>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调剂经费及时性</w:t>
            </w:r>
          </w:p>
        </w:tc>
        <w:tc>
          <w:tcPr>
            <w:tcW w:w="5386" w:type="dxa"/>
            <w:vAlign w:val="center"/>
          </w:tcPr>
          <w:p>
            <w:pPr>
              <w:pStyle w:val="12"/>
            </w:pPr>
            <w:r>
              <w:t>反映调剂经费到乡镇和其他单位及时程度</w:t>
            </w:r>
          </w:p>
        </w:tc>
        <w:tc>
          <w:tcPr>
            <w:tcW w:w="2268" w:type="dxa"/>
            <w:vAlign w:val="center"/>
          </w:tcPr>
          <w:p>
            <w:pPr>
              <w:pStyle w:val="12"/>
            </w:pPr>
            <w:r>
              <w:t>≥95%</w:t>
            </w:r>
          </w:p>
        </w:tc>
        <w:tc>
          <w:tcPr>
            <w:tcW w:w="1276" w:type="dxa"/>
            <w:vAlign w:val="center"/>
          </w:tcPr>
          <w:p>
            <w:pPr>
              <w:pStyle w:val="12"/>
            </w:pPr>
            <w:r>
              <w:t>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反映项目实际支出情况</w:t>
            </w:r>
          </w:p>
        </w:tc>
        <w:tc>
          <w:tcPr>
            <w:tcW w:w="2268" w:type="dxa"/>
            <w:vAlign w:val="center"/>
          </w:tcPr>
          <w:p>
            <w:pPr>
              <w:pStyle w:val="12"/>
            </w:pPr>
            <w:r>
              <w:t>≤68万元</w:t>
            </w:r>
          </w:p>
        </w:tc>
        <w:tc>
          <w:tcPr>
            <w:tcW w:w="1276" w:type="dxa"/>
            <w:vAlign w:val="center"/>
          </w:tcPr>
          <w:p>
            <w:pPr>
              <w:pStyle w:val="12"/>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信访案件受理及时率</w:t>
            </w:r>
          </w:p>
        </w:tc>
        <w:tc>
          <w:tcPr>
            <w:tcW w:w="5386" w:type="dxa"/>
            <w:vAlign w:val="center"/>
          </w:tcPr>
          <w:p>
            <w:pPr>
              <w:pStyle w:val="12"/>
            </w:pPr>
            <w:r>
              <w:t>反映信访案件受理及时程度</w:t>
            </w:r>
          </w:p>
        </w:tc>
        <w:tc>
          <w:tcPr>
            <w:tcW w:w="2268" w:type="dxa"/>
            <w:vAlign w:val="center"/>
          </w:tcPr>
          <w:p>
            <w:pPr>
              <w:pStyle w:val="12"/>
            </w:pPr>
            <w:r>
              <w:t>≥95%</w:t>
            </w:r>
          </w:p>
        </w:tc>
        <w:tc>
          <w:tcPr>
            <w:tcW w:w="1276" w:type="dxa"/>
            <w:vAlign w:val="center"/>
          </w:tcPr>
          <w:p>
            <w:pPr>
              <w:pStyle w:val="12"/>
            </w:pPr>
            <w:r>
              <w:t>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乡镇及其他单位满意度</w:t>
            </w:r>
          </w:p>
        </w:tc>
        <w:tc>
          <w:tcPr>
            <w:tcW w:w="5386" w:type="dxa"/>
            <w:vAlign w:val="center"/>
          </w:tcPr>
          <w:p>
            <w:pPr>
              <w:pStyle w:val="12"/>
            </w:pPr>
            <w:r>
              <w:t>反映乡镇及其他单位对调剂经费的满意程度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3、徐水区群众工作中心运行经费（运转保障）绩效目标表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13062524P000015103231</w:t>
            </w:r>
          </w:p>
        </w:tc>
        <w:tc>
          <w:tcPr>
            <w:tcW w:w="2835" w:type="dxa"/>
            <w:vAlign w:val="center"/>
          </w:tcPr>
          <w:p>
            <w:pPr>
              <w:pStyle w:val="10"/>
            </w:pPr>
            <w:r>
              <w:t>项目名称</w:t>
            </w:r>
          </w:p>
        </w:tc>
        <w:tc>
          <w:tcPr>
            <w:tcW w:w="6094" w:type="dxa"/>
            <w:gridSpan w:val="3"/>
            <w:vAlign w:val="center"/>
          </w:tcPr>
          <w:p>
            <w:pPr>
              <w:pStyle w:val="12"/>
            </w:pPr>
            <w:r>
              <w:t>徐水区群众工作中心运行经费（运转保障）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w:t>
            </w:r>
          </w:p>
        </w:tc>
        <w:tc>
          <w:tcPr>
            <w:tcW w:w="2835" w:type="dxa"/>
            <w:vAlign w:val="center"/>
          </w:tcPr>
          <w:p>
            <w:pPr>
              <w:pStyle w:val="10"/>
            </w:pPr>
            <w:r>
              <w:t>其中：财政    资金</w:t>
            </w:r>
          </w:p>
        </w:tc>
        <w:tc>
          <w:tcPr>
            <w:tcW w:w="2551" w:type="dxa"/>
            <w:vAlign w:val="center"/>
          </w:tcPr>
          <w:p>
            <w:pPr>
              <w:pStyle w:val="12"/>
            </w:pPr>
            <w:r>
              <w:t>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购买办公用品，印刷宣传品，支付差旅费，保障工作正常运转。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38%</w:t>
            </w:r>
          </w:p>
        </w:tc>
        <w:tc>
          <w:tcPr>
            <w:tcW w:w="2835" w:type="dxa"/>
            <w:vAlign w:val="center"/>
          </w:tcPr>
          <w:p>
            <w:pPr>
              <w:pStyle w:val="13"/>
            </w:pPr>
            <w:r>
              <w:t>75%</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1.保障全区信访工作的正常开展和单位行政管理方面的工作正常运转。</w:t>
            </w:r>
          </w:p>
          <w:p>
            <w:pPr>
              <w:pStyle w:val="12"/>
            </w:pPr>
            <w:r>
              <w:t>2.购买办公用品不少于3批次，印刷宣传品不少于2批次，便于群众学习信访知识。</w:t>
            </w:r>
          </w:p>
          <w:p>
            <w:pPr>
              <w:pStyle w:val="12"/>
            </w:pPr>
            <w:r>
              <w:t>3.保障支付不少于1人的出差人员差旅费，及时办理人民群众信访案件，维护社会和谐稳定。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购买办公用品数量</w:t>
            </w:r>
          </w:p>
        </w:tc>
        <w:tc>
          <w:tcPr>
            <w:tcW w:w="5386" w:type="dxa"/>
            <w:vAlign w:val="center"/>
          </w:tcPr>
          <w:p>
            <w:pPr>
              <w:pStyle w:val="12"/>
            </w:pPr>
            <w:r>
              <w:t>反映购买办公用品批次</w:t>
            </w:r>
          </w:p>
        </w:tc>
        <w:tc>
          <w:tcPr>
            <w:tcW w:w="2268" w:type="dxa"/>
            <w:vAlign w:val="center"/>
          </w:tcPr>
          <w:p>
            <w:pPr>
              <w:pStyle w:val="12"/>
            </w:pPr>
            <w:r>
              <w:t>≥3批</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印刷宣传品数量</w:t>
            </w:r>
          </w:p>
        </w:tc>
        <w:tc>
          <w:tcPr>
            <w:tcW w:w="5386" w:type="dxa"/>
            <w:vAlign w:val="center"/>
          </w:tcPr>
          <w:p>
            <w:pPr>
              <w:pStyle w:val="12"/>
            </w:pPr>
            <w:r>
              <w:t>反映印刷宣传品数量</w:t>
            </w:r>
          </w:p>
        </w:tc>
        <w:tc>
          <w:tcPr>
            <w:tcW w:w="2268" w:type="dxa"/>
            <w:vAlign w:val="center"/>
          </w:tcPr>
          <w:p>
            <w:pPr>
              <w:pStyle w:val="12"/>
            </w:pPr>
            <w:r>
              <w:t>≥2批</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出差人员人数</w:t>
            </w:r>
          </w:p>
        </w:tc>
        <w:tc>
          <w:tcPr>
            <w:tcW w:w="5386" w:type="dxa"/>
            <w:vAlign w:val="center"/>
          </w:tcPr>
          <w:p>
            <w:pPr>
              <w:pStyle w:val="12"/>
            </w:pPr>
            <w:r>
              <w:t>反映出差人员人数</w:t>
            </w:r>
          </w:p>
        </w:tc>
        <w:tc>
          <w:tcPr>
            <w:tcW w:w="2268" w:type="dxa"/>
            <w:vAlign w:val="center"/>
          </w:tcPr>
          <w:p>
            <w:pPr>
              <w:pStyle w:val="12"/>
            </w:pPr>
            <w:r>
              <w:t>≥1人</w:t>
            </w:r>
          </w:p>
        </w:tc>
        <w:tc>
          <w:tcPr>
            <w:tcW w:w="1276" w:type="dxa"/>
            <w:vAlign w:val="center"/>
          </w:tcPr>
          <w:p>
            <w:pPr>
              <w:pStyle w:val="12"/>
            </w:pPr>
            <w:r>
              <w:t>差旅报销单及徐水区群众工作中心运行经费（运转保障）项目实施计划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购买办公用品达标率</w:t>
            </w:r>
          </w:p>
        </w:tc>
        <w:tc>
          <w:tcPr>
            <w:tcW w:w="5386" w:type="dxa"/>
            <w:vAlign w:val="center"/>
          </w:tcPr>
          <w:p>
            <w:pPr>
              <w:pStyle w:val="12"/>
            </w:pPr>
            <w:r>
              <w:t>反映购买的办公用品质量</w:t>
            </w:r>
          </w:p>
        </w:tc>
        <w:tc>
          <w:tcPr>
            <w:tcW w:w="2268" w:type="dxa"/>
            <w:vAlign w:val="center"/>
          </w:tcPr>
          <w:p>
            <w:pPr>
              <w:pStyle w:val="12"/>
            </w:pPr>
            <w:r>
              <w:t>≥98%</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印刷宣传品达标率</w:t>
            </w:r>
          </w:p>
        </w:tc>
        <w:tc>
          <w:tcPr>
            <w:tcW w:w="5386" w:type="dxa"/>
            <w:vAlign w:val="center"/>
          </w:tcPr>
          <w:p>
            <w:pPr>
              <w:pStyle w:val="12"/>
            </w:pPr>
            <w:r>
              <w:t>反映印刷的宣传品质量</w:t>
            </w:r>
          </w:p>
        </w:tc>
        <w:tc>
          <w:tcPr>
            <w:tcW w:w="2268" w:type="dxa"/>
            <w:vAlign w:val="center"/>
          </w:tcPr>
          <w:p>
            <w:pPr>
              <w:pStyle w:val="12"/>
            </w:pPr>
            <w:r>
              <w:t>≥98%</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信访案件妥善处置率</w:t>
            </w:r>
          </w:p>
        </w:tc>
        <w:tc>
          <w:tcPr>
            <w:tcW w:w="5386" w:type="dxa"/>
            <w:vAlign w:val="center"/>
          </w:tcPr>
          <w:p>
            <w:pPr>
              <w:pStyle w:val="12"/>
            </w:pPr>
            <w:r>
              <w:t>反映信访案件妥善处理程度</w:t>
            </w:r>
          </w:p>
        </w:tc>
        <w:tc>
          <w:tcPr>
            <w:tcW w:w="2268" w:type="dxa"/>
            <w:vAlign w:val="center"/>
          </w:tcPr>
          <w:p>
            <w:pPr>
              <w:pStyle w:val="12"/>
            </w:pPr>
            <w:r>
              <w:t>≥95%</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购买办公用品及时率</w:t>
            </w:r>
          </w:p>
        </w:tc>
        <w:tc>
          <w:tcPr>
            <w:tcW w:w="5386" w:type="dxa"/>
            <w:vAlign w:val="center"/>
          </w:tcPr>
          <w:p>
            <w:pPr>
              <w:pStyle w:val="12"/>
            </w:pPr>
            <w:r>
              <w:t>反映购买办公用品及时程度</w:t>
            </w:r>
          </w:p>
        </w:tc>
        <w:tc>
          <w:tcPr>
            <w:tcW w:w="2268" w:type="dxa"/>
            <w:vAlign w:val="center"/>
          </w:tcPr>
          <w:p>
            <w:pPr>
              <w:pStyle w:val="12"/>
            </w:pPr>
            <w:r>
              <w:t>≥98%</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印刷宣传品及时率</w:t>
            </w:r>
          </w:p>
        </w:tc>
        <w:tc>
          <w:tcPr>
            <w:tcW w:w="5386" w:type="dxa"/>
            <w:vAlign w:val="center"/>
          </w:tcPr>
          <w:p>
            <w:pPr>
              <w:pStyle w:val="12"/>
            </w:pPr>
            <w:r>
              <w:t>反映印刷宣传品及时程度</w:t>
            </w:r>
          </w:p>
        </w:tc>
        <w:tc>
          <w:tcPr>
            <w:tcW w:w="2268" w:type="dxa"/>
            <w:vAlign w:val="center"/>
          </w:tcPr>
          <w:p>
            <w:pPr>
              <w:pStyle w:val="12"/>
            </w:pPr>
            <w:r>
              <w:t>≥98%</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支付差旅费及时性</w:t>
            </w:r>
          </w:p>
        </w:tc>
        <w:tc>
          <w:tcPr>
            <w:tcW w:w="5386" w:type="dxa"/>
            <w:vAlign w:val="center"/>
          </w:tcPr>
          <w:p>
            <w:pPr>
              <w:pStyle w:val="12"/>
            </w:pPr>
            <w:r>
              <w:t>反映支付差旅费及时程度</w:t>
            </w:r>
          </w:p>
        </w:tc>
        <w:tc>
          <w:tcPr>
            <w:tcW w:w="2268" w:type="dxa"/>
            <w:vAlign w:val="center"/>
          </w:tcPr>
          <w:p>
            <w:pPr>
              <w:pStyle w:val="12"/>
            </w:pPr>
            <w:r>
              <w:t>≥95%</w:t>
            </w:r>
          </w:p>
        </w:tc>
        <w:tc>
          <w:tcPr>
            <w:tcW w:w="1276" w:type="dxa"/>
            <w:vAlign w:val="center"/>
          </w:tcPr>
          <w:p>
            <w:pPr>
              <w:pStyle w:val="12"/>
            </w:pPr>
            <w:r>
              <w:t>差旅报销单及徐水区群众工作中心运行经费（运转保障）项目实施计划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反映项目实际支出情况，其中办公费5.2万元，差旅费1万元，印刷费1.6万元，水费0.3万元。</w:t>
            </w:r>
          </w:p>
        </w:tc>
        <w:tc>
          <w:tcPr>
            <w:tcW w:w="2268" w:type="dxa"/>
            <w:vAlign w:val="center"/>
          </w:tcPr>
          <w:p>
            <w:pPr>
              <w:pStyle w:val="12"/>
            </w:pPr>
            <w:r>
              <w:t>≤8.1万元</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信访案件按期办结率</w:t>
            </w:r>
          </w:p>
        </w:tc>
        <w:tc>
          <w:tcPr>
            <w:tcW w:w="5386" w:type="dxa"/>
            <w:vAlign w:val="center"/>
          </w:tcPr>
          <w:p>
            <w:pPr>
              <w:pStyle w:val="12"/>
            </w:pPr>
            <w:r>
              <w:t>反映信访案件按期办结程度</w:t>
            </w:r>
          </w:p>
        </w:tc>
        <w:tc>
          <w:tcPr>
            <w:tcW w:w="2268" w:type="dxa"/>
            <w:vAlign w:val="center"/>
          </w:tcPr>
          <w:p>
            <w:pPr>
              <w:pStyle w:val="12"/>
            </w:pPr>
            <w:r>
              <w:t>≥95%</w:t>
            </w:r>
          </w:p>
        </w:tc>
        <w:tc>
          <w:tcPr>
            <w:tcW w:w="1276" w:type="dxa"/>
            <w:vAlign w:val="center"/>
          </w:tcPr>
          <w:p>
            <w:pPr>
              <w:pStyle w:val="12"/>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反映全区信访群众对案件办理的满意程度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501001保定市徐水区信访局本级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保定市徐水区信访局本级小计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7.06</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保定市徐水区信访局本级上年末固定资产金额为49.80万元（详见下表）。本年度拟购置固定资产总额为0.45万元，已按要求列入政府采购预算，详见政府采购预算表。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501001保定市徐水区信访局本级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64</w:t>
            </w:r>
          </w:p>
        </w:tc>
        <w:tc>
          <w:tcPr>
            <w:tcW w:w="2835" w:type="dxa"/>
            <w:vAlign w:val="center"/>
          </w:tcPr>
          <w:p>
            <w:pPr>
              <w:pStyle w:val="11"/>
            </w:pPr>
            <w:r>
              <w:t>33.63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5CB8"/>
    <w:rsid w:val="075433E9"/>
    <w:rsid w:val="0A2C0E57"/>
    <w:rsid w:val="0B754FA8"/>
    <w:rsid w:val="0D5E716C"/>
    <w:rsid w:val="0EAB5A3D"/>
    <w:rsid w:val="16911207"/>
    <w:rsid w:val="1724018C"/>
    <w:rsid w:val="1C755D5E"/>
    <w:rsid w:val="1DE41DE3"/>
    <w:rsid w:val="1E7503EB"/>
    <w:rsid w:val="24982906"/>
    <w:rsid w:val="2CF16C36"/>
    <w:rsid w:val="2DB05994"/>
    <w:rsid w:val="2E2668B1"/>
    <w:rsid w:val="32555BCE"/>
    <w:rsid w:val="35C70024"/>
    <w:rsid w:val="3A786F35"/>
    <w:rsid w:val="43A237FB"/>
    <w:rsid w:val="443C425E"/>
    <w:rsid w:val="44E47CDC"/>
    <w:rsid w:val="486747C1"/>
    <w:rsid w:val="4ABC21BF"/>
    <w:rsid w:val="50C735D6"/>
    <w:rsid w:val="56B46AA1"/>
    <w:rsid w:val="608A7876"/>
    <w:rsid w:val="6AB6190B"/>
    <w:rsid w:val="6DC14A81"/>
    <w:rsid w:val="731E4235"/>
    <w:rsid w:val="741D3F0C"/>
    <w:rsid w:val="74A072F0"/>
    <w:rsid w:val="7BFF4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2024-02-26T15:35:11Z</dcterms:created>
  <dcterms:modified xsi:type="dcterms:W3CDTF">2024-02-26T07:35:11Z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2024-02-26T15:35:07Z</dcterms:created>
  <dcterms:modified xsi:type="dcterms:W3CDTF">2024-02-26T07:35:07Z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2024-02-26T15:35:11Z</dcterms:created>
  <dcterms:modified xsi:type="dcterms:W3CDTF">2024-02-26T07:35:11Z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2024-02-26T15:35:10Z</dcterms:created>
  <dcterms:modified xsi:type="dcterms:W3CDTF">2024-02-26T07:35:10Z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2024-02-26T15:35:10Z</dcterms:created>
  <dcterms:modified xsi:type="dcterms:W3CDTF">2024-02-26T07:35:10Z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2024-02-26T15:35:10Z</dcterms:created>
  <dcterms:modified xsi:type="dcterms:W3CDTF">2024-02-26T07:35:10Z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79bbcf1-799c-483d-9ff9-31b30af8b5bf}">
  <ds:schemaRefs/>
</ds:datastoreItem>
</file>

<file path=customXml/itemProps11.xml><?xml version="1.0" encoding="utf-8"?>
<ds:datastoreItem xmlns:ds="http://schemas.openxmlformats.org/officeDocument/2006/customXml" ds:itemID="{3bc54cc0-efc6-4561-9fef-26b35d232a08}">
  <ds:schemaRefs/>
</ds:datastoreItem>
</file>

<file path=customXml/itemProps12.xml><?xml version="1.0" encoding="utf-8"?>
<ds:datastoreItem xmlns:ds="http://schemas.openxmlformats.org/officeDocument/2006/customXml" ds:itemID="{3586e861-9988-41e3-bdc0-4abc83616677}">
  <ds:schemaRefs/>
</ds:datastoreItem>
</file>

<file path=customXml/itemProps13.xml><?xml version="1.0" encoding="utf-8"?>
<ds:datastoreItem xmlns:ds="http://schemas.openxmlformats.org/officeDocument/2006/customXml" ds:itemID="{8c3e468b-de29-4f57-8daf-793c3ae60e9e}">
  <ds:schemaRefs/>
</ds:datastoreItem>
</file>

<file path=customXml/itemProps2.xml><?xml version="1.0" encoding="utf-8"?>
<ds:datastoreItem xmlns:ds="http://schemas.openxmlformats.org/officeDocument/2006/customXml" ds:itemID="{d9f3478e-742d-434e-9f84-2335e2f5d50a}">
  <ds:schemaRefs/>
</ds:datastoreItem>
</file>

<file path=customXml/itemProps3.xml><?xml version="1.0" encoding="utf-8"?>
<ds:datastoreItem xmlns:ds="http://schemas.openxmlformats.org/officeDocument/2006/customXml" ds:itemID="{567e5956-2f8c-44b8-8b84-225f0c7a792e}">
  <ds:schemaRefs/>
</ds:datastoreItem>
</file>

<file path=customXml/itemProps4.xml><?xml version="1.0" encoding="utf-8"?>
<ds:datastoreItem xmlns:ds="http://schemas.openxmlformats.org/officeDocument/2006/customXml" ds:itemID="{188eb658-6860-4ff5-b4e9-fcb78946a9b1}">
  <ds:schemaRefs/>
</ds:datastoreItem>
</file>

<file path=customXml/itemProps5.xml><?xml version="1.0" encoding="utf-8"?>
<ds:datastoreItem xmlns:ds="http://schemas.openxmlformats.org/officeDocument/2006/customXml" ds:itemID="{c385cc70-f43b-4e78-ade8-52605e2452e9}">
  <ds:schemaRefs/>
</ds:datastoreItem>
</file>

<file path=customXml/itemProps6.xml><?xml version="1.0" encoding="utf-8"?>
<ds:datastoreItem xmlns:ds="http://schemas.openxmlformats.org/officeDocument/2006/customXml" ds:itemID="{717fba94-9a7f-438f-a71a-f135c62cf9ac}">
  <ds:schemaRefs/>
</ds:datastoreItem>
</file>

<file path=customXml/itemProps7.xml><?xml version="1.0" encoding="utf-8"?>
<ds:datastoreItem xmlns:ds="http://schemas.openxmlformats.org/officeDocument/2006/customXml" ds:itemID="{6d24661f-485d-492b-b135-727d091e2435}">
  <ds:schemaRefs/>
</ds:datastoreItem>
</file>

<file path=customXml/itemProps8.xml><?xml version="1.0" encoding="utf-8"?>
<ds:datastoreItem xmlns:ds="http://schemas.openxmlformats.org/officeDocument/2006/customXml" ds:itemID="{cae8d9fd-3666-49d8-98c2-e4d337cee328}">
  <ds:schemaRefs/>
</ds:datastoreItem>
</file>

<file path=customXml/itemProps9.xml><?xml version="1.0" encoding="utf-8"?>
<ds:datastoreItem xmlns:ds="http://schemas.openxmlformats.org/officeDocument/2006/customXml" ds:itemID="{d48eb2ff-53ef-48a7-8b87-189900536adc}">
  <ds:schemaRefs/>
</ds:datastoreItem>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2024-02-26T15:35:00Z</dcterms:created>
  <dc:creator>Lenovo</dc:creator>
  <cp:lastModifiedBy>Administrator</cp:lastModifiedBy>
  <dcterms:modified xsi:type="dcterms:W3CDTF">2024-04-08T04:05:06Z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D265F2FC65F5407AB3CE803C89F8F785</vt:lpwstr>
  </property>
</Properties>
</file>