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72"/>
        </w:tabs>
      </w:pPr>
      <w:r>
        <w:fldChar w:fldCharType="begin"/>
      </w:r>
      <w:r>
        <w:instrText xml:space="preserve">TOC \o "2-2" \h \z \u</w:instrText>
      </w:r>
      <w:r>
        <w:fldChar w:fldCharType="separate"/>
      </w:r>
      <w:r>
        <w:fldChar w:fldCharType="begin"/>
      </w:r>
      <w:r>
        <w:instrText xml:space="preserve"> HYPERLINK \l _Toc11799 </w:instrText>
      </w:r>
      <w:r>
        <w:fldChar w:fldCharType="separate"/>
      </w:r>
      <w:r>
        <w:rPr>
          <w:rFonts w:ascii="方正小标宋_GBK" w:hAnsi="方正小标宋_GBK" w:eastAsia="方正小标宋_GBK" w:cs="方正小标宋_GBK"/>
        </w:rPr>
        <w:t>部门预算收支总表</w:t>
      </w:r>
      <w:r>
        <w:tab/>
      </w:r>
      <w:r>
        <w:fldChar w:fldCharType="begin"/>
      </w:r>
      <w:r>
        <w:instrText xml:space="preserve"> PAGEREF _Toc11799 \h </w:instrText>
      </w:r>
      <w:r>
        <w:fldChar w:fldCharType="separate"/>
      </w:r>
      <w:r>
        <w:t>1</w:t>
      </w:r>
      <w:r>
        <w:fldChar w:fldCharType="end"/>
      </w:r>
      <w:r>
        <w:fldChar w:fldCharType="end"/>
      </w:r>
    </w:p>
    <w:p>
      <w:pPr>
        <w:pStyle w:val="4"/>
        <w:tabs>
          <w:tab w:val="right" w:leader="dot" w:pos="14572"/>
        </w:tabs>
      </w:pPr>
      <w:r>
        <w:fldChar w:fldCharType="begin"/>
      </w:r>
      <w:r>
        <w:instrText xml:space="preserve"> HYPERLINK \l _Toc27239 </w:instrText>
      </w:r>
      <w:r>
        <w:fldChar w:fldCharType="separate"/>
      </w:r>
      <w:r>
        <w:rPr>
          <w:rFonts w:ascii="方正小标宋_GBK" w:hAnsi="方正小标宋_GBK" w:eastAsia="方正小标宋_GBK" w:cs="方正小标宋_GBK"/>
        </w:rPr>
        <w:t>部门预算收入总表</w:t>
      </w:r>
      <w:r>
        <w:tab/>
      </w:r>
      <w:r>
        <w:fldChar w:fldCharType="begin"/>
      </w:r>
      <w:r>
        <w:instrText xml:space="preserve"> PAGEREF _Toc27239 \h </w:instrText>
      </w:r>
      <w:r>
        <w:fldChar w:fldCharType="separate"/>
      </w:r>
      <w:r>
        <w:t>4</w:t>
      </w:r>
      <w:r>
        <w:fldChar w:fldCharType="end"/>
      </w:r>
      <w:r>
        <w:fldChar w:fldCharType="end"/>
      </w:r>
    </w:p>
    <w:p>
      <w:pPr>
        <w:pStyle w:val="4"/>
        <w:tabs>
          <w:tab w:val="right" w:leader="dot" w:pos="14572"/>
        </w:tabs>
      </w:pPr>
      <w:r>
        <w:fldChar w:fldCharType="begin"/>
      </w:r>
      <w:r>
        <w:instrText xml:space="preserve"> HYPERLINK \l _Toc4638 </w:instrText>
      </w:r>
      <w:r>
        <w:fldChar w:fldCharType="separate"/>
      </w:r>
      <w:r>
        <w:rPr>
          <w:rFonts w:ascii="方正小标宋_GBK" w:hAnsi="方正小标宋_GBK" w:eastAsia="方正小标宋_GBK" w:cs="方正小标宋_GBK"/>
        </w:rPr>
        <w:t>部门预算支出总表</w:t>
      </w:r>
      <w:r>
        <w:tab/>
      </w:r>
      <w:r>
        <w:fldChar w:fldCharType="begin"/>
      </w:r>
      <w:r>
        <w:instrText xml:space="preserve"> PAGEREF _Toc4638 \h </w:instrText>
      </w:r>
      <w:r>
        <w:fldChar w:fldCharType="separate"/>
      </w:r>
      <w:r>
        <w:t>9</w:t>
      </w:r>
      <w:r>
        <w:fldChar w:fldCharType="end"/>
      </w:r>
      <w:r>
        <w:fldChar w:fldCharType="end"/>
      </w:r>
    </w:p>
    <w:p>
      <w:pPr>
        <w:pStyle w:val="4"/>
        <w:tabs>
          <w:tab w:val="right" w:leader="dot" w:pos="14572"/>
        </w:tabs>
      </w:pPr>
      <w:r>
        <w:fldChar w:fldCharType="begin"/>
      </w:r>
      <w:r>
        <w:instrText xml:space="preserve"> HYPERLINK \l _Toc28153 </w:instrText>
      </w:r>
      <w:r>
        <w:fldChar w:fldCharType="separate"/>
      </w:r>
      <w:r>
        <w:rPr>
          <w:rFonts w:ascii="方正小标宋_GBK" w:hAnsi="方正小标宋_GBK" w:eastAsia="方正小标宋_GBK" w:cs="方正小标宋_GBK"/>
        </w:rPr>
        <w:t>部门预算财政拨款收支总表</w:t>
      </w:r>
      <w:r>
        <w:tab/>
      </w:r>
      <w:r>
        <w:fldChar w:fldCharType="begin"/>
      </w:r>
      <w:r>
        <w:instrText xml:space="preserve"> PAGEREF _Toc28153 \h </w:instrText>
      </w:r>
      <w:r>
        <w:fldChar w:fldCharType="separate"/>
      </w:r>
      <w:r>
        <w:t>12</w:t>
      </w:r>
      <w:r>
        <w:fldChar w:fldCharType="end"/>
      </w:r>
      <w:r>
        <w:fldChar w:fldCharType="end"/>
      </w:r>
    </w:p>
    <w:p>
      <w:pPr>
        <w:pStyle w:val="4"/>
        <w:tabs>
          <w:tab w:val="right" w:leader="dot" w:pos="14572"/>
        </w:tabs>
      </w:pPr>
      <w:r>
        <w:fldChar w:fldCharType="begin"/>
      </w:r>
      <w:r>
        <w:instrText xml:space="preserve"> HYPERLINK \l _Toc26264 </w:instrText>
      </w:r>
      <w:r>
        <w:fldChar w:fldCharType="separate"/>
      </w:r>
      <w:r>
        <w:rPr>
          <w:rFonts w:ascii="方正小标宋_GBK" w:hAnsi="方正小标宋_GBK" w:eastAsia="方正小标宋_GBK" w:cs="方正小标宋_GBK"/>
        </w:rPr>
        <w:t>部门预算一般公共预算财政拨款支出表</w:t>
      </w:r>
      <w:r>
        <w:tab/>
      </w:r>
      <w:r>
        <w:fldChar w:fldCharType="begin"/>
      </w:r>
      <w:r>
        <w:instrText xml:space="preserve"> PAGEREF _Toc26264 \h </w:instrText>
      </w:r>
      <w:r>
        <w:fldChar w:fldCharType="separate"/>
      </w:r>
      <w:r>
        <w:t>19</w:t>
      </w:r>
      <w:r>
        <w:fldChar w:fldCharType="end"/>
      </w:r>
      <w:r>
        <w:fldChar w:fldCharType="end"/>
      </w:r>
    </w:p>
    <w:p>
      <w:pPr>
        <w:pStyle w:val="4"/>
        <w:tabs>
          <w:tab w:val="right" w:leader="dot" w:pos="14572"/>
        </w:tabs>
      </w:pPr>
      <w:r>
        <w:fldChar w:fldCharType="begin"/>
      </w:r>
      <w:r>
        <w:instrText xml:space="preserve"> HYPERLINK \l _Toc2198 </w:instrText>
      </w:r>
      <w:r>
        <w:fldChar w:fldCharType="separate"/>
      </w:r>
      <w:r>
        <w:rPr>
          <w:rFonts w:ascii="方正小标宋_GBK" w:hAnsi="方正小标宋_GBK" w:eastAsia="方正小标宋_GBK" w:cs="方正小标宋_GBK"/>
        </w:rPr>
        <w:t>部门预算一般公共预算财政拨款基本支出表</w:t>
      </w:r>
      <w:r>
        <w:tab/>
      </w:r>
      <w:r>
        <w:fldChar w:fldCharType="begin"/>
      </w:r>
      <w:r>
        <w:instrText xml:space="preserve"> PAGEREF _Toc2198 \h </w:instrText>
      </w:r>
      <w:r>
        <w:fldChar w:fldCharType="separate"/>
      </w:r>
      <w:r>
        <w:t>21</w:t>
      </w:r>
      <w:r>
        <w:fldChar w:fldCharType="end"/>
      </w:r>
      <w:r>
        <w:fldChar w:fldCharType="end"/>
      </w:r>
    </w:p>
    <w:p>
      <w:pPr>
        <w:pStyle w:val="4"/>
        <w:tabs>
          <w:tab w:val="right" w:leader="dot" w:pos="14572"/>
        </w:tabs>
      </w:pPr>
      <w:r>
        <w:fldChar w:fldCharType="begin"/>
      </w:r>
      <w:r>
        <w:instrText xml:space="preserve"> HYPERLINK \l _Toc11706 </w:instrText>
      </w:r>
      <w:r>
        <w:fldChar w:fldCharType="separate"/>
      </w:r>
      <w:r>
        <w:rPr>
          <w:rFonts w:ascii="方正小标宋_GBK" w:hAnsi="方正小标宋_GBK" w:eastAsia="方正小标宋_GBK" w:cs="方正小标宋_GBK"/>
        </w:rPr>
        <w:t>部门预算政府性基金预算财政拨款支出表</w:t>
      </w:r>
      <w:r>
        <w:tab/>
      </w:r>
      <w:r>
        <w:fldChar w:fldCharType="begin"/>
      </w:r>
      <w:r>
        <w:instrText xml:space="preserve"> PAGEREF _Toc11706 \h </w:instrText>
      </w:r>
      <w:r>
        <w:fldChar w:fldCharType="separate"/>
      </w:r>
      <w:r>
        <w:t>23</w:t>
      </w:r>
      <w:r>
        <w:fldChar w:fldCharType="end"/>
      </w:r>
      <w:r>
        <w:fldChar w:fldCharType="end"/>
      </w:r>
    </w:p>
    <w:p>
      <w:pPr>
        <w:pStyle w:val="4"/>
        <w:tabs>
          <w:tab w:val="right" w:leader="dot" w:pos="14572"/>
        </w:tabs>
      </w:pPr>
      <w:r>
        <w:fldChar w:fldCharType="begin"/>
      </w:r>
      <w:r>
        <w:instrText xml:space="preserve"> HYPERLINK \l _Toc20712 </w:instrText>
      </w:r>
      <w:r>
        <w:fldChar w:fldCharType="separate"/>
      </w:r>
      <w:r>
        <w:rPr>
          <w:rFonts w:ascii="方正小标宋_GBK" w:hAnsi="方正小标宋_GBK" w:eastAsia="方正小标宋_GBK" w:cs="方正小标宋_GBK"/>
        </w:rPr>
        <w:t>部门预算国有资本经营预算财政拨款支出表</w:t>
      </w:r>
      <w:r>
        <w:tab/>
      </w:r>
      <w:r>
        <w:fldChar w:fldCharType="begin"/>
      </w:r>
      <w:r>
        <w:instrText xml:space="preserve"> PAGEREF _Toc20712 \h </w:instrText>
      </w:r>
      <w:r>
        <w:fldChar w:fldCharType="separate"/>
      </w:r>
      <w:r>
        <w:t>24</w:t>
      </w:r>
      <w:r>
        <w:fldChar w:fldCharType="end"/>
      </w:r>
      <w:r>
        <w:fldChar w:fldCharType="end"/>
      </w:r>
    </w:p>
    <w:p>
      <w:pPr>
        <w:pStyle w:val="4"/>
        <w:tabs>
          <w:tab w:val="right" w:leader="dot" w:pos="14572"/>
        </w:tabs>
      </w:pPr>
      <w:r>
        <w:fldChar w:fldCharType="begin"/>
      </w:r>
      <w:r>
        <w:instrText xml:space="preserve"> HYPERLINK \l _Toc21436 </w:instrText>
      </w:r>
      <w:r>
        <w:fldChar w:fldCharType="separate"/>
      </w:r>
      <w:r>
        <w:rPr>
          <w:rFonts w:ascii="方正小标宋_GBK" w:hAnsi="方正小标宋_GBK" w:eastAsia="方正小标宋_GBK" w:cs="方正小标宋_GBK"/>
        </w:rPr>
        <w:t>部门预算财政拨款“三公”经费支出表</w:t>
      </w:r>
      <w:r>
        <w:tab/>
      </w:r>
      <w:r>
        <w:fldChar w:fldCharType="begin"/>
      </w:r>
      <w:r>
        <w:instrText xml:space="preserve"> PAGEREF _Toc21436 \h </w:instrText>
      </w:r>
      <w:r>
        <w:fldChar w:fldCharType="separate"/>
      </w:r>
      <w:r>
        <w:t>25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72"/>
        </w:tabs>
        <w:ind w:left="238" w:firstLine="437"/>
        <w:rPr>
          <w:rFonts w:hint="eastAsia" w:ascii="方正小标宋_GBK" w:hAnsi="方正小标宋_GBK" w:eastAsia="方正小标宋_GBK" w:cs="方正小标宋_GBK"/>
        </w:rPr>
      </w:pPr>
      <w:r>
        <w:fldChar w:fldCharType="begin"/>
      </w:r>
      <w:r>
        <w:instrText xml:space="preserve">TOC \o "3-3" \h \z \u</w:instrText>
      </w:r>
      <w:r>
        <w:fldChar w:fldCharType="separate"/>
      </w: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HYPERLINK \l _Toc31300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一、部门职责及机构设置情况</w:t>
      </w:r>
      <w:r>
        <w:rPr>
          <w:rFonts w:hint="eastAsia" w:ascii="方正小标宋_GBK" w:hAnsi="方正小标宋_GBK" w:eastAsia="方正小标宋_GBK" w:cs="方正小标宋_GBK"/>
        </w:rPr>
        <w:tab/>
      </w: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PAGEREF _Toc31300 \h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27</w:t>
      </w:r>
      <w:r>
        <w:rPr>
          <w:rFonts w:hint="eastAsia" w:ascii="方正小标宋_GBK" w:hAnsi="方正小标宋_GBK" w:eastAsia="方正小标宋_GBK" w:cs="方正小标宋_GBK"/>
        </w:rPr>
        <w:fldChar w:fldCharType="end"/>
      </w:r>
      <w:r>
        <w:rPr>
          <w:rFonts w:hint="eastAsia" w:ascii="方正小标宋_GBK" w:hAnsi="方正小标宋_GBK" w:eastAsia="方正小标宋_GBK" w:cs="方正小标宋_GBK"/>
        </w:rPr>
        <w:fldChar w:fldCharType="end"/>
      </w:r>
    </w:p>
    <w:p>
      <w:pPr>
        <w:pStyle w:val="4"/>
        <w:tabs>
          <w:tab w:val="right" w:leader="dot" w:pos="14572"/>
        </w:tabs>
        <w:ind w:left="238" w:firstLine="437"/>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HYPERLINK \l _Toc1129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二、部门预算安排的总体情况</w:t>
      </w:r>
      <w:r>
        <w:rPr>
          <w:rFonts w:hint="eastAsia" w:ascii="方正小标宋_GBK" w:hAnsi="方正小标宋_GBK" w:eastAsia="方正小标宋_GBK" w:cs="方正小标宋_GBK"/>
        </w:rPr>
        <w:tab/>
      </w: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PAGEREF _Toc1129 \h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28</w:t>
      </w:r>
      <w:r>
        <w:rPr>
          <w:rFonts w:hint="eastAsia" w:ascii="方正小标宋_GBK" w:hAnsi="方正小标宋_GBK" w:eastAsia="方正小标宋_GBK" w:cs="方正小标宋_GBK"/>
        </w:rPr>
        <w:fldChar w:fldCharType="end"/>
      </w:r>
      <w:r>
        <w:rPr>
          <w:rFonts w:hint="eastAsia" w:ascii="方正小标宋_GBK" w:hAnsi="方正小标宋_GBK" w:eastAsia="方正小标宋_GBK" w:cs="方正小标宋_GBK"/>
        </w:rPr>
        <w:fldChar w:fldCharType="end"/>
      </w:r>
    </w:p>
    <w:p>
      <w:pPr>
        <w:pStyle w:val="4"/>
        <w:tabs>
          <w:tab w:val="right" w:leader="dot" w:pos="14572"/>
        </w:tabs>
        <w:ind w:left="238" w:firstLine="437"/>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HYPERLINK \l _Toc24749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三、机关运行经费安排情况</w:t>
      </w:r>
      <w:r>
        <w:rPr>
          <w:rFonts w:hint="eastAsia" w:ascii="方正小标宋_GBK" w:hAnsi="方正小标宋_GBK" w:eastAsia="方正小标宋_GBK" w:cs="方正小标宋_GBK"/>
        </w:rPr>
        <w:tab/>
      </w: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PAGEREF _Toc24749 \h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29</w:t>
      </w:r>
      <w:r>
        <w:rPr>
          <w:rFonts w:hint="eastAsia" w:ascii="方正小标宋_GBK" w:hAnsi="方正小标宋_GBK" w:eastAsia="方正小标宋_GBK" w:cs="方正小标宋_GBK"/>
        </w:rPr>
        <w:fldChar w:fldCharType="end"/>
      </w:r>
      <w:r>
        <w:rPr>
          <w:rFonts w:hint="eastAsia" w:ascii="方正小标宋_GBK" w:hAnsi="方正小标宋_GBK" w:eastAsia="方正小标宋_GBK" w:cs="方正小标宋_GBK"/>
        </w:rPr>
        <w:fldChar w:fldCharType="end"/>
      </w:r>
    </w:p>
    <w:p>
      <w:pPr>
        <w:pStyle w:val="4"/>
        <w:tabs>
          <w:tab w:val="right" w:leader="dot" w:pos="14572"/>
        </w:tabs>
        <w:ind w:left="238" w:firstLine="437"/>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HYPERLINK \l _Toc9206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四、财政拨款“三公”经费预算情况及增减变化原因</w:t>
      </w:r>
      <w:r>
        <w:rPr>
          <w:rFonts w:hint="eastAsia" w:ascii="方正小标宋_GBK" w:hAnsi="方正小标宋_GBK" w:eastAsia="方正小标宋_GBK" w:cs="方正小标宋_GBK"/>
        </w:rPr>
        <w:tab/>
      </w: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PAGEREF _Toc9206 \h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29</w:t>
      </w:r>
      <w:r>
        <w:rPr>
          <w:rFonts w:hint="eastAsia" w:ascii="方正小标宋_GBK" w:hAnsi="方正小标宋_GBK" w:eastAsia="方正小标宋_GBK" w:cs="方正小标宋_GBK"/>
        </w:rPr>
        <w:fldChar w:fldCharType="end"/>
      </w:r>
      <w:r>
        <w:rPr>
          <w:rFonts w:hint="eastAsia" w:ascii="方正小标宋_GBK" w:hAnsi="方正小标宋_GBK" w:eastAsia="方正小标宋_GBK" w:cs="方正小标宋_GBK"/>
        </w:rPr>
        <w:fldChar w:fldCharType="end"/>
      </w:r>
    </w:p>
    <w:p>
      <w:pPr>
        <w:pStyle w:val="4"/>
        <w:tabs>
          <w:tab w:val="right" w:leader="dot" w:pos="14572"/>
        </w:tabs>
        <w:ind w:left="238" w:firstLine="437"/>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HYPERLINK \l _Toc14673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五、部门整体绩效目标</w:t>
      </w:r>
      <w:r>
        <w:rPr>
          <w:rFonts w:hint="eastAsia" w:ascii="方正小标宋_GBK" w:hAnsi="方正小标宋_GBK" w:eastAsia="方正小标宋_GBK" w:cs="方正小标宋_GBK"/>
        </w:rPr>
        <w:tab/>
      </w: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PAGEREF _Toc14673 \h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29</w:t>
      </w:r>
      <w:r>
        <w:rPr>
          <w:rFonts w:hint="eastAsia" w:ascii="方正小标宋_GBK" w:hAnsi="方正小标宋_GBK" w:eastAsia="方正小标宋_GBK" w:cs="方正小标宋_GBK"/>
        </w:rPr>
        <w:fldChar w:fldCharType="end"/>
      </w:r>
      <w:r>
        <w:rPr>
          <w:rFonts w:hint="eastAsia" w:ascii="方正小标宋_GBK" w:hAnsi="方正小标宋_GBK" w:eastAsia="方正小标宋_GBK" w:cs="方正小标宋_GBK"/>
        </w:rPr>
        <w:fldChar w:fldCharType="end"/>
      </w:r>
    </w:p>
    <w:p>
      <w:pPr>
        <w:pStyle w:val="4"/>
        <w:tabs>
          <w:tab w:val="right" w:leader="dot" w:pos="14572"/>
        </w:tabs>
        <w:ind w:left="238" w:firstLine="437"/>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HYPERLINK \l _Toc25931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六、部门主管专项资金预算安排情况及绩效目标</w:t>
      </w:r>
      <w:r>
        <w:rPr>
          <w:rFonts w:hint="eastAsia" w:ascii="方正小标宋_GBK" w:hAnsi="方正小标宋_GBK" w:eastAsia="方正小标宋_GBK" w:cs="方正小标宋_GBK"/>
        </w:rPr>
        <w:tab/>
      </w: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PAGEREF _Toc25931 \h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33</w:t>
      </w:r>
      <w:r>
        <w:rPr>
          <w:rFonts w:hint="eastAsia" w:ascii="方正小标宋_GBK" w:hAnsi="方正小标宋_GBK" w:eastAsia="方正小标宋_GBK" w:cs="方正小标宋_GBK"/>
        </w:rPr>
        <w:fldChar w:fldCharType="end"/>
      </w:r>
      <w:r>
        <w:rPr>
          <w:rFonts w:hint="eastAsia" w:ascii="方正小标宋_GBK" w:hAnsi="方正小标宋_GBK" w:eastAsia="方正小标宋_GBK" w:cs="方正小标宋_GBK"/>
        </w:rPr>
        <w:fldChar w:fldCharType="end"/>
      </w:r>
    </w:p>
    <w:p>
      <w:pPr>
        <w:pStyle w:val="4"/>
        <w:tabs>
          <w:tab w:val="right" w:leader="dot" w:pos="14572"/>
        </w:tabs>
        <w:ind w:left="238" w:firstLine="437"/>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HYPERLINK \l _Toc16425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七、部门项目预算安排情况及绩效目标</w:t>
      </w:r>
      <w:r>
        <w:rPr>
          <w:rFonts w:hint="eastAsia" w:ascii="方正小标宋_GBK" w:hAnsi="方正小标宋_GBK" w:eastAsia="方正小标宋_GBK" w:cs="方正小标宋_GBK"/>
        </w:rPr>
        <w:tab/>
      </w: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PAGEREF _Toc16425 \h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34</w:t>
      </w:r>
      <w:r>
        <w:rPr>
          <w:rFonts w:hint="eastAsia" w:ascii="方正小标宋_GBK" w:hAnsi="方正小标宋_GBK" w:eastAsia="方正小标宋_GBK" w:cs="方正小标宋_GBK"/>
        </w:rPr>
        <w:fldChar w:fldCharType="end"/>
      </w:r>
      <w:r>
        <w:rPr>
          <w:rFonts w:hint="eastAsia" w:ascii="方正小标宋_GBK" w:hAnsi="方正小标宋_GBK" w:eastAsia="方正小标宋_GBK" w:cs="方正小标宋_GBK"/>
        </w:rPr>
        <w:fldChar w:fldCharType="end"/>
      </w:r>
    </w:p>
    <w:p>
      <w:pPr>
        <w:pStyle w:val="4"/>
        <w:tabs>
          <w:tab w:val="right" w:leader="dot" w:pos="14572"/>
        </w:tabs>
        <w:ind w:left="238" w:firstLine="437"/>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HYPERLINK \l _Toc27229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八、政府采购预算情况</w:t>
      </w:r>
      <w:r>
        <w:rPr>
          <w:rFonts w:hint="eastAsia" w:ascii="方正小标宋_GBK" w:hAnsi="方正小标宋_GBK" w:eastAsia="方正小标宋_GBK" w:cs="方正小标宋_GBK"/>
        </w:rPr>
        <w:tab/>
      </w: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PAGEREF _Toc27229 \h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58</w:t>
      </w:r>
      <w:r>
        <w:rPr>
          <w:rFonts w:hint="eastAsia" w:ascii="方正小标宋_GBK" w:hAnsi="方正小标宋_GBK" w:eastAsia="方正小标宋_GBK" w:cs="方正小标宋_GBK"/>
        </w:rPr>
        <w:fldChar w:fldCharType="end"/>
      </w:r>
      <w:r>
        <w:rPr>
          <w:rFonts w:hint="eastAsia" w:ascii="方正小标宋_GBK" w:hAnsi="方正小标宋_GBK" w:eastAsia="方正小标宋_GBK" w:cs="方正小标宋_GBK"/>
        </w:rPr>
        <w:fldChar w:fldCharType="end"/>
      </w:r>
    </w:p>
    <w:p>
      <w:pPr>
        <w:pStyle w:val="4"/>
        <w:tabs>
          <w:tab w:val="right" w:leader="dot" w:pos="14572"/>
        </w:tabs>
        <w:ind w:left="238" w:firstLine="437"/>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HYPERLINK \l _Toc30156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九、国有资产信息</w:t>
      </w:r>
      <w:r>
        <w:rPr>
          <w:rFonts w:hint="eastAsia" w:ascii="方正小标宋_GBK" w:hAnsi="方正小标宋_GBK" w:eastAsia="方正小标宋_GBK" w:cs="方正小标宋_GBK"/>
        </w:rPr>
        <w:tab/>
      </w: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PAGEREF _Toc30156 \h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58</w:t>
      </w:r>
      <w:r>
        <w:rPr>
          <w:rFonts w:hint="eastAsia" w:ascii="方正小标宋_GBK" w:hAnsi="方正小标宋_GBK" w:eastAsia="方正小标宋_GBK" w:cs="方正小标宋_GBK"/>
        </w:rPr>
        <w:fldChar w:fldCharType="end"/>
      </w:r>
      <w:r>
        <w:rPr>
          <w:rFonts w:hint="eastAsia" w:ascii="方正小标宋_GBK" w:hAnsi="方正小标宋_GBK" w:eastAsia="方正小标宋_GBK" w:cs="方正小标宋_GBK"/>
        </w:rPr>
        <w:fldChar w:fldCharType="end"/>
      </w:r>
    </w:p>
    <w:p>
      <w:pPr>
        <w:pStyle w:val="4"/>
        <w:tabs>
          <w:tab w:val="right" w:leader="dot" w:pos="14572"/>
        </w:tabs>
        <w:ind w:left="238" w:firstLine="437"/>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HYPERLINK \l _Toc17929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十、名词解释</w:t>
      </w:r>
      <w:r>
        <w:rPr>
          <w:rFonts w:hint="eastAsia" w:ascii="方正小标宋_GBK" w:hAnsi="方正小标宋_GBK" w:eastAsia="方正小标宋_GBK" w:cs="方正小标宋_GBK"/>
        </w:rPr>
        <w:tab/>
      </w: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PAGEREF _Toc17929 \h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59</w:t>
      </w:r>
      <w:r>
        <w:rPr>
          <w:rFonts w:hint="eastAsia" w:ascii="方正小标宋_GBK" w:hAnsi="方正小标宋_GBK" w:eastAsia="方正小标宋_GBK" w:cs="方正小标宋_GBK"/>
        </w:rPr>
        <w:fldChar w:fldCharType="end"/>
      </w:r>
      <w:r>
        <w:rPr>
          <w:rFonts w:hint="eastAsia" w:ascii="方正小标宋_GBK" w:hAnsi="方正小标宋_GBK" w:eastAsia="方正小标宋_GBK" w:cs="方正小标宋_GBK"/>
        </w:rPr>
        <w:fldChar w:fldCharType="end"/>
      </w:r>
    </w:p>
    <w:p>
      <w:pPr>
        <w:pStyle w:val="4"/>
        <w:tabs>
          <w:tab w:val="right" w:leader="dot" w:pos="14572"/>
        </w:tabs>
        <w:ind w:left="238" w:firstLine="437"/>
      </w:pP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HYPERLINK \l _Toc2978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十一、其他需要说明的事项</w:t>
      </w:r>
      <w:r>
        <w:rPr>
          <w:rFonts w:hint="eastAsia" w:ascii="方正小标宋_GBK" w:hAnsi="方正小标宋_GBK" w:eastAsia="方正小标宋_GBK" w:cs="方正小标宋_GBK"/>
        </w:rPr>
        <w:tab/>
      </w: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PAGEREF _Toc2978 \h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60</w:t>
      </w:r>
      <w:r>
        <w:rPr>
          <w:rFonts w:hint="eastAsia" w:ascii="方正小标宋_GBK" w:hAnsi="方正小标宋_GBK" w:eastAsia="方正小标宋_GBK" w:cs="方正小标宋_GBK"/>
        </w:rPr>
        <w:fldChar w:fldCharType="end"/>
      </w:r>
      <w:r>
        <w:rPr>
          <w:rFonts w:hint="eastAsia" w:ascii="方正小标宋_GBK" w:hAnsi="方正小标宋_GBK" w:eastAsia="方正小标宋_GBK" w:cs="方正小标宋_GBK"/>
        </w:rP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11799"/>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2908"/>
        <w:gridCol w:w="10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520保定市徐水区城区办事处</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3942" w:type="dxa"/>
            <w:gridSpan w:val="2"/>
            <w:vAlign w:val="center"/>
          </w:tcPr>
          <w:p>
            <w:pPr>
              <w:pStyle w:val="11"/>
            </w:pPr>
            <w:r>
              <w:t>收入</w:t>
            </w:r>
          </w:p>
        </w:tc>
        <w:tc>
          <w:tcPr>
            <w:tcW w:w="394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2908" w:type="dxa"/>
            <w:vAlign w:val="center"/>
          </w:tcPr>
          <w:p>
            <w:pPr>
              <w:pStyle w:val="11"/>
            </w:pPr>
            <w:r>
              <w:t>项  目</w:t>
            </w:r>
          </w:p>
        </w:tc>
        <w:tc>
          <w:tcPr>
            <w:tcW w:w="1034"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2908" w:type="dxa"/>
            <w:vAlign w:val="center"/>
          </w:tcPr>
          <w:p>
            <w:pPr>
              <w:pStyle w:val="11"/>
            </w:pPr>
            <w:r>
              <w:t>3</w:t>
            </w:r>
          </w:p>
        </w:tc>
        <w:tc>
          <w:tcPr>
            <w:tcW w:w="1034"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pPr>
            <w:r>
              <w:t>1458.49</w:t>
            </w:r>
          </w:p>
        </w:tc>
        <w:tc>
          <w:tcPr>
            <w:tcW w:w="2908" w:type="dxa"/>
            <w:vAlign w:val="center"/>
          </w:tcPr>
          <w:p>
            <w:pPr>
              <w:pStyle w:val="13"/>
            </w:pPr>
            <w:r>
              <w:t>一、一般公共服务支出</w:t>
            </w:r>
          </w:p>
        </w:tc>
        <w:tc>
          <w:tcPr>
            <w:tcW w:w="10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p>
        </w:tc>
        <w:tc>
          <w:tcPr>
            <w:tcW w:w="2908" w:type="dxa"/>
            <w:vAlign w:val="center"/>
          </w:tcPr>
          <w:p>
            <w:pPr>
              <w:pStyle w:val="13"/>
            </w:pPr>
            <w:r>
              <w:t>二、外交支出</w:t>
            </w:r>
          </w:p>
        </w:tc>
        <w:tc>
          <w:tcPr>
            <w:tcW w:w="10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2908" w:type="dxa"/>
            <w:vAlign w:val="center"/>
          </w:tcPr>
          <w:p>
            <w:pPr>
              <w:pStyle w:val="13"/>
            </w:pPr>
            <w:r>
              <w:t>三、国防支出</w:t>
            </w:r>
          </w:p>
        </w:tc>
        <w:tc>
          <w:tcPr>
            <w:tcW w:w="10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2908" w:type="dxa"/>
            <w:vAlign w:val="center"/>
          </w:tcPr>
          <w:p>
            <w:pPr>
              <w:pStyle w:val="13"/>
            </w:pPr>
            <w:r>
              <w:t>四、公共安全支出</w:t>
            </w:r>
          </w:p>
        </w:tc>
        <w:tc>
          <w:tcPr>
            <w:tcW w:w="1034" w:type="dxa"/>
            <w:vAlign w:val="center"/>
          </w:tcPr>
          <w:p>
            <w:pPr>
              <w:pStyle w:val="12"/>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2908" w:type="dxa"/>
            <w:vAlign w:val="center"/>
          </w:tcPr>
          <w:p>
            <w:pPr>
              <w:pStyle w:val="13"/>
            </w:pPr>
            <w:r>
              <w:t>五、教育支出</w:t>
            </w:r>
          </w:p>
        </w:tc>
        <w:tc>
          <w:tcPr>
            <w:tcW w:w="10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2908" w:type="dxa"/>
            <w:vAlign w:val="center"/>
          </w:tcPr>
          <w:p>
            <w:pPr>
              <w:pStyle w:val="13"/>
            </w:pPr>
            <w:r>
              <w:t>六、科学技术支出</w:t>
            </w:r>
          </w:p>
        </w:tc>
        <w:tc>
          <w:tcPr>
            <w:tcW w:w="10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2908" w:type="dxa"/>
            <w:vAlign w:val="center"/>
          </w:tcPr>
          <w:p>
            <w:pPr>
              <w:pStyle w:val="13"/>
            </w:pPr>
            <w:r>
              <w:t>七、文化旅游体育与传媒支出</w:t>
            </w:r>
          </w:p>
        </w:tc>
        <w:tc>
          <w:tcPr>
            <w:tcW w:w="10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2908" w:type="dxa"/>
            <w:vAlign w:val="center"/>
          </w:tcPr>
          <w:p>
            <w:pPr>
              <w:pStyle w:val="13"/>
            </w:pPr>
            <w:r>
              <w:t>八、社会保障和就业支出</w:t>
            </w:r>
          </w:p>
        </w:tc>
        <w:tc>
          <w:tcPr>
            <w:tcW w:w="1034" w:type="dxa"/>
            <w:vAlign w:val="center"/>
          </w:tcPr>
          <w:p>
            <w:pPr>
              <w:pStyle w:val="12"/>
            </w:pPr>
            <w:r>
              <w:t>474.54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2908" w:type="dxa"/>
            <w:vAlign w:val="center"/>
          </w:tcPr>
          <w:p>
            <w:pPr>
              <w:pStyle w:val="13"/>
            </w:pPr>
            <w:r>
              <w:t>九、社会保险基金支出</w:t>
            </w:r>
          </w:p>
        </w:tc>
        <w:tc>
          <w:tcPr>
            <w:tcW w:w="10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2908" w:type="dxa"/>
            <w:vAlign w:val="center"/>
          </w:tcPr>
          <w:p>
            <w:pPr>
              <w:pStyle w:val="13"/>
            </w:pPr>
            <w:r>
              <w:t>十、卫生健康支出</w:t>
            </w:r>
          </w:p>
        </w:tc>
        <w:tc>
          <w:tcPr>
            <w:tcW w:w="1034" w:type="dxa"/>
            <w:vAlign w:val="center"/>
          </w:tcPr>
          <w:p>
            <w:pPr>
              <w:pStyle w:val="12"/>
            </w:pPr>
            <w: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2908" w:type="dxa"/>
            <w:vAlign w:val="center"/>
          </w:tcPr>
          <w:p>
            <w:pPr>
              <w:pStyle w:val="13"/>
            </w:pPr>
            <w:r>
              <w:t>十一、节能环保支出</w:t>
            </w:r>
          </w:p>
        </w:tc>
        <w:tc>
          <w:tcPr>
            <w:tcW w:w="10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2908" w:type="dxa"/>
            <w:vAlign w:val="center"/>
          </w:tcPr>
          <w:p>
            <w:pPr>
              <w:pStyle w:val="13"/>
            </w:pPr>
            <w:r>
              <w:t>十二、城乡社区支出</w:t>
            </w:r>
          </w:p>
        </w:tc>
        <w:tc>
          <w:tcPr>
            <w:tcW w:w="1034" w:type="dxa"/>
            <w:vAlign w:val="center"/>
          </w:tcPr>
          <w:p>
            <w:pPr>
              <w:pStyle w:val="12"/>
            </w:pPr>
            <w:r>
              <w:t>964.91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2908" w:type="dxa"/>
            <w:vAlign w:val="center"/>
          </w:tcPr>
          <w:p>
            <w:pPr>
              <w:pStyle w:val="13"/>
            </w:pPr>
            <w:r>
              <w:t>十三、农林水支出</w:t>
            </w:r>
          </w:p>
        </w:tc>
        <w:tc>
          <w:tcPr>
            <w:tcW w:w="10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2908" w:type="dxa"/>
            <w:vAlign w:val="center"/>
          </w:tcPr>
          <w:p>
            <w:pPr>
              <w:pStyle w:val="13"/>
            </w:pPr>
            <w:r>
              <w:t>十四、交通运输支出</w:t>
            </w:r>
          </w:p>
        </w:tc>
        <w:tc>
          <w:tcPr>
            <w:tcW w:w="10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2908" w:type="dxa"/>
            <w:vAlign w:val="center"/>
          </w:tcPr>
          <w:p>
            <w:pPr>
              <w:pStyle w:val="13"/>
            </w:pPr>
            <w:r>
              <w:t>十五、资源勘探工业信息等支出</w:t>
            </w:r>
          </w:p>
        </w:tc>
        <w:tc>
          <w:tcPr>
            <w:tcW w:w="10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2908" w:type="dxa"/>
            <w:vAlign w:val="center"/>
          </w:tcPr>
          <w:p>
            <w:pPr>
              <w:pStyle w:val="13"/>
            </w:pPr>
            <w:r>
              <w:t>十六、商业服务业等支出</w:t>
            </w:r>
          </w:p>
        </w:tc>
        <w:tc>
          <w:tcPr>
            <w:tcW w:w="10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2908" w:type="dxa"/>
            <w:vAlign w:val="center"/>
          </w:tcPr>
          <w:p>
            <w:pPr>
              <w:pStyle w:val="13"/>
            </w:pPr>
            <w:r>
              <w:t>十七、金融支出</w:t>
            </w:r>
          </w:p>
        </w:tc>
        <w:tc>
          <w:tcPr>
            <w:tcW w:w="10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2908" w:type="dxa"/>
            <w:vAlign w:val="center"/>
          </w:tcPr>
          <w:p>
            <w:pPr>
              <w:pStyle w:val="13"/>
            </w:pPr>
            <w:r>
              <w:t>十八、援助其他地区支出</w:t>
            </w:r>
          </w:p>
        </w:tc>
        <w:tc>
          <w:tcPr>
            <w:tcW w:w="10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2908" w:type="dxa"/>
            <w:vAlign w:val="center"/>
          </w:tcPr>
          <w:p>
            <w:pPr>
              <w:pStyle w:val="13"/>
            </w:pPr>
            <w:r>
              <w:t>十九、自然资源海洋气象等支出</w:t>
            </w:r>
          </w:p>
        </w:tc>
        <w:tc>
          <w:tcPr>
            <w:tcW w:w="10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2908" w:type="dxa"/>
            <w:vAlign w:val="center"/>
          </w:tcPr>
          <w:p>
            <w:pPr>
              <w:pStyle w:val="13"/>
            </w:pPr>
            <w:r>
              <w:t>二十、住房保障支出</w:t>
            </w:r>
          </w:p>
        </w:tc>
        <w:tc>
          <w:tcPr>
            <w:tcW w:w="1034" w:type="dxa"/>
            <w:vAlign w:val="center"/>
          </w:tcPr>
          <w:p>
            <w:pPr>
              <w:pStyle w:val="12"/>
            </w:pPr>
            <w:r>
              <w:t>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2908" w:type="dxa"/>
            <w:vAlign w:val="center"/>
          </w:tcPr>
          <w:p>
            <w:pPr>
              <w:pStyle w:val="13"/>
            </w:pPr>
            <w:r>
              <w:t>二十一、粮油物资储备支出</w:t>
            </w:r>
          </w:p>
        </w:tc>
        <w:tc>
          <w:tcPr>
            <w:tcW w:w="10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2908" w:type="dxa"/>
            <w:vAlign w:val="center"/>
          </w:tcPr>
          <w:p>
            <w:pPr>
              <w:pStyle w:val="13"/>
            </w:pPr>
            <w:r>
              <w:t>二十二、国有资本经营预算支出</w:t>
            </w:r>
          </w:p>
        </w:tc>
        <w:tc>
          <w:tcPr>
            <w:tcW w:w="10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2908" w:type="dxa"/>
            <w:vAlign w:val="center"/>
          </w:tcPr>
          <w:p>
            <w:pPr>
              <w:pStyle w:val="13"/>
            </w:pPr>
            <w:r>
              <w:t>二十三、灾害防治及应急管理支出</w:t>
            </w:r>
          </w:p>
        </w:tc>
        <w:tc>
          <w:tcPr>
            <w:tcW w:w="1034" w:type="dxa"/>
            <w:vAlign w:val="center"/>
          </w:tcPr>
          <w:p>
            <w:pPr>
              <w:pStyle w:val="12"/>
            </w:pPr>
            <w: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2908" w:type="dxa"/>
            <w:vAlign w:val="center"/>
          </w:tcPr>
          <w:p>
            <w:pPr>
              <w:pStyle w:val="13"/>
            </w:pPr>
            <w:r>
              <w:t>二十四、预备费</w:t>
            </w:r>
          </w:p>
        </w:tc>
        <w:tc>
          <w:tcPr>
            <w:tcW w:w="10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2908" w:type="dxa"/>
            <w:vAlign w:val="center"/>
          </w:tcPr>
          <w:p>
            <w:pPr>
              <w:pStyle w:val="13"/>
            </w:pPr>
            <w:r>
              <w:t>二十五、其他支出</w:t>
            </w:r>
          </w:p>
        </w:tc>
        <w:tc>
          <w:tcPr>
            <w:tcW w:w="10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2908" w:type="dxa"/>
            <w:vAlign w:val="center"/>
          </w:tcPr>
          <w:p>
            <w:pPr>
              <w:pStyle w:val="13"/>
            </w:pPr>
            <w:r>
              <w:t>二十六、转移性支出</w:t>
            </w:r>
          </w:p>
        </w:tc>
        <w:tc>
          <w:tcPr>
            <w:tcW w:w="10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2908" w:type="dxa"/>
            <w:vAlign w:val="center"/>
          </w:tcPr>
          <w:p>
            <w:pPr>
              <w:pStyle w:val="13"/>
            </w:pPr>
            <w:r>
              <w:t>二十七、债务还本支出</w:t>
            </w:r>
          </w:p>
        </w:tc>
        <w:tc>
          <w:tcPr>
            <w:tcW w:w="10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2908" w:type="dxa"/>
            <w:vAlign w:val="center"/>
          </w:tcPr>
          <w:p>
            <w:pPr>
              <w:pStyle w:val="13"/>
            </w:pPr>
            <w:r>
              <w:t>二十八、债务付息支出</w:t>
            </w:r>
          </w:p>
        </w:tc>
        <w:tc>
          <w:tcPr>
            <w:tcW w:w="10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2908" w:type="dxa"/>
            <w:vAlign w:val="center"/>
          </w:tcPr>
          <w:p>
            <w:pPr>
              <w:pStyle w:val="13"/>
            </w:pPr>
            <w:r>
              <w:t>二十九、债务发行费用支出</w:t>
            </w:r>
          </w:p>
        </w:tc>
        <w:tc>
          <w:tcPr>
            <w:tcW w:w="10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2908" w:type="dxa"/>
            <w:vAlign w:val="center"/>
          </w:tcPr>
          <w:p>
            <w:pPr>
              <w:pStyle w:val="13"/>
            </w:pPr>
            <w:r>
              <w:t>三十、抗疫特别国债安排的支出</w:t>
            </w:r>
          </w:p>
        </w:tc>
        <w:tc>
          <w:tcPr>
            <w:tcW w:w="10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2908" w:type="dxa"/>
            <w:vAlign w:val="center"/>
          </w:tcPr>
          <w:p>
            <w:pPr>
              <w:pStyle w:val="13"/>
            </w:pPr>
            <w:r>
              <w:t>三十一、人行科目</w:t>
            </w:r>
          </w:p>
        </w:tc>
        <w:tc>
          <w:tcPr>
            <w:tcW w:w="10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1971" w:type="dxa"/>
            <w:vAlign w:val="center"/>
          </w:tcPr>
          <w:p>
            <w:pPr>
              <w:pStyle w:val="16"/>
            </w:pPr>
            <w:r>
              <w:t>1458.49</w:t>
            </w:r>
          </w:p>
        </w:tc>
        <w:tc>
          <w:tcPr>
            <w:tcW w:w="2908" w:type="dxa"/>
            <w:vAlign w:val="center"/>
          </w:tcPr>
          <w:p>
            <w:pPr>
              <w:pStyle w:val="15"/>
            </w:pPr>
            <w:r>
              <w:t>本年支出合计</w:t>
            </w:r>
          </w:p>
        </w:tc>
        <w:tc>
          <w:tcPr>
            <w:tcW w:w="1034" w:type="dxa"/>
            <w:vAlign w:val="center"/>
          </w:tcPr>
          <w:p>
            <w:pPr>
              <w:pStyle w:val="16"/>
            </w:pPr>
            <w:r>
              <w:t>1458.49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1971" w:type="dxa"/>
            <w:vAlign w:val="center"/>
          </w:tcPr>
          <w:p>
            <w:pPr>
              <w:pStyle w:val="12"/>
            </w:pPr>
          </w:p>
        </w:tc>
        <w:tc>
          <w:tcPr>
            <w:tcW w:w="2908" w:type="dxa"/>
            <w:vAlign w:val="center"/>
          </w:tcPr>
          <w:p>
            <w:pPr>
              <w:pStyle w:val="13"/>
            </w:pPr>
            <w:r>
              <w:t>年终结转结余</w:t>
            </w:r>
          </w:p>
        </w:tc>
        <w:tc>
          <w:tcPr>
            <w:tcW w:w="10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1971" w:type="dxa"/>
            <w:vAlign w:val="center"/>
          </w:tcPr>
          <w:p>
            <w:pPr>
              <w:pStyle w:val="16"/>
            </w:pPr>
            <w:r>
              <w:t>1458.49</w:t>
            </w:r>
          </w:p>
        </w:tc>
        <w:tc>
          <w:tcPr>
            <w:tcW w:w="2908" w:type="dxa"/>
            <w:vAlign w:val="center"/>
          </w:tcPr>
          <w:p>
            <w:pPr>
              <w:pStyle w:val="15"/>
            </w:pPr>
            <w:r>
              <w:t>支出总计</w:t>
            </w:r>
          </w:p>
        </w:tc>
        <w:tc>
          <w:tcPr>
            <w:tcW w:w="1034" w:type="dxa"/>
            <w:vAlign w:val="center"/>
          </w:tcPr>
          <w:p>
            <w:pPr>
              <w:pStyle w:val="16"/>
            </w:pPr>
            <w:r>
              <w:t>1458.49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27239"/>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520保定市徐水区城区办事处</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1458.49</w:t>
            </w:r>
          </w:p>
        </w:tc>
        <w:tc>
          <w:tcPr>
            <w:tcW w:w="1134" w:type="dxa"/>
            <w:vAlign w:val="center"/>
          </w:tcPr>
          <w:p>
            <w:pPr>
              <w:pStyle w:val="16"/>
            </w:pPr>
            <w:r>
              <w:t>1458.49</w:t>
            </w:r>
          </w:p>
        </w:tc>
        <w:tc>
          <w:tcPr>
            <w:tcW w:w="1134" w:type="dxa"/>
            <w:vAlign w:val="center"/>
          </w:tcPr>
          <w:p>
            <w:pPr>
              <w:pStyle w:val="16"/>
            </w:pPr>
            <w:r>
              <w:t>1458.49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20406</w:t>
            </w:r>
          </w:p>
        </w:tc>
        <w:tc>
          <w:tcPr>
            <w:tcW w:w="1559" w:type="dxa"/>
            <w:vAlign w:val="center"/>
          </w:tcPr>
          <w:p>
            <w:pPr>
              <w:pStyle w:val="13"/>
            </w:pPr>
            <w:r>
              <w:t>司法</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2040602</w:t>
            </w:r>
          </w:p>
        </w:tc>
        <w:tc>
          <w:tcPr>
            <w:tcW w:w="1559" w:type="dxa"/>
            <w:vAlign w:val="center"/>
          </w:tcPr>
          <w:p>
            <w:pPr>
              <w:pStyle w:val="13"/>
            </w:pPr>
            <w:r>
              <w:t>一般行政管理事务</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474.54</w:t>
            </w:r>
          </w:p>
        </w:tc>
        <w:tc>
          <w:tcPr>
            <w:tcW w:w="1134" w:type="dxa"/>
            <w:vAlign w:val="center"/>
          </w:tcPr>
          <w:p>
            <w:pPr>
              <w:pStyle w:val="12"/>
            </w:pPr>
            <w:r>
              <w:t>474.54</w:t>
            </w:r>
          </w:p>
        </w:tc>
        <w:tc>
          <w:tcPr>
            <w:tcW w:w="1134" w:type="dxa"/>
            <w:vAlign w:val="center"/>
          </w:tcPr>
          <w:p>
            <w:pPr>
              <w:pStyle w:val="12"/>
            </w:pPr>
            <w:r>
              <w:t>474.54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74.25</w:t>
            </w:r>
          </w:p>
        </w:tc>
        <w:tc>
          <w:tcPr>
            <w:tcW w:w="1134" w:type="dxa"/>
            <w:vAlign w:val="center"/>
          </w:tcPr>
          <w:p>
            <w:pPr>
              <w:pStyle w:val="12"/>
            </w:pPr>
            <w:r>
              <w:t>74.25</w:t>
            </w:r>
          </w:p>
        </w:tc>
        <w:tc>
          <w:tcPr>
            <w:tcW w:w="1134" w:type="dxa"/>
            <w:vAlign w:val="center"/>
          </w:tcPr>
          <w:p>
            <w:pPr>
              <w:pStyle w:val="12"/>
            </w:pPr>
            <w:r>
              <w:t>74.25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65.44</w:t>
            </w:r>
          </w:p>
        </w:tc>
        <w:tc>
          <w:tcPr>
            <w:tcW w:w="1134" w:type="dxa"/>
            <w:vAlign w:val="center"/>
          </w:tcPr>
          <w:p>
            <w:pPr>
              <w:pStyle w:val="12"/>
            </w:pPr>
            <w:r>
              <w:t>65.44</w:t>
            </w:r>
          </w:p>
        </w:tc>
        <w:tc>
          <w:tcPr>
            <w:tcW w:w="1134" w:type="dxa"/>
            <w:vAlign w:val="center"/>
          </w:tcPr>
          <w:p>
            <w:pPr>
              <w:pStyle w:val="12"/>
            </w:pPr>
            <w:r>
              <w:t>65.44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8.81</w:t>
            </w:r>
          </w:p>
        </w:tc>
        <w:tc>
          <w:tcPr>
            <w:tcW w:w="1134" w:type="dxa"/>
            <w:vAlign w:val="center"/>
          </w:tcPr>
          <w:p>
            <w:pPr>
              <w:pStyle w:val="12"/>
            </w:pPr>
            <w:r>
              <w:t>8.81</w:t>
            </w:r>
          </w:p>
        </w:tc>
        <w:tc>
          <w:tcPr>
            <w:tcW w:w="1134" w:type="dxa"/>
            <w:vAlign w:val="center"/>
          </w:tcPr>
          <w:p>
            <w:pPr>
              <w:pStyle w:val="12"/>
            </w:pPr>
            <w:r>
              <w:t>8.81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400.29</w:t>
            </w:r>
          </w:p>
        </w:tc>
        <w:tc>
          <w:tcPr>
            <w:tcW w:w="1134" w:type="dxa"/>
            <w:vAlign w:val="center"/>
          </w:tcPr>
          <w:p>
            <w:pPr>
              <w:pStyle w:val="12"/>
            </w:pPr>
            <w:r>
              <w:t>400.29</w:t>
            </w:r>
          </w:p>
        </w:tc>
        <w:tc>
          <w:tcPr>
            <w:tcW w:w="1134" w:type="dxa"/>
            <w:vAlign w:val="center"/>
          </w:tcPr>
          <w:p>
            <w:pPr>
              <w:pStyle w:val="12"/>
            </w:pPr>
            <w:r>
              <w:t>400.29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2080901</w:t>
            </w:r>
          </w:p>
        </w:tc>
        <w:tc>
          <w:tcPr>
            <w:tcW w:w="1559" w:type="dxa"/>
            <w:vAlign w:val="center"/>
          </w:tcPr>
          <w:p>
            <w:pPr>
              <w:pStyle w:val="13"/>
            </w:pPr>
            <w:r>
              <w:t>退役士兵安置</w:t>
            </w:r>
          </w:p>
        </w:tc>
        <w:tc>
          <w:tcPr>
            <w:tcW w:w="1134" w:type="dxa"/>
            <w:vAlign w:val="center"/>
          </w:tcPr>
          <w:p>
            <w:pPr>
              <w:pStyle w:val="12"/>
            </w:pPr>
            <w:r>
              <w:t>400.29</w:t>
            </w:r>
          </w:p>
        </w:tc>
        <w:tc>
          <w:tcPr>
            <w:tcW w:w="1134" w:type="dxa"/>
            <w:vAlign w:val="center"/>
          </w:tcPr>
          <w:p>
            <w:pPr>
              <w:pStyle w:val="12"/>
            </w:pPr>
            <w:r>
              <w:t>400.29</w:t>
            </w:r>
          </w:p>
        </w:tc>
        <w:tc>
          <w:tcPr>
            <w:tcW w:w="1134" w:type="dxa"/>
            <w:vAlign w:val="center"/>
          </w:tcPr>
          <w:p>
            <w:pPr>
              <w:pStyle w:val="12"/>
            </w:pPr>
            <w:r>
              <w:t>400.29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3.05</w:t>
            </w:r>
          </w:p>
        </w:tc>
        <w:tc>
          <w:tcPr>
            <w:tcW w:w="1134" w:type="dxa"/>
            <w:vAlign w:val="center"/>
          </w:tcPr>
          <w:p>
            <w:pPr>
              <w:pStyle w:val="12"/>
            </w:pPr>
            <w:r>
              <w:t>3.05</w:t>
            </w:r>
          </w:p>
        </w:tc>
        <w:tc>
          <w:tcPr>
            <w:tcW w:w="1134" w:type="dxa"/>
            <w:vAlign w:val="center"/>
          </w:tcPr>
          <w:p>
            <w:pPr>
              <w:pStyle w:val="12"/>
            </w:pPr>
            <w:r>
              <w:t>3.05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3.05</w:t>
            </w:r>
          </w:p>
        </w:tc>
        <w:tc>
          <w:tcPr>
            <w:tcW w:w="1134" w:type="dxa"/>
            <w:vAlign w:val="center"/>
          </w:tcPr>
          <w:p>
            <w:pPr>
              <w:pStyle w:val="12"/>
            </w:pPr>
            <w:r>
              <w:t>3.05</w:t>
            </w:r>
          </w:p>
        </w:tc>
        <w:tc>
          <w:tcPr>
            <w:tcW w:w="1134" w:type="dxa"/>
            <w:vAlign w:val="center"/>
          </w:tcPr>
          <w:p>
            <w:pPr>
              <w:pStyle w:val="12"/>
            </w:pPr>
            <w:r>
              <w:t>3.05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3.05</w:t>
            </w:r>
          </w:p>
        </w:tc>
        <w:tc>
          <w:tcPr>
            <w:tcW w:w="1134" w:type="dxa"/>
            <w:vAlign w:val="center"/>
          </w:tcPr>
          <w:p>
            <w:pPr>
              <w:pStyle w:val="12"/>
            </w:pPr>
            <w:r>
              <w:t>3.05</w:t>
            </w:r>
          </w:p>
        </w:tc>
        <w:tc>
          <w:tcPr>
            <w:tcW w:w="1134" w:type="dxa"/>
            <w:vAlign w:val="center"/>
          </w:tcPr>
          <w:p>
            <w:pPr>
              <w:pStyle w:val="12"/>
            </w:pPr>
            <w:r>
              <w:t>3.05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964.91</w:t>
            </w:r>
          </w:p>
        </w:tc>
        <w:tc>
          <w:tcPr>
            <w:tcW w:w="1134" w:type="dxa"/>
            <w:vAlign w:val="center"/>
          </w:tcPr>
          <w:p>
            <w:pPr>
              <w:pStyle w:val="12"/>
            </w:pPr>
            <w:r>
              <w:t>964.91</w:t>
            </w:r>
          </w:p>
        </w:tc>
        <w:tc>
          <w:tcPr>
            <w:tcW w:w="1134" w:type="dxa"/>
            <w:vAlign w:val="center"/>
          </w:tcPr>
          <w:p>
            <w:pPr>
              <w:pStyle w:val="12"/>
            </w:pPr>
            <w:r>
              <w:t>964.91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21201</w:t>
            </w:r>
          </w:p>
        </w:tc>
        <w:tc>
          <w:tcPr>
            <w:tcW w:w="1559" w:type="dxa"/>
            <w:vAlign w:val="center"/>
          </w:tcPr>
          <w:p>
            <w:pPr>
              <w:pStyle w:val="13"/>
            </w:pPr>
            <w:r>
              <w:t>城乡社区管理事务</w:t>
            </w:r>
          </w:p>
        </w:tc>
        <w:tc>
          <w:tcPr>
            <w:tcW w:w="1134" w:type="dxa"/>
            <w:vAlign w:val="center"/>
          </w:tcPr>
          <w:p>
            <w:pPr>
              <w:pStyle w:val="12"/>
            </w:pPr>
            <w:r>
              <w:t>964.91</w:t>
            </w:r>
          </w:p>
        </w:tc>
        <w:tc>
          <w:tcPr>
            <w:tcW w:w="1134" w:type="dxa"/>
            <w:vAlign w:val="center"/>
          </w:tcPr>
          <w:p>
            <w:pPr>
              <w:pStyle w:val="12"/>
            </w:pPr>
            <w:r>
              <w:t>964.91</w:t>
            </w:r>
          </w:p>
        </w:tc>
        <w:tc>
          <w:tcPr>
            <w:tcW w:w="1134" w:type="dxa"/>
            <w:vAlign w:val="center"/>
          </w:tcPr>
          <w:p>
            <w:pPr>
              <w:pStyle w:val="12"/>
            </w:pPr>
            <w:r>
              <w:t>964.91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2120101</w:t>
            </w:r>
          </w:p>
        </w:tc>
        <w:tc>
          <w:tcPr>
            <w:tcW w:w="1559" w:type="dxa"/>
            <w:vAlign w:val="center"/>
          </w:tcPr>
          <w:p>
            <w:pPr>
              <w:pStyle w:val="13"/>
            </w:pPr>
            <w:r>
              <w:t>行政运行</w:t>
            </w:r>
          </w:p>
        </w:tc>
        <w:tc>
          <w:tcPr>
            <w:tcW w:w="1134" w:type="dxa"/>
            <w:vAlign w:val="center"/>
          </w:tcPr>
          <w:p>
            <w:pPr>
              <w:pStyle w:val="12"/>
            </w:pPr>
            <w:r>
              <w:t>105.15</w:t>
            </w:r>
          </w:p>
        </w:tc>
        <w:tc>
          <w:tcPr>
            <w:tcW w:w="1134" w:type="dxa"/>
            <w:vAlign w:val="center"/>
          </w:tcPr>
          <w:p>
            <w:pPr>
              <w:pStyle w:val="12"/>
            </w:pPr>
            <w:r>
              <w:t>105.15</w:t>
            </w:r>
          </w:p>
        </w:tc>
        <w:tc>
          <w:tcPr>
            <w:tcW w:w="1134" w:type="dxa"/>
            <w:vAlign w:val="center"/>
          </w:tcPr>
          <w:p>
            <w:pPr>
              <w:pStyle w:val="12"/>
            </w:pPr>
            <w:r>
              <w:t>105.15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2120102</w:t>
            </w:r>
          </w:p>
        </w:tc>
        <w:tc>
          <w:tcPr>
            <w:tcW w:w="1559" w:type="dxa"/>
            <w:vAlign w:val="center"/>
          </w:tcPr>
          <w:p>
            <w:pPr>
              <w:pStyle w:val="13"/>
            </w:pPr>
            <w:r>
              <w:t>一般行政管理事务</w:t>
            </w:r>
          </w:p>
        </w:tc>
        <w:tc>
          <w:tcPr>
            <w:tcW w:w="1134" w:type="dxa"/>
            <w:vAlign w:val="center"/>
          </w:tcPr>
          <w:p>
            <w:pPr>
              <w:pStyle w:val="12"/>
            </w:pPr>
            <w:r>
              <w:t>859.76</w:t>
            </w:r>
          </w:p>
        </w:tc>
        <w:tc>
          <w:tcPr>
            <w:tcW w:w="1134" w:type="dxa"/>
            <w:vAlign w:val="center"/>
          </w:tcPr>
          <w:p>
            <w:pPr>
              <w:pStyle w:val="12"/>
            </w:pPr>
            <w:r>
              <w:t>859.76</w:t>
            </w:r>
          </w:p>
        </w:tc>
        <w:tc>
          <w:tcPr>
            <w:tcW w:w="1134" w:type="dxa"/>
            <w:vAlign w:val="center"/>
          </w:tcPr>
          <w:p>
            <w:pPr>
              <w:pStyle w:val="12"/>
            </w:pPr>
            <w:r>
              <w:t>859.76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7.14</w:t>
            </w:r>
          </w:p>
        </w:tc>
        <w:tc>
          <w:tcPr>
            <w:tcW w:w="1134" w:type="dxa"/>
            <w:vAlign w:val="center"/>
          </w:tcPr>
          <w:p>
            <w:pPr>
              <w:pStyle w:val="12"/>
            </w:pPr>
            <w:r>
              <w:t>7.14</w:t>
            </w:r>
          </w:p>
        </w:tc>
        <w:tc>
          <w:tcPr>
            <w:tcW w:w="1134" w:type="dxa"/>
            <w:vAlign w:val="center"/>
          </w:tcPr>
          <w:p>
            <w:pPr>
              <w:pStyle w:val="12"/>
            </w:pPr>
            <w:r>
              <w:t>7.14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7.14</w:t>
            </w:r>
          </w:p>
        </w:tc>
        <w:tc>
          <w:tcPr>
            <w:tcW w:w="1134" w:type="dxa"/>
            <w:vAlign w:val="center"/>
          </w:tcPr>
          <w:p>
            <w:pPr>
              <w:pStyle w:val="12"/>
            </w:pPr>
            <w:r>
              <w:t>7.14</w:t>
            </w:r>
          </w:p>
        </w:tc>
        <w:tc>
          <w:tcPr>
            <w:tcW w:w="1134" w:type="dxa"/>
            <w:vAlign w:val="center"/>
          </w:tcPr>
          <w:p>
            <w:pPr>
              <w:pStyle w:val="12"/>
            </w:pPr>
            <w:r>
              <w:t>7.14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7.14</w:t>
            </w:r>
          </w:p>
        </w:tc>
        <w:tc>
          <w:tcPr>
            <w:tcW w:w="1134" w:type="dxa"/>
            <w:vAlign w:val="center"/>
          </w:tcPr>
          <w:p>
            <w:pPr>
              <w:pStyle w:val="12"/>
            </w:pPr>
            <w:r>
              <w:t>7.14</w:t>
            </w:r>
          </w:p>
        </w:tc>
        <w:tc>
          <w:tcPr>
            <w:tcW w:w="1134" w:type="dxa"/>
            <w:vAlign w:val="center"/>
          </w:tcPr>
          <w:p>
            <w:pPr>
              <w:pStyle w:val="12"/>
            </w:pPr>
            <w:r>
              <w:t>7.14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1.57</w:t>
            </w:r>
          </w:p>
        </w:tc>
        <w:tc>
          <w:tcPr>
            <w:tcW w:w="1134" w:type="dxa"/>
            <w:vAlign w:val="center"/>
          </w:tcPr>
          <w:p>
            <w:pPr>
              <w:pStyle w:val="12"/>
            </w:pPr>
            <w:r>
              <w:t>1.57</w:t>
            </w:r>
          </w:p>
        </w:tc>
        <w:tc>
          <w:tcPr>
            <w:tcW w:w="1134" w:type="dxa"/>
            <w:vAlign w:val="center"/>
          </w:tcPr>
          <w:p>
            <w:pPr>
              <w:pStyle w:val="12"/>
            </w:pPr>
            <w:r>
              <w:t>1.57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22401</w:t>
            </w:r>
          </w:p>
        </w:tc>
        <w:tc>
          <w:tcPr>
            <w:tcW w:w="1559" w:type="dxa"/>
            <w:vAlign w:val="center"/>
          </w:tcPr>
          <w:p>
            <w:pPr>
              <w:pStyle w:val="13"/>
            </w:pPr>
            <w:r>
              <w:t>应急管理事务</w:t>
            </w:r>
          </w:p>
        </w:tc>
        <w:tc>
          <w:tcPr>
            <w:tcW w:w="1134" w:type="dxa"/>
            <w:vAlign w:val="center"/>
          </w:tcPr>
          <w:p>
            <w:pPr>
              <w:pStyle w:val="12"/>
            </w:pPr>
            <w:r>
              <w:t>1.57</w:t>
            </w:r>
          </w:p>
        </w:tc>
        <w:tc>
          <w:tcPr>
            <w:tcW w:w="1134" w:type="dxa"/>
            <w:vAlign w:val="center"/>
          </w:tcPr>
          <w:p>
            <w:pPr>
              <w:pStyle w:val="12"/>
            </w:pPr>
            <w:r>
              <w:t>1.57</w:t>
            </w:r>
          </w:p>
        </w:tc>
        <w:tc>
          <w:tcPr>
            <w:tcW w:w="1134" w:type="dxa"/>
            <w:vAlign w:val="center"/>
          </w:tcPr>
          <w:p>
            <w:pPr>
              <w:pStyle w:val="12"/>
            </w:pPr>
            <w:r>
              <w:t>1.57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2240102</w:t>
            </w:r>
          </w:p>
        </w:tc>
        <w:tc>
          <w:tcPr>
            <w:tcW w:w="1559" w:type="dxa"/>
            <w:vAlign w:val="center"/>
          </w:tcPr>
          <w:p>
            <w:pPr>
              <w:pStyle w:val="13"/>
            </w:pPr>
            <w:r>
              <w:t>一般行政管理事务</w:t>
            </w:r>
          </w:p>
        </w:tc>
        <w:tc>
          <w:tcPr>
            <w:tcW w:w="1134" w:type="dxa"/>
            <w:vAlign w:val="center"/>
          </w:tcPr>
          <w:p>
            <w:pPr>
              <w:pStyle w:val="12"/>
            </w:pPr>
            <w:r>
              <w:t>1.57</w:t>
            </w:r>
          </w:p>
        </w:tc>
        <w:tc>
          <w:tcPr>
            <w:tcW w:w="1134" w:type="dxa"/>
            <w:vAlign w:val="center"/>
          </w:tcPr>
          <w:p>
            <w:pPr>
              <w:pStyle w:val="12"/>
            </w:pPr>
            <w:r>
              <w:t>1.57</w:t>
            </w:r>
          </w:p>
        </w:tc>
        <w:tc>
          <w:tcPr>
            <w:tcW w:w="1134" w:type="dxa"/>
            <w:vAlign w:val="center"/>
          </w:tcPr>
          <w:p>
            <w:pPr>
              <w:pStyle w:val="12"/>
            </w:pPr>
            <w:r>
              <w:t>1.57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4638"/>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520保定市徐水区城区办事处</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1458.49</w:t>
            </w:r>
          </w:p>
        </w:tc>
        <w:tc>
          <w:tcPr>
            <w:tcW w:w="1361" w:type="dxa"/>
            <w:vAlign w:val="center"/>
          </w:tcPr>
          <w:p>
            <w:pPr>
              <w:pStyle w:val="16"/>
            </w:pPr>
            <w:r>
              <w:t>189.59</w:t>
            </w:r>
          </w:p>
        </w:tc>
        <w:tc>
          <w:tcPr>
            <w:tcW w:w="1361" w:type="dxa"/>
            <w:vAlign w:val="center"/>
          </w:tcPr>
          <w:p>
            <w:pPr>
              <w:pStyle w:val="16"/>
            </w:pPr>
            <w:r>
              <w:t>1268.90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20406</w:t>
            </w:r>
          </w:p>
        </w:tc>
        <w:tc>
          <w:tcPr>
            <w:tcW w:w="4535" w:type="dxa"/>
            <w:vAlign w:val="center"/>
          </w:tcPr>
          <w:p>
            <w:pPr>
              <w:pStyle w:val="13"/>
            </w:pPr>
            <w:r>
              <w:t>司法</w:t>
            </w: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2040602</w:t>
            </w:r>
          </w:p>
        </w:tc>
        <w:tc>
          <w:tcPr>
            <w:tcW w:w="4535" w:type="dxa"/>
            <w:vAlign w:val="center"/>
          </w:tcPr>
          <w:p>
            <w:pPr>
              <w:pStyle w:val="13"/>
            </w:pPr>
            <w:r>
              <w:t>一般行政管理事务</w:t>
            </w: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474.54</w:t>
            </w:r>
          </w:p>
        </w:tc>
        <w:tc>
          <w:tcPr>
            <w:tcW w:w="1361" w:type="dxa"/>
            <w:vAlign w:val="center"/>
          </w:tcPr>
          <w:p>
            <w:pPr>
              <w:pStyle w:val="12"/>
            </w:pPr>
            <w:r>
              <w:t>74.25</w:t>
            </w:r>
          </w:p>
        </w:tc>
        <w:tc>
          <w:tcPr>
            <w:tcW w:w="1361" w:type="dxa"/>
            <w:vAlign w:val="center"/>
          </w:tcPr>
          <w:p>
            <w:pPr>
              <w:pStyle w:val="12"/>
            </w:pPr>
            <w:r>
              <w:t>400.29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74.25</w:t>
            </w:r>
          </w:p>
        </w:tc>
        <w:tc>
          <w:tcPr>
            <w:tcW w:w="1361" w:type="dxa"/>
            <w:vAlign w:val="center"/>
          </w:tcPr>
          <w:p>
            <w:pPr>
              <w:pStyle w:val="12"/>
            </w:pPr>
            <w:r>
              <w:t>74.25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65.44</w:t>
            </w:r>
          </w:p>
        </w:tc>
        <w:tc>
          <w:tcPr>
            <w:tcW w:w="1361" w:type="dxa"/>
            <w:vAlign w:val="center"/>
          </w:tcPr>
          <w:p>
            <w:pPr>
              <w:pStyle w:val="12"/>
            </w:pPr>
            <w:r>
              <w:t>65.44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8.81</w:t>
            </w:r>
          </w:p>
        </w:tc>
        <w:tc>
          <w:tcPr>
            <w:tcW w:w="1361" w:type="dxa"/>
            <w:vAlign w:val="center"/>
          </w:tcPr>
          <w:p>
            <w:pPr>
              <w:pStyle w:val="12"/>
            </w:pPr>
            <w:r>
              <w:t>8.81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400.29</w:t>
            </w:r>
          </w:p>
        </w:tc>
        <w:tc>
          <w:tcPr>
            <w:tcW w:w="1361" w:type="dxa"/>
            <w:vAlign w:val="center"/>
          </w:tcPr>
          <w:p>
            <w:pPr>
              <w:pStyle w:val="12"/>
            </w:pPr>
          </w:p>
        </w:tc>
        <w:tc>
          <w:tcPr>
            <w:tcW w:w="1361" w:type="dxa"/>
            <w:vAlign w:val="center"/>
          </w:tcPr>
          <w:p>
            <w:pPr>
              <w:pStyle w:val="12"/>
            </w:pPr>
            <w:r>
              <w:t>400.29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2080901</w:t>
            </w:r>
          </w:p>
        </w:tc>
        <w:tc>
          <w:tcPr>
            <w:tcW w:w="4535" w:type="dxa"/>
            <w:vAlign w:val="center"/>
          </w:tcPr>
          <w:p>
            <w:pPr>
              <w:pStyle w:val="13"/>
            </w:pPr>
            <w:r>
              <w:t>退役士兵安置</w:t>
            </w:r>
          </w:p>
        </w:tc>
        <w:tc>
          <w:tcPr>
            <w:tcW w:w="1361" w:type="dxa"/>
            <w:vAlign w:val="center"/>
          </w:tcPr>
          <w:p>
            <w:pPr>
              <w:pStyle w:val="12"/>
            </w:pPr>
            <w:r>
              <w:t>400.29</w:t>
            </w:r>
          </w:p>
        </w:tc>
        <w:tc>
          <w:tcPr>
            <w:tcW w:w="1361" w:type="dxa"/>
            <w:vAlign w:val="center"/>
          </w:tcPr>
          <w:p>
            <w:pPr>
              <w:pStyle w:val="12"/>
            </w:pPr>
          </w:p>
        </w:tc>
        <w:tc>
          <w:tcPr>
            <w:tcW w:w="1361" w:type="dxa"/>
            <w:vAlign w:val="center"/>
          </w:tcPr>
          <w:p>
            <w:pPr>
              <w:pStyle w:val="12"/>
            </w:pPr>
            <w:r>
              <w:t>400.29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3.05</w:t>
            </w:r>
          </w:p>
        </w:tc>
        <w:tc>
          <w:tcPr>
            <w:tcW w:w="1361" w:type="dxa"/>
            <w:vAlign w:val="center"/>
          </w:tcPr>
          <w:p>
            <w:pPr>
              <w:pStyle w:val="12"/>
            </w:pPr>
            <w:r>
              <w:t>3.05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3.05</w:t>
            </w:r>
          </w:p>
        </w:tc>
        <w:tc>
          <w:tcPr>
            <w:tcW w:w="1361" w:type="dxa"/>
            <w:vAlign w:val="center"/>
          </w:tcPr>
          <w:p>
            <w:pPr>
              <w:pStyle w:val="12"/>
            </w:pPr>
            <w:r>
              <w:t>3.05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3.05</w:t>
            </w:r>
          </w:p>
        </w:tc>
        <w:tc>
          <w:tcPr>
            <w:tcW w:w="1361" w:type="dxa"/>
            <w:vAlign w:val="center"/>
          </w:tcPr>
          <w:p>
            <w:pPr>
              <w:pStyle w:val="12"/>
            </w:pPr>
            <w:r>
              <w:t>3.05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964.91</w:t>
            </w:r>
          </w:p>
        </w:tc>
        <w:tc>
          <w:tcPr>
            <w:tcW w:w="1361" w:type="dxa"/>
            <w:vAlign w:val="center"/>
          </w:tcPr>
          <w:p>
            <w:pPr>
              <w:pStyle w:val="12"/>
            </w:pPr>
            <w:r>
              <w:t>105.15</w:t>
            </w:r>
          </w:p>
        </w:tc>
        <w:tc>
          <w:tcPr>
            <w:tcW w:w="1361" w:type="dxa"/>
            <w:vAlign w:val="center"/>
          </w:tcPr>
          <w:p>
            <w:pPr>
              <w:pStyle w:val="12"/>
            </w:pPr>
            <w:r>
              <w:t>859.76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21201</w:t>
            </w:r>
          </w:p>
        </w:tc>
        <w:tc>
          <w:tcPr>
            <w:tcW w:w="4535" w:type="dxa"/>
            <w:vAlign w:val="center"/>
          </w:tcPr>
          <w:p>
            <w:pPr>
              <w:pStyle w:val="13"/>
            </w:pPr>
            <w:r>
              <w:t>城乡社区管理事务</w:t>
            </w:r>
          </w:p>
        </w:tc>
        <w:tc>
          <w:tcPr>
            <w:tcW w:w="1361" w:type="dxa"/>
            <w:vAlign w:val="center"/>
          </w:tcPr>
          <w:p>
            <w:pPr>
              <w:pStyle w:val="12"/>
            </w:pPr>
            <w:r>
              <w:t>964.91</w:t>
            </w:r>
          </w:p>
        </w:tc>
        <w:tc>
          <w:tcPr>
            <w:tcW w:w="1361" w:type="dxa"/>
            <w:vAlign w:val="center"/>
          </w:tcPr>
          <w:p>
            <w:pPr>
              <w:pStyle w:val="12"/>
            </w:pPr>
            <w:r>
              <w:t>105.15</w:t>
            </w:r>
          </w:p>
        </w:tc>
        <w:tc>
          <w:tcPr>
            <w:tcW w:w="1361" w:type="dxa"/>
            <w:vAlign w:val="center"/>
          </w:tcPr>
          <w:p>
            <w:pPr>
              <w:pStyle w:val="12"/>
            </w:pPr>
            <w:r>
              <w:t>859.76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2120101</w:t>
            </w:r>
          </w:p>
        </w:tc>
        <w:tc>
          <w:tcPr>
            <w:tcW w:w="4535" w:type="dxa"/>
            <w:vAlign w:val="center"/>
          </w:tcPr>
          <w:p>
            <w:pPr>
              <w:pStyle w:val="13"/>
            </w:pPr>
            <w:r>
              <w:t>行政运行</w:t>
            </w:r>
          </w:p>
        </w:tc>
        <w:tc>
          <w:tcPr>
            <w:tcW w:w="1361" w:type="dxa"/>
            <w:vAlign w:val="center"/>
          </w:tcPr>
          <w:p>
            <w:pPr>
              <w:pStyle w:val="12"/>
            </w:pPr>
            <w:r>
              <w:t>105.15</w:t>
            </w:r>
          </w:p>
        </w:tc>
        <w:tc>
          <w:tcPr>
            <w:tcW w:w="1361" w:type="dxa"/>
            <w:vAlign w:val="center"/>
          </w:tcPr>
          <w:p>
            <w:pPr>
              <w:pStyle w:val="12"/>
            </w:pPr>
            <w:r>
              <w:t>105.15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2120102</w:t>
            </w:r>
          </w:p>
        </w:tc>
        <w:tc>
          <w:tcPr>
            <w:tcW w:w="4535" w:type="dxa"/>
            <w:vAlign w:val="center"/>
          </w:tcPr>
          <w:p>
            <w:pPr>
              <w:pStyle w:val="13"/>
            </w:pPr>
            <w:r>
              <w:t>一般行政管理事务</w:t>
            </w:r>
          </w:p>
        </w:tc>
        <w:tc>
          <w:tcPr>
            <w:tcW w:w="1361" w:type="dxa"/>
            <w:vAlign w:val="center"/>
          </w:tcPr>
          <w:p>
            <w:pPr>
              <w:pStyle w:val="12"/>
            </w:pPr>
            <w:r>
              <w:t>859.76</w:t>
            </w:r>
          </w:p>
        </w:tc>
        <w:tc>
          <w:tcPr>
            <w:tcW w:w="1361" w:type="dxa"/>
            <w:vAlign w:val="center"/>
          </w:tcPr>
          <w:p>
            <w:pPr>
              <w:pStyle w:val="12"/>
            </w:pPr>
          </w:p>
        </w:tc>
        <w:tc>
          <w:tcPr>
            <w:tcW w:w="1361" w:type="dxa"/>
            <w:vAlign w:val="center"/>
          </w:tcPr>
          <w:p>
            <w:pPr>
              <w:pStyle w:val="12"/>
            </w:pPr>
            <w:r>
              <w:t>859.76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7.14</w:t>
            </w:r>
          </w:p>
        </w:tc>
        <w:tc>
          <w:tcPr>
            <w:tcW w:w="1361" w:type="dxa"/>
            <w:vAlign w:val="center"/>
          </w:tcPr>
          <w:p>
            <w:pPr>
              <w:pStyle w:val="12"/>
            </w:pPr>
            <w:r>
              <w:t>7.14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7.14</w:t>
            </w:r>
          </w:p>
        </w:tc>
        <w:tc>
          <w:tcPr>
            <w:tcW w:w="1361" w:type="dxa"/>
            <w:vAlign w:val="center"/>
          </w:tcPr>
          <w:p>
            <w:pPr>
              <w:pStyle w:val="12"/>
            </w:pPr>
            <w:r>
              <w:t>7.14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7.14</w:t>
            </w:r>
          </w:p>
        </w:tc>
        <w:tc>
          <w:tcPr>
            <w:tcW w:w="1361" w:type="dxa"/>
            <w:vAlign w:val="center"/>
          </w:tcPr>
          <w:p>
            <w:pPr>
              <w:pStyle w:val="12"/>
            </w:pPr>
            <w:r>
              <w:t>7.14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1.57</w:t>
            </w:r>
          </w:p>
        </w:tc>
        <w:tc>
          <w:tcPr>
            <w:tcW w:w="1361" w:type="dxa"/>
            <w:vAlign w:val="center"/>
          </w:tcPr>
          <w:p>
            <w:pPr>
              <w:pStyle w:val="12"/>
            </w:pPr>
          </w:p>
        </w:tc>
        <w:tc>
          <w:tcPr>
            <w:tcW w:w="1361" w:type="dxa"/>
            <w:vAlign w:val="center"/>
          </w:tcPr>
          <w:p>
            <w:pPr>
              <w:pStyle w:val="12"/>
            </w:pPr>
            <w:r>
              <w:t>1.57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22401</w:t>
            </w:r>
          </w:p>
        </w:tc>
        <w:tc>
          <w:tcPr>
            <w:tcW w:w="4535" w:type="dxa"/>
            <w:vAlign w:val="center"/>
          </w:tcPr>
          <w:p>
            <w:pPr>
              <w:pStyle w:val="13"/>
            </w:pPr>
            <w:r>
              <w:t>应急管理事务</w:t>
            </w:r>
          </w:p>
        </w:tc>
        <w:tc>
          <w:tcPr>
            <w:tcW w:w="1361" w:type="dxa"/>
            <w:vAlign w:val="center"/>
          </w:tcPr>
          <w:p>
            <w:pPr>
              <w:pStyle w:val="12"/>
            </w:pPr>
            <w:r>
              <w:t>1.57</w:t>
            </w:r>
          </w:p>
        </w:tc>
        <w:tc>
          <w:tcPr>
            <w:tcW w:w="1361" w:type="dxa"/>
            <w:vAlign w:val="center"/>
          </w:tcPr>
          <w:p>
            <w:pPr>
              <w:pStyle w:val="12"/>
            </w:pPr>
          </w:p>
        </w:tc>
        <w:tc>
          <w:tcPr>
            <w:tcW w:w="1361" w:type="dxa"/>
            <w:vAlign w:val="center"/>
          </w:tcPr>
          <w:p>
            <w:pPr>
              <w:pStyle w:val="12"/>
            </w:pPr>
            <w:r>
              <w:t>1.57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2240102</w:t>
            </w:r>
          </w:p>
        </w:tc>
        <w:tc>
          <w:tcPr>
            <w:tcW w:w="4535" w:type="dxa"/>
            <w:vAlign w:val="center"/>
          </w:tcPr>
          <w:p>
            <w:pPr>
              <w:pStyle w:val="13"/>
            </w:pPr>
            <w:r>
              <w:t>一般行政管理事务</w:t>
            </w:r>
          </w:p>
        </w:tc>
        <w:tc>
          <w:tcPr>
            <w:tcW w:w="1361" w:type="dxa"/>
            <w:vAlign w:val="center"/>
          </w:tcPr>
          <w:p>
            <w:pPr>
              <w:pStyle w:val="12"/>
            </w:pPr>
            <w:r>
              <w:t>1.57</w:t>
            </w:r>
          </w:p>
        </w:tc>
        <w:tc>
          <w:tcPr>
            <w:tcW w:w="1361" w:type="dxa"/>
            <w:vAlign w:val="center"/>
          </w:tcPr>
          <w:p>
            <w:pPr>
              <w:pStyle w:val="12"/>
            </w:pPr>
          </w:p>
        </w:tc>
        <w:tc>
          <w:tcPr>
            <w:tcW w:w="1361" w:type="dxa"/>
            <w:vAlign w:val="center"/>
          </w:tcPr>
          <w:p>
            <w:pPr>
              <w:pStyle w:val="12"/>
            </w:pPr>
            <w:r>
              <w:t>1.57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28153"/>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520保定市徐水区城区办事处</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1458.49</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7.29</w:t>
            </w:r>
          </w:p>
        </w:tc>
        <w:tc>
          <w:tcPr>
            <w:tcW w:w="1474" w:type="dxa"/>
            <w:vAlign w:val="center"/>
          </w:tcPr>
          <w:p>
            <w:pPr>
              <w:pStyle w:val="12"/>
            </w:pPr>
            <w:r>
              <w:t>7.29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474.54</w:t>
            </w:r>
          </w:p>
        </w:tc>
        <w:tc>
          <w:tcPr>
            <w:tcW w:w="1474" w:type="dxa"/>
            <w:vAlign w:val="center"/>
          </w:tcPr>
          <w:p>
            <w:pPr>
              <w:pStyle w:val="12"/>
            </w:pPr>
            <w:r>
              <w:t>474.54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3.05</w:t>
            </w:r>
          </w:p>
        </w:tc>
        <w:tc>
          <w:tcPr>
            <w:tcW w:w="1474" w:type="dxa"/>
            <w:vAlign w:val="center"/>
          </w:tcPr>
          <w:p>
            <w:pPr>
              <w:pStyle w:val="12"/>
            </w:pPr>
            <w:r>
              <w:t>3.05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964.91</w:t>
            </w:r>
          </w:p>
        </w:tc>
        <w:tc>
          <w:tcPr>
            <w:tcW w:w="1474" w:type="dxa"/>
            <w:vAlign w:val="center"/>
          </w:tcPr>
          <w:p>
            <w:pPr>
              <w:pStyle w:val="12"/>
            </w:pPr>
            <w:r>
              <w:t>964.91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7.14</w:t>
            </w:r>
          </w:p>
        </w:tc>
        <w:tc>
          <w:tcPr>
            <w:tcW w:w="1474" w:type="dxa"/>
            <w:vAlign w:val="center"/>
          </w:tcPr>
          <w:p>
            <w:pPr>
              <w:pStyle w:val="12"/>
            </w:pPr>
            <w:r>
              <w:t>7.14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1.57</w:t>
            </w:r>
          </w:p>
        </w:tc>
        <w:tc>
          <w:tcPr>
            <w:tcW w:w="1474" w:type="dxa"/>
            <w:vAlign w:val="center"/>
          </w:tcPr>
          <w:p>
            <w:pPr>
              <w:pStyle w:val="12"/>
            </w:pPr>
            <w:r>
              <w:t>1.57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1458.49</w:t>
            </w:r>
          </w:p>
        </w:tc>
        <w:tc>
          <w:tcPr>
            <w:tcW w:w="3402" w:type="dxa"/>
            <w:vAlign w:val="center"/>
          </w:tcPr>
          <w:p>
            <w:pPr>
              <w:pStyle w:val="15"/>
            </w:pPr>
            <w:r>
              <w:t>本年支出合计</w:t>
            </w:r>
          </w:p>
        </w:tc>
        <w:tc>
          <w:tcPr>
            <w:tcW w:w="1474" w:type="dxa"/>
            <w:vAlign w:val="center"/>
          </w:tcPr>
          <w:p>
            <w:pPr>
              <w:pStyle w:val="16"/>
            </w:pPr>
            <w:r>
              <w:t>1458.49</w:t>
            </w:r>
          </w:p>
        </w:tc>
        <w:tc>
          <w:tcPr>
            <w:tcW w:w="1474" w:type="dxa"/>
            <w:vAlign w:val="center"/>
          </w:tcPr>
          <w:p>
            <w:pPr>
              <w:pStyle w:val="16"/>
            </w:pPr>
            <w:r>
              <w:t>1458.49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1458.49</w:t>
            </w:r>
          </w:p>
        </w:tc>
        <w:tc>
          <w:tcPr>
            <w:tcW w:w="3402" w:type="dxa"/>
            <w:vAlign w:val="center"/>
          </w:tcPr>
          <w:p>
            <w:pPr>
              <w:pStyle w:val="15"/>
            </w:pPr>
            <w:r>
              <w:t>支出总计</w:t>
            </w:r>
          </w:p>
        </w:tc>
        <w:tc>
          <w:tcPr>
            <w:tcW w:w="1474" w:type="dxa"/>
            <w:vAlign w:val="center"/>
          </w:tcPr>
          <w:p>
            <w:pPr>
              <w:pStyle w:val="16"/>
            </w:pPr>
            <w:r>
              <w:t>1458.49</w:t>
            </w:r>
          </w:p>
        </w:tc>
        <w:tc>
          <w:tcPr>
            <w:tcW w:w="1474" w:type="dxa"/>
            <w:vAlign w:val="center"/>
          </w:tcPr>
          <w:p>
            <w:pPr>
              <w:pStyle w:val="16"/>
            </w:pPr>
            <w:r>
              <w:t>1458.49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26264"/>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520保定市徐水区城区办事处</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1458.49</w:t>
            </w:r>
          </w:p>
        </w:tc>
        <w:tc>
          <w:tcPr>
            <w:tcW w:w="2551" w:type="dxa"/>
            <w:vAlign w:val="center"/>
          </w:tcPr>
          <w:p>
            <w:pPr>
              <w:pStyle w:val="16"/>
            </w:pPr>
            <w:r>
              <w:t>189.59</w:t>
            </w:r>
          </w:p>
        </w:tc>
        <w:tc>
          <w:tcPr>
            <w:tcW w:w="2551" w:type="dxa"/>
            <w:vAlign w:val="center"/>
          </w:tcPr>
          <w:p>
            <w:pPr>
              <w:pStyle w:val="16"/>
            </w:pPr>
            <w:r>
              <w:t>1268.90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7.29</w:t>
            </w:r>
          </w:p>
        </w:tc>
        <w:tc>
          <w:tcPr>
            <w:tcW w:w="2551" w:type="dxa"/>
            <w:vAlign w:val="center"/>
          </w:tcPr>
          <w:p>
            <w:pPr>
              <w:pStyle w:val="12"/>
            </w:pPr>
          </w:p>
        </w:tc>
        <w:tc>
          <w:tcPr>
            <w:tcW w:w="2551" w:type="dxa"/>
            <w:vAlign w:val="center"/>
          </w:tcPr>
          <w:p>
            <w:pPr>
              <w:pStyle w:val="12"/>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20406</w:t>
            </w:r>
          </w:p>
        </w:tc>
        <w:tc>
          <w:tcPr>
            <w:tcW w:w="4535" w:type="dxa"/>
            <w:vAlign w:val="center"/>
          </w:tcPr>
          <w:p>
            <w:pPr>
              <w:pStyle w:val="13"/>
            </w:pPr>
            <w:r>
              <w:t>司法</w:t>
            </w:r>
          </w:p>
        </w:tc>
        <w:tc>
          <w:tcPr>
            <w:tcW w:w="2551" w:type="dxa"/>
            <w:vAlign w:val="center"/>
          </w:tcPr>
          <w:p>
            <w:pPr>
              <w:pStyle w:val="12"/>
            </w:pPr>
            <w:r>
              <w:t>7.29</w:t>
            </w:r>
          </w:p>
        </w:tc>
        <w:tc>
          <w:tcPr>
            <w:tcW w:w="2551" w:type="dxa"/>
            <w:vAlign w:val="center"/>
          </w:tcPr>
          <w:p>
            <w:pPr>
              <w:pStyle w:val="12"/>
            </w:pPr>
          </w:p>
        </w:tc>
        <w:tc>
          <w:tcPr>
            <w:tcW w:w="2551" w:type="dxa"/>
            <w:vAlign w:val="center"/>
          </w:tcPr>
          <w:p>
            <w:pPr>
              <w:pStyle w:val="12"/>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2040602</w:t>
            </w:r>
          </w:p>
        </w:tc>
        <w:tc>
          <w:tcPr>
            <w:tcW w:w="4535" w:type="dxa"/>
            <w:vAlign w:val="center"/>
          </w:tcPr>
          <w:p>
            <w:pPr>
              <w:pStyle w:val="13"/>
            </w:pPr>
            <w:r>
              <w:t>一般行政管理事务</w:t>
            </w:r>
          </w:p>
        </w:tc>
        <w:tc>
          <w:tcPr>
            <w:tcW w:w="2551" w:type="dxa"/>
            <w:vAlign w:val="center"/>
          </w:tcPr>
          <w:p>
            <w:pPr>
              <w:pStyle w:val="12"/>
            </w:pPr>
            <w:r>
              <w:t>7.29</w:t>
            </w:r>
          </w:p>
        </w:tc>
        <w:tc>
          <w:tcPr>
            <w:tcW w:w="2551" w:type="dxa"/>
            <w:vAlign w:val="center"/>
          </w:tcPr>
          <w:p>
            <w:pPr>
              <w:pStyle w:val="12"/>
            </w:pPr>
          </w:p>
        </w:tc>
        <w:tc>
          <w:tcPr>
            <w:tcW w:w="2551" w:type="dxa"/>
            <w:vAlign w:val="center"/>
          </w:tcPr>
          <w:p>
            <w:pPr>
              <w:pStyle w:val="12"/>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474.54</w:t>
            </w:r>
          </w:p>
        </w:tc>
        <w:tc>
          <w:tcPr>
            <w:tcW w:w="2551" w:type="dxa"/>
            <w:vAlign w:val="center"/>
          </w:tcPr>
          <w:p>
            <w:pPr>
              <w:pStyle w:val="12"/>
            </w:pPr>
            <w:r>
              <w:t>74.25</w:t>
            </w:r>
          </w:p>
        </w:tc>
        <w:tc>
          <w:tcPr>
            <w:tcW w:w="2551" w:type="dxa"/>
            <w:vAlign w:val="center"/>
          </w:tcPr>
          <w:p>
            <w:pPr>
              <w:pStyle w:val="12"/>
            </w:pPr>
            <w:r>
              <w:t>400.29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74.25</w:t>
            </w:r>
          </w:p>
        </w:tc>
        <w:tc>
          <w:tcPr>
            <w:tcW w:w="2551" w:type="dxa"/>
            <w:vAlign w:val="center"/>
          </w:tcPr>
          <w:p>
            <w:pPr>
              <w:pStyle w:val="12"/>
            </w:pPr>
            <w:r>
              <w:t>74.25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65.44</w:t>
            </w:r>
          </w:p>
        </w:tc>
        <w:tc>
          <w:tcPr>
            <w:tcW w:w="2551" w:type="dxa"/>
            <w:vAlign w:val="center"/>
          </w:tcPr>
          <w:p>
            <w:pPr>
              <w:pStyle w:val="12"/>
            </w:pPr>
            <w:r>
              <w:t>65.44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8.81</w:t>
            </w:r>
          </w:p>
        </w:tc>
        <w:tc>
          <w:tcPr>
            <w:tcW w:w="2551" w:type="dxa"/>
            <w:vAlign w:val="center"/>
          </w:tcPr>
          <w:p>
            <w:pPr>
              <w:pStyle w:val="12"/>
            </w:pPr>
            <w:r>
              <w:t>8.81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400.29</w:t>
            </w:r>
          </w:p>
        </w:tc>
        <w:tc>
          <w:tcPr>
            <w:tcW w:w="2551" w:type="dxa"/>
            <w:vAlign w:val="center"/>
          </w:tcPr>
          <w:p>
            <w:pPr>
              <w:pStyle w:val="12"/>
            </w:pPr>
          </w:p>
        </w:tc>
        <w:tc>
          <w:tcPr>
            <w:tcW w:w="2551" w:type="dxa"/>
            <w:vAlign w:val="center"/>
          </w:tcPr>
          <w:p>
            <w:pPr>
              <w:pStyle w:val="12"/>
            </w:pPr>
            <w:r>
              <w:t>400.29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2080901</w:t>
            </w:r>
          </w:p>
        </w:tc>
        <w:tc>
          <w:tcPr>
            <w:tcW w:w="4535" w:type="dxa"/>
            <w:vAlign w:val="center"/>
          </w:tcPr>
          <w:p>
            <w:pPr>
              <w:pStyle w:val="13"/>
            </w:pPr>
            <w:r>
              <w:t>退役士兵安置</w:t>
            </w:r>
          </w:p>
        </w:tc>
        <w:tc>
          <w:tcPr>
            <w:tcW w:w="2551" w:type="dxa"/>
            <w:vAlign w:val="center"/>
          </w:tcPr>
          <w:p>
            <w:pPr>
              <w:pStyle w:val="12"/>
            </w:pPr>
            <w:r>
              <w:t>400.29</w:t>
            </w:r>
          </w:p>
        </w:tc>
        <w:tc>
          <w:tcPr>
            <w:tcW w:w="2551" w:type="dxa"/>
            <w:vAlign w:val="center"/>
          </w:tcPr>
          <w:p>
            <w:pPr>
              <w:pStyle w:val="12"/>
            </w:pPr>
          </w:p>
        </w:tc>
        <w:tc>
          <w:tcPr>
            <w:tcW w:w="2551" w:type="dxa"/>
            <w:vAlign w:val="center"/>
          </w:tcPr>
          <w:p>
            <w:pPr>
              <w:pStyle w:val="12"/>
            </w:pPr>
            <w:r>
              <w:t>400.29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3.05</w:t>
            </w:r>
          </w:p>
        </w:tc>
        <w:tc>
          <w:tcPr>
            <w:tcW w:w="2551" w:type="dxa"/>
            <w:vAlign w:val="center"/>
          </w:tcPr>
          <w:p>
            <w:pPr>
              <w:pStyle w:val="12"/>
            </w:pPr>
            <w:r>
              <w:t>3.05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3.05</w:t>
            </w:r>
          </w:p>
        </w:tc>
        <w:tc>
          <w:tcPr>
            <w:tcW w:w="2551" w:type="dxa"/>
            <w:vAlign w:val="center"/>
          </w:tcPr>
          <w:p>
            <w:pPr>
              <w:pStyle w:val="12"/>
            </w:pPr>
            <w:r>
              <w:t>3.05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3.05</w:t>
            </w:r>
          </w:p>
        </w:tc>
        <w:tc>
          <w:tcPr>
            <w:tcW w:w="2551" w:type="dxa"/>
            <w:vAlign w:val="center"/>
          </w:tcPr>
          <w:p>
            <w:pPr>
              <w:pStyle w:val="12"/>
            </w:pPr>
            <w:r>
              <w:t>3.05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964.91</w:t>
            </w:r>
          </w:p>
        </w:tc>
        <w:tc>
          <w:tcPr>
            <w:tcW w:w="2551" w:type="dxa"/>
            <w:vAlign w:val="center"/>
          </w:tcPr>
          <w:p>
            <w:pPr>
              <w:pStyle w:val="12"/>
            </w:pPr>
            <w:r>
              <w:t>105.15</w:t>
            </w:r>
          </w:p>
        </w:tc>
        <w:tc>
          <w:tcPr>
            <w:tcW w:w="2551" w:type="dxa"/>
            <w:vAlign w:val="center"/>
          </w:tcPr>
          <w:p>
            <w:pPr>
              <w:pStyle w:val="12"/>
            </w:pPr>
            <w:r>
              <w:t>859.76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21201</w:t>
            </w:r>
          </w:p>
        </w:tc>
        <w:tc>
          <w:tcPr>
            <w:tcW w:w="4535" w:type="dxa"/>
            <w:vAlign w:val="center"/>
          </w:tcPr>
          <w:p>
            <w:pPr>
              <w:pStyle w:val="13"/>
            </w:pPr>
            <w:r>
              <w:t>城乡社区管理事务</w:t>
            </w:r>
          </w:p>
        </w:tc>
        <w:tc>
          <w:tcPr>
            <w:tcW w:w="2551" w:type="dxa"/>
            <w:vAlign w:val="center"/>
          </w:tcPr>
          <w:p>
            <w:pPr>
              <w:pStyle w:val="12"/>
            </w:pPr>
            <w:r>
              <w:t>964.91</w:t>
            </w:r>
          </w:p>
        </w:tc>
        <w:tc>
          <w:tcPr>
            <w:tcW w:w="2551" w:type="dxa"/>
            <w:vAlign w:val="center"/>
          </w:tcPr>
          <w:p>
            <w:pPr>
              <w:pStyle w:val="12"/>
            </w:pPr>
            <w:r>
              <w:t>105.15</w:t>
            </w:r>
          </w:p>
        </w:tc>
        <w:tc>
          <w:tcPr>
            <w:tcW w:w="2551" w:type="dxa"/>
            <w:vAlign w:val="center"/>
          </w:tcPr>
          <w:p>
            <w:pPr>
              <w:pStyle w:val="12"/>
            </w:pPr>
            <w:r>
              <w:t>859.76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2120101</w:t>
            </w:r>
          </w:p>
        </w:tc>
        <w:tc>
          <w:tcPr>
            <w:tcW w:w="4535" w:type="dxa"/>
            <w:vAlign w:val="center"/>
          </w:tcPr>
          <w:p>
            <w:pPr>
              <w:pStyle w:val="13"/>
            </w:pPr>
            <w:r>
              <w:t>行政运行</w:t>
            </w:r>
          </w:p>
        </w:tc>
        <w:tc>
          <w:tcPr>
            <w:tcW w:w="2551" w:type="dxa"/>
            <w:vAlign w:val="center"/>
          </w:tcPr>
          <w:p>
            <w:pPr>
              <w:pStyle w:val="12"/>
            </w:pPr>
            <w:r>
              <w:t>105.15</w:t>
            </w:r>
          </w:p>
        </w:tc>
        <w:tc>
          <w:tcPr>
            <w:tcW w:w="2551" w:type="dxa"/>
            <w:vAlign w:val="center"/>
          </w:tcPr>
          <w:p>
            <w:pPr>
              <w:pStyle w:val="12"/>
            </w:pPr>
            <w:r>
              <w:t>105.15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2120102</w:t>
            </w:r>
          </w:p>
        </w:tc>
        <w:tc>
          <w:tcPr>
            <w:tcW w:w="4535" w:type="dxa"/>
            <w:vAlign w:val="center"/>
          </w:tcPr>
          <w:p>
            <w:pPr>
              <w:pStyle w:val="13"/>
            </w:pPr>
            <w:r>
              <w:t>一般行政管理事务</w:t>
            </w:r>
          </w:p>
        </w:tc>
        <w:tc>
          <w:tcPr>
            <w:tcW w:w="2551" w:type="dxa"/>
            <w:vAlign w:val="center"/>
          </w:tcPr>
          <w:p>
            <w:pPr>
              <w:pStyle w:val="12"/>
            </w:pPr>
            <w:r>
              <w:t>859.76</w:t>
            </w:r>
          </w:p>
        </w:tc>
        <w:tc>
          <w:tcPr>
            <w:tcW w:w="2551" w:type="dxa"/>
            <w:vAlign w:val="center"/>
          </w:tcPr>
          <w:p>
            <w:pPr>
              <w:pStyle w:val="12"/>
            </w:pPr>
          </w:p>
        </w:tc>
        <w:tc>
          <w:tcPr>
            <w:tcW w:w="2551" w:type="dxa"/>
            <w:vAlign w:val="center"/>
          </w:tcPr>
          <w:p>
            <w:pPr>
              <w:pStyle w:val="12"/>
            </w:pPr>
            <w:r>
              <w:t>859.76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7.14</w:t>
            </w:r>
          </w:p>
        </w:tc>
        <w:tc>
          <w:tcPr>
            <w:tcW w:w="2551" w:type="dxa"/>
            <w:vAlign w:val="center"/>
          </w:tcPr>
          <w:p>
            <w:pPr>
              <w:pStyle w:val="12"/>
            </w:pPr>
            <w:r>
              <w:t>7.14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7.14</w:t>
            </w:r>
          </w:p>
        </w:tc>
        <w:tc>
          <w:tcPr>
            <w:tcW w:w="2551" w:type="dxa"/>
            <w:vAlign w:val="center"/>
          </w:tcPr>
          <w:p>
            <w:pPr>
              <w:pStyle w:val="12"/>
            </w:pPr>
            <w:r>
              <w:t>7.14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7.14</w:t>
            </w:r>
          </w:p>
        </w:tc>
        <w:tc>
          <w:tcPr>
            <w:tcW w:w="2551" w:type="dxa"/>
            <w:vAlign w:val="center"/>
          </w:tcPr>
          <w:p>
            <w:pPr>
              <w:pStyle w:val="12"/>
            </w:pPr>
            <w:r>
              <w:t>7.14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1.57</w:t>
            </w:r>
          </w:p>
        </w:tc>
        <w:tc>
          <w:tcPr>
            <w:tcW w:w="2551" w:type="dxa"/>
            <w:vAlign w:val="center"/>
          </w:tcPr>
          <w:p>
            <w:pPr>
              <w:pStyle w:val="12"/>
            </w:pPr>
          </w:p>
        </w:tc>
        <w:tc>
          <w:tcPr>
            <w:tcW w:w="2551" w:type="dxa"/>
            <w:vAlign w:val="center"/>
          </w:tcPr>
          <w:p>
            <w:pPr>
              <w:pStyle w:val="12"/>
            </w:pPr>
            <w: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22401</w:t>
            </w:r>
          </w:p>
        </w:tc>
        <w:tc>
          <w:tcPr>
            <w:tcW w:w="4535" w:type="dxa"/>
            <w:vAlign w:val="center"/>
          </w:tcPr>
          <w:p>
            <w:pPr>
              <w:pStyle w:val="13"/>
            </w:pPr>
            <w:r>
              <w:t>应急管理事务</w:t>
            </w:r>
          </w:p>
        </w:tc>
        <w:tc>
          <w:tcPr>
            <w:tcW w:w="2551" w:type="dxa"/>
            <w:vAlign w:val="center"/>
          </w:tcPr>
          <w:p>
            <w:pPr>
              <w:pStyle w:val="12"/>
            </w:pPr>
            <w:r>
              <w:t>1.57</w:t>
            </w:r>
          </w:p>
        </w:tc>
        <w:tc>
          <w:tcPr>
            <w:tcW w:w="2551" w:type="dxa"/>
            <w:vAlign w:val="center"/>
          </w:tcPr>
          <w:p>
            <w:pPr>
              <w:pStyle w:val="12"/>
            </w:pPr>
          </w:p>
        </w:tc>
        <w:tc>
          <w:tcPr>
            <w:tcW w:w="2551" w:type="dxa"/>
            <w:vAlign w:val="center"/>
          </w:tcPr>
          <w:p>
            <w:pPr>
              <w:pStyle w:val="12"/>
            </w:pPr>
            <w: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2240102</w:t>
            </w:r>
          </w:p>
        </w:tc>
        <w:tc>
          <w:tcPr>
            <w:tcW w:w="4535" w:type="dxa"/>
            <w:vAlign w:val="center"/>
          </w:tcPr>
          <w:p>
            <w:pPr>
              <w:pStyle w:val="13"/>
            </w:pPr>
            <w:r>
              <w:t>一般行政管理事务</w:t>
            </w:r>
          </w:p>
        </w:tc>
        <w:tc>
          <w:tcPr>
            <w:tcW w:w="2551" w:type="dxa"/>
            <w:vAlign w:val="center"/>
          </w:tcPr>
          <w:p>
            <w:pPr>
              <w:pStyle w:val="12"/>
            </w:pPr>
            <w:r>
              <w:t>1.57</w:t>
            </w:r>
          </w:p>
        </w:tc>
        <w:tc>
          <w:tcPr>
            <w:tcW w:w="2551" w:type="dxa"/>
            <w:vAlign w:val="center"/>
          </w:tcPr>
          <w:p>
            <w:pPr>
              <w:pStyle w:val="12"/>
            </w:pPr>
          </w:p>
        </w:tc>
        <w:tc>
          <w:tcPr>
            <w:tcW w:w="2551" w:type="dxa"/>
            <w:vAlign w:val="center"/>
          </w:tcPr>
          <w:p>
            <w:pPr>
              <w:pStyle w:val="12"/>
            </w:pPr>
            <w:r>
              <w:t>1.57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2198"/>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520保定市徐水区城区办事处</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189.59</w:t>
            </w:r>
          </w:p>
        </w:tc>
        <w:tc>
          <w:tcPr>
            <w:tcW w:w="2551" w:type="dxa"/>
            <w:vAlign w:val="center"/>
          </w:tcPr>
          <w:p>
            <w:pPr>
              <w:pStyle w:val="16"/>
            </w:pPr>
            <w:r>
              <w:t>156.93</w:t>
            </w:r>
          </w:p>
        </w:tc>
        <w:tc>
          <w:tcPr>
            <w:tcW w:w="2551" w:type="dxa"/>
            <w:vAlign w:val="center"/>
          </w:tcPr>
          <w:p>
            <w:pPr>
              <w:pStyle w:val="16"/>
            </w:pPr>
            <w:r>
              <w:t>32.66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93.19</w:t>
            </w:r>
          </w:p>
        </w:tc>
        <w:tc>
          <w:tcPr>
            <w:tcW w:w="2551" w:type="dxa"/>
            <w:vAlign w:val="center"/>
          </w:tcPr>
          <w:p>
            <w:pPr>
              <w:pStyle w:val="12"/>
            </w:pPr>
            <w:r>
              <w:t>93.19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27.38</w:t>
            </w:r>
          </w:p>
        </w:tc>
        <w:tc>
          <w:tcPr>
            <w:tcW w:w="2551" w:type="dxa"/>
            <w:vAlign w:val="center"/>
          </w:tcPr>
          <w:p>
            <w:pPr>
              <w:pStyle w:val="12"/>
            </w:pPr>
            <w:r>
              <w:t>27.38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20.52</w:t>
            </w:r>
          </w:p>
        </w:tc>
        <w:tc>
          <w:tcPr>
            <w:tcW w:w="2551" w:type="dxa"/>
            <w:vAlign w:val="center"/>
          </w:tcPr>
          <w:p>
            <w:pPr>
              <w:pStyle w:val="12"/>
            </w:pPr>
            <w:r>
              <w:t>20.52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16.39</w:t>
            </w:r>
          </w:p>
        </w:tc>
        <w:tc>
          <w:tcPr>
            <w:tcW w:w="2551" w:type="dxa"/>
            <w:vAlign w:val="center"/>
          </w:tcPr>
          <w:p>
            <w:pPr>
              <w:pStyle w:val="12"/>
            </w:pPr>
            <w:r>
              <w:t>16.39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8.81</w:t>
            </w:r>
          </w:p>
        </w:tc>
        <w:tc>
          <w:tcPr>
            <w:tcW w:w="2551" w:type="dxa"/>
            <w:vAlign w:val="center"/>
          </w:tcPr>
          <w:p>
            <w:pPr>
              <w:pStyle w:val="12"/>
            </w:pPr>
            <w:r>
              <w:t>8.81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3.05</w:t>
            </w:r>
          </w:p>
        </w:tc>
        <w:tc>
          <w:tcPr>
            <w:tcW w:w="2551" w:type="dxa"/>
            <w:vAlign w:val="center"/>
          </w:tcPr>
          <w:p>
            <w:pPr>
              <w:pStyle w:val="12"/>
            </w:pPr>
            <w:r>
              <w:t>3.05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0.23</w:t>
            </w:r>
          </w:p>
        </w:tc>
        <w:tc>
          <w:tcPr>
            <w:tcW w:w="2551" w:type="dxa"/>
            <w:vAlign w:val="center"/>
          </w:tcPr>
          <w:p>
            <w:pPr>
              <w:pStyle w:val="12"/>
            </w:pPr>
            <w:r>
              <w:t>0.23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7.14</w:t>
            </w:r>
          </w:p>
        </w:tc>
        <w:tc>
          <w:tcPr>
            <w:tcW w:w="2551" w:type="dxa"/>
            <w:vAlign w:val="center"/>
          </w:tcPr>
          <w:p>
            <w:pPr>
              <w:pStyle w:val="12"/>
            </w:pPr>
            <w:r>
              <w:t>7.14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9.68</w:t>
            </w:r>
          </w:p>
        </w:tc>
        <w:tc>
          <w:tcPr>
            <w:tcW w:w="2551" w:type="dxa"/>
            <w:vAlign w:val="center"/>
          </w:tcPr>
          <w:p>
            <w:pPr>
              <w:pStyle w:val="12"/>
            </w:pPr>
            <w:r>
              <w:t>9.68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32.66</w:t>
            </w:r>
          </w:p>
        </w:tc>
        <w:tc>
          <w:tcPr>
            <w:tcW w:w="2551" w:type="dxa"/>
            <w:vAlign w:val="center"/>
          </w:tcPr>
          <w:p>
            <w:pPr>
              <w:pStyle w:val="12"/>
            </w:pPr>
          </w:p>
        </w:tc>
        <w:tc>
          <w:tcPr>
            <w:tcW w:w="2551" w:type="dxa"/>
            <w:vAlign w:val="center"/>
          </w:tcPr>
          <w:p>
            <w:pPr>
              <w:pStyle w:val="12"/>
            </w:pPr>
            <w:r>
              <w:t>32.66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1.35</w:t>
            </w:r>
          </w:p>
        </w:tc>
        <w:tc>
          <w:tcPr>
            <w:tcW w:w="2551" w:type="dxa"/>
            <w:vAlign w:val="center"/>
          </w:tcPr>
          <w:p>
            <w:pPr>
              <w:pStyle w:val="12"/>
            </w:pPr>
          </w:p>
        </w:tc>
        <w:tc>
          <w:tcPr>
            <w:tcW w:w="2551" w:type="dxa"/>
            <w:vAlign w:val="center"/>
          </w:tcPr>
          <w:p>
            <w:pPr>
              <w:pStyle w:val="12"/>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1.87</w:t>
            </w:r>
          </w:p>
        </w:tc>
        <w:tc>
          <w:tcPr>
            <w:tcW w:w="2551" w:type="dxa"/>
            <w:vAlign w:val="center"/>
          </w:tcPr>
          <w:p>
            <w:pPr>
              <w:pStyle w:val="12"/>
            </w:pPr>
          </w:p>
        </w:tc>
        <w:tc>
          <w:tcPr>
            <w:tcW w:w="2551" w:type="dxa"/>
            <w:vAlign w:val="center"/>
          </w:tcPr>
          <w:p>
            <w:pPr>
              <w:pStyle w:val="12"/>
            </w:pPr>
            <w:r>
              <w:t>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22.70</w:t>
            </w:r>
          </w:p>
        </w:tc>
        <w:tc>
          <w:tcPr>
            <w:tcW w:w="2551" w:type="dxa"/>
            <w:vAlign w:val="center"/>
          </w:tcPr>
          <w:p>
            <w:pPr>
              <w:pStyle w:val="12"/>
            </w:pPr>
          </w:p>
        </w:tc>
        <w:tc>
          <w:tcPr>
            <w:tcW w:w="2551" w:type="dxa"/>
            <w:vAlign w:val="center"/>
          </w:tcPr>
          <w:p>
            <w:pPr>
              <w:pStyle w:val="12"/>
            </w:pPr>
            <w:r>
              <w:t>22.70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0.91</w:t>
            </w:r>
          </w:p>
        </w:tc>
        <w:tc>
          <w:tcPr>
            <w:tcW w:w="2551" w:type="dxa"/>
            <w:vAlign w:val="center"/>
          </w:tcPr>
          <w:p>
            <w:pPr>
              <w:pStyle w:val="12"/>
            </w:pPr>
          </w:p>
        </w:tc>
        <w:tc>
          <w:tcPr>
            <w:tcW w:w="2551" w:type="dxa"/>
            <w:vAlign w:val="center"/>
          </w:tcPr>
          <w:p>
            <w:pPr>
              <w:pStyle w:val="12"/>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1.65</w:t>
            </w:r>
          </w:p>
        </w:tc>
        <w:tc>
          <w:tcPr>
            <w:tcW w:w="2551" w:type="dxa"/>
            <w:vAlign w:val="center"/>
          </w:tcPr>
          <w:p>
            <w:pPr>
              <w:pStyle w:val="12"/>
            </w:pPr>
          </w:p>
        </w:tc>
        <w:tc>
          <w:tcPr>
            <w:tcW w:w="2551" w:type="dxa"/>
            <w:vAlign w:val="center"/>
          </w:tcPr>
          <w:p>
            <w:pPr>
              <w:pStyle w:val="12"/>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2.43</w:t>
            </w:r>
          </w:p>
        </w:tc>
        <w:tc>
          <w:tcPr>
            <w:tcW w:w="2551" w:type="dxa"/>
            <w:vAlign w:val="center"/>
          </w:tcPr>
          <w:p>
            <w:pPr>
              <w:pStyle w:val="12"/>
            </w:pPr>
          </w:p>
        </w:tc>
        <w:tc>
          <w:tcPr>
            <w:tcW w:w="2551" w:type="dxa"/>
            <w:vAlign w:val="center"/>
          </w:tcPr>
          <w:p>
            <w:pPr>
              <w:pStyle w:val="12"/>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1.76</w:t>
            </w:r>
          </w:p>
        </w:tc>
        <w:tc>
          <w:tcPr>
            <w:tcW w:w="2551" w:type="dxa"/>
            <w:vAlign w:val="center"/>
          </w:tcPr>
          <w:p>
            <w:pPr>
              <w:pStyle w:val="12"/>
            </w:pPr>
          </w:p>
        </w:tc>
        <w:tc>
          <w:tcPr>
            <w:tcW w:w="2551" w:type="dxa"/>
            <w:vAlign w:val="center"/>
          </w:tcPr>
          <w:p>
            <w:pPr>
              <w:pStyle w:val="12"/>
            </w:pPr>
            <w: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63.73</w:t>
            </w:r>
          </w:p>
        </w:tc>
        <w:tc>
          <w:tcPr>
            <w:tcW w:w="2551" w:type="dxa"/>
            <w:vAlign w:val="center"/>
          </w:tcPr>
          <w:p>
            <w:pPr>
              <w:pStyle w:val="12"/>
            </w:pPr>
            <w:r>
              <w:t>63.73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63.73</w:t>
            </w:r>
          </w:p>
        </w:tc>
        <w:tc>
          <w:tcPr>
            <w:tcW w:w="2551" w:type="dxa"/>
            <w:vAlign w:val="center"/>
          </w:tcPr>
          <w:p>
            <w:pPr>
              <w:pStyle w:val="12"/>
            </w:pPr>
            <w:r>
              <w:t>63.73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11706"/>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520保定市徐水区城区办事处</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20712"/>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520保定市徐水区城区办事处</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21436"/>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520保定市徐水区城区办事处</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2.43</w:t>
            </w:r>
          </w:p>
        </w:tc>
        <w:tc>
          <w:tcPr>
            <w:tcW w:w="2381" w:type="dxa"/>
            <w:vAlign w:val="center"/>
          </w:tcPr>
          <w:p>
            <w:pPr>
              <w:pStyle w:val="16"/>
            </w:pPr>
            <w:r>
              <w:t>2.43</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保定市徐水区城区办事处2024年部门预算信息公开情况说明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保定市徐水区城区办事处2024年部门预算信息公开情况说明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按照《中华人民共和国预算法》、《地方预决算公开操作规程》和《关于进一步推进预算公开工作的实施意见》规定，现将保定市徐水区城区办事处2024年部门预算公开如下：</w:t>
      </w:r>
    </w:p>
    <w:p>
      <w:pPr>
        <w:spacing w:before="10" w:after="10" w:line="360" w:lineRule="auto"/>
        <w:ind w:firstLine="640"/>
        <w:jc w:val="left"/>
        <w:outlineLvl w:val="2"/>
      </w:pPr>
      <w:bookmarkStart w:id="9" w:name="_Toc3130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根据《保定市徐水区城区办事处职能配置、内设机构和人员编制规定》， 保定市徐水区城区办事处的主要职责是：</w:t>
      </w:r>
    </w:p>
    <w:p>
      <w:pPr>
        <w:pStyle w:val="18"/>
      </w:pPr>
      <w:r>
        <w:t xml:space="preserve">（一）社区建设：指导社区居委会拓展社区服务，繁荣社区文化，美化社区环境，建设和谐社区。抓好社区的党建工作。领导和支持城区居委会依法自主管理小区事务，领导纪检、人民武装、共青团、妇联等人民团体的工作； </w:t>
      </w:r>
    </w:p>
    <w:p>
      <w:pPr>
        <w:pStyle w:val="18"/>
      </w:pPr>
      <w:r>
        <w:t>（二）社区建设管理：指导社区居委会拓展社区服务，繁荣社区文化，发展社区卫生，加强社区治安，美化社区环境，建设和谐社区。抓好社区的党建工作。对社区居委会工作监督、检查、评比。积极组织社区开展活动。指导社区居委会拓展社区服务，繁荣社区文化，发展社区卫生，加强社区治安，美化社区环境，建设和谐社区。抓好社区的党建工作。对社区居委会工作监督、检查、评比。积极组织社区开展活动；</w:t>
      </w:r>
    </w:p>
    <w:p>
      <w:pPr>
        <w:pStyle w:val="18"/>
      </w:pPr>
      <w:r>
        <w:t xml:space="preserve">（三）征兵工作管理：负责城区适龄青年的征兵工作； </w:t>
      </w:r>
    </w:p>
    <w:p>
      <w:pPr>
        <w:pStyle w:val="18"/>
      </w:pPr>
      <w:r>
        <w:t xml:space="preserve">（四）社会治安综合治理：负责城区居民区治安防范工作，指导基层组织调解民事纠纷，协助排查案件，掌握社情，普法教育和宣传； </w:t>
      </w:r>
    </w:p>
    <w:p>
      <w:pPr>
        <w:pStyle w:val="18"/>
      </w:pPr>
      <w:r>
        <w:t xml:space="preserve">（五）宣传引导：对政府的各项政策积极进行宣传； </w:t>
      </w:r>
    </w:p>
    <w:p>
      <w:pPr>
        <w:pStyle w:val="18"/>
      </w:pPr>
      <w:r>
        <w:t xml:space="preserve">（六）排查不和谐因素：对信访、治安、火灾、维稳等安全隐患进行排查。组建民调会和社区志愿者队伍； </w:t>
      </w:r>
    </w:p>
    <w:p>
      <w:pPr>
        <w:pStyle w:val="18"/>
      </w:pPr>
      <w:r>
        <w:t xml:space="preserve">（七）群众工作站管理：及时向政府和有关部门反映居民的意见和要求； </w:t>
      </w:r>
    </w:p>
    <w:p>
      <w:pPr>
        <w:pStyle w:val="18"/>
      </w:pPr>
      <w:r>
        <w:t xml:space="preserve">（八）社会福利及社会保障工作：管理民政行政工作，发展社会福利事业，做好社会保障工作； </w:t>
      </w:r>
    </w:p>
    <w:p>
      <w:pPr>
        <w:pStyle w:val="18"/>
      </w:pPr>
      <w:r>
        <w:t>（九）社会保障工作：协助收缴城镇居民医疗保险、城乡居民社会养老保险工作；</w:t>
      </w:r>
    </w:p>
    <w:p>
      <w:pPr>
        <w:pStyle w:val="18"/>
      </w:pPr>
      <w:r>
        <w:t>（十）社会福利事业管理：做好城市低保、廉租房、大病救助、高龄补贴、独生子女退休一次性奖励等的统计、申报及初审工作。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保定市徐水区城区办事处本级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1129"/>
      <w:r>
        <w:rPr>
          <w:rFonts w:ascii="黑体" w:hAnsi="黑体" w:eastAsia="黑体" w:cs="黑体"/>
          <w:color w:val="000000"/>
          <w:sz w:val="32"/>
        </w:rPr>
        <w:t>二、部门预算安排的总体情况</w:t>
      </w:r>
      <w:bookmarkEnd w:id="10"/>
    </w:p>
    <w:p>
      <w:pPr>
        <w:pStyle w:val="19"/>
      </w:pPr>
      <w:r>
        <w:rPr>
          <w:rFonts w:hint="eastAsia"/>
          <w:lang w:eastAsia="zh-CN"/>
        </w:rPr>
        <w:t>（</w:t>
      </w:r>
      <w:r>
        <w:rPr>
          <w:rFonts w:hint="eastAsia"/>
          <w:lang w:val="en-US" w:eastAsia="zh-CN"/>
        </w:rPr>
        <w:t>一</w:t>
      </w:r>
      <w:r>
        <w:rPr>
          <w:rFonts w:hint="eastAsia"/>
          <w:lang w:eastAsia="zh-CN"/>
        </w:rPr>
        <w:t>）</w:t>
      </w:r>
      <w:r>
        <w:t>收入说明</w:t>
      </w:r>
    </w:p>
    <w:p>
      <w:pPr>
        <w:pStyle w:val="19"/>
      </w:pPr>
      <w:r>
        <w:t>反映本部门当年全部收入。2024年预算收入1458.49万元，其中：一般公共预算收入1458.49万元，基金预算收入0万元，国有资本经营预算收入0万元，财政专户核拨收入0万元，单位资金收入0万元，上年结转结余0万元。</w:t>
      </w:r>
    </w:p>
    <w:p>
      <w:pPr>
        <w:pStyle w:val="19"/>
      </w:pPr>
      <w:r>
        <w:rPr>
          <w:rFonts w:hint="eastAsia"/>
          <w:lang w:eastAsia="zh-CN"/>
        </w:rPr>
        <w:t>（</w:t>
      </w:r>
      <w:r>
        <w:rPr>
          <w:rFonts w:hint="eastAsia"/>
          <w:lang w:val="en-US" w:eastAsia="zh-CN"/>
        </w:rPr>
        <w:t>二</w:t>
      </w:r>
      <w:r>
        <w:rPr>
          <w:rFonts w:hint="eastAsia"/>
          <w:lang w:eastAsia="zh-CN"/>
        </w:rPr>
        <w:t>）</w:t>
      </w:r>
      <w:r>
        <w:t>支出说明</w:t>
      </w:r>
    </w:p>
    <w:p>
      <w:pPr>
        <w:pStyle w:val="19"/>
      </w:pPr>
      <w:r>
        <w:t>收支预算总表支出栏、基本支出表、项目支出表按经济分类和支出功能分类科目编制，反映城区办事处年度部门预算中支出预算的总体情况。2024年支出预算1458.49万元，其中基本支出158.59万元，包括人员经费156.93万元和日常公用经费32.66万元；项目支出1268.90万元，主要为长期聘用人员（社区工作者）、城区办退役士官工资及保险等。</w:t>
      </w:r>
    </w:p>
    <w:p>
      <w:pPr>
        <w:pStyle w:val="19"/>
      </w:pPr>
      <w:r>
        <w:rPr>
          <w:rFonts w:hint="eastAsia"/>
          <w:lang w:eastAsia="zh-CN"/>
        </w:rPr>
        <w:t>（</w:t>
      </w:r>
      <w:r>
        <w:rPr>
          <w:rFonts w:hint="eastAsia"/>
          <w:lang w:val="en-US" w:eastAsia="zh-CN"/>
        </w:rPr>
        <w:t>三</w:t>
      </w:r>
      <w:bookmarkStart w:id="22" w:name="_GoBack"/>
      <w:bookmarkEnd w:id="22"/>
      <w:r>
        <w:rPr>
          <w:rFonts w:hint="eastAsia"/>
          <w:lang w:eastAsia="zh-CN"/>
        </w:rPr>
        <w:t>）</w:t>
      </w:r>
      <w:r>
        <w:t>比上年增减情况</w:t>
      </w:r>
    </w:p>
    <w:p>
      <w:pPr>
        <w:pStyle w:val="19"/>
      </w:pPr>
      <w:r>
        <w:t>本年度预算收支安排1458.49万元，较上年增加224.68万元。其中:基本支出减少621.72万元，主要原因是长期聘用人员（社区工作者）经费由基本支出转为项目支出；项目支出增加815.19万元，主要原因是长期聘用人员（社区工作者）经费由基本支出转为项目支出。</w:t>
      </w:r>
    </w:p>
    <w:p>
      <w:pPr>
        <w:spacing w:before="10" w:after="10" w:line="360" w:lineRule="auto"/>
        <w:ind w:firstLine="640"/>
        <w:jc w:val="left"/>
        <w:outlineLvl w:val="2"/>
      </w:pPr>
      <w:bookmarkStart w:id="11" w:name="_Toc24749"/>
      <w:r>
        <w:rPr>
          <w:rFonts w:ascii="黑体" w:hAnsi="黑体" w:eastAsia="黑体" w:cs="黑体"/>
          <w:color w:val="000000"/>
          <w:sz w:val="32"/>
        </w:rPr>
        <w:t>三、机关运行经费安排情况</w:t>
      </w:r>
      <w:bookmarkEnd w:id="11"/>
    </w:p>
    <w:p>
      <w:pPr>
        <w:pStyle w:val="20"/>
      </w:pPr>
      <w:r>
        <w:t>2024年我部门机关运行经费安排32.66万元，其中办公费1.35万元，邮电费1.87万元，工会经费、福利费2.55万元，公务用车运行维护费2.43万元，其他支出24.46万元。</w:t>
      </w:r>
    </w:p>
    <w:p>
      <w:pPr>
        <w:spacing w:before="10" w:after="10" w:line="360" w:lineRule="auto"/>
        <w:ind w:firstLine="640"/>
        <w:jc w:val="left"/>
        <w:outlineLvl w:val="2"/>
      </w:pPr>
      <w:bookmarkStart w:id="12" w:name="_Toc9206"/>
      <w:r>
        <w:rPr>
          <w:rFonts w:ascii="黑体" w:hAnsi="黑体" w:eastAsia="黑体" w:cs="黑体"/>
          <w:color w:val="000000"/>
          <w:sz w:val="32"/>
        </w:rPr>
        <w:t>四、财政拨款“三公”经费预算情况及增减变化原因</w:t>
      </w:r>
      <w:bookmarkEnd w:id="12"/>
    </w:p>
    <w:p>
      <w:pPr>
        <w:pStyle w:val="21"/>
      </w:pPr>
      <w:r>
        <w:t>2024年，我部门财政拨款“三公”经费预算安排2.43万元，其中因公出国（境）费0万元；公务用车购置及运维费2.43万元（其中：公务用车购置费为0万元，公务用车运维费2.43万元)；公务接待费0万元。与2023年相比减少2.43万元，减少的主要原因是：我部门公务用车编制数为2辆，保有量为1辆，2024年公务用车运维费以保有量为准。</w:t>
      </w:r>
    </w:p>
    <w:p>
      <w:pPr>
        <w:spacing w:before="10" w:after="10" w:line="360" w:lineRule="auto"/>
        <w:ind w:firstLine="640"/>
        <w:jc w:val="left"/>
        <w:outlineLvl w:val="2"/>
      </w:pPr>
      <w:bookmarkStart w:id="13" w:name="_Toc14673"/>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聚焦社区建设、社会治安综合治理、社会福利及社会工作保障，以做好社区建设管理、宣传引导、社会福利事业管理等各项工作，不断提升人民群众获得感、幸福感、安全感为目标，让惠及社区居民的政策落下去、实起来，丰富居民“生活圈”。做好社区建设工作，将社区工作经费以及社区党组织服务群众专项经费这两项经费做到为民服务、居民受益，推进幸福和谐社区建设。提升社会治理水平，加强基层政权和社区建设，2024年实现社区综合服务设施全覆盖，每个社区至少拥有3名社会工作者。</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1、做好社区建设管理</w:t>
      </w:r>
    </w:p>
    <w:p>
      <w:pPr>
        <w:pStyle w:val="23"/>
      </w:pPr>
      <w:r>
        <w:t>绩效目标：完善社区服务设施，对社区党群综合服务场所面积不足的社区进行提升。</w:t>
      </w:r>
    </w:p>
    <w:p>
      <w:pPr>
        <w:pStyle w:val="23"/>
      </w:pPr>
      <w:r>
        <w:t>绩效指标：对未达到社区党群综合服务场所面积的社区通过住宅项目配套、新建、改造、购买、租赁、调剂置换等方式，实现社区党群综合服务场所设施全覆盖。</w:t>
      </w:r>
    </w:p>
    <w:p>
      <w:pPr>
        <w:pStyle w:val="23"/>
      </w:pPr>
      <w:r>
        <w:t>2、做好社会治安综合治理</w:t>
      </w:r>
    </w:p>
    <w:p>
      <w:pPr>
        <w:pStyle w:val="23"/>
      </w:pPr>
      <w:r>
        <w:t>绩效目标：负责城区居民区治安防范工作，指导基层组织调解民事纠纷，协助排查案件，掌握社情，普法教育和宣传。</w:t>
      </w:r>
    </w:p>
    <w:p>
      <w:pPr>
        <w:pStyle w:val="23"/>
      </w:pPr>
      <w:r>
        <w:t>绩效指标：加强社会治安综合治理，在2024年调解民事纠纷72次，维护社会秩序，对政府的各项政策积极进行宣传，在2024年全年开展各类活动50次。对信访、治安、维稳等因素进行排查。及时向政府和有关部门反映居民的意见和要求。</w:t>
      </w:r>
    </w:p>
    <w:p>
      <w:pPr>
        <w:pStyle w:val="23"/>
      </w:pPr>
      <w:r>
        <w:t>3、做好社会福利事业管理</w:t>
      </w:r>
    </w:p>
    <w:p>
      <w:pPr>
        <w:pStyle w:val="23"/>
      </w:pPr>
      <w:r>
        <w:t>绩效目标：管理民政行政工作，发展社会福利事业，做好社会保障工作。着力抓好党的各项惠民政策落实，积极联系各单位落实低保工作，做到应保尽保。落实困难残疾人生活补贴和重度残疾人护理补贴制度，持续解决残疾人特殊生活困难和长期照护困难。</w:t>
      </w:r>
    </w:p>
    <w:p>
      <w:pPr>
        <w:pStyle w:val="23"/>
      </w:pPr>
      <w:r>
        <w:t>绩效指标：做好低保户年审工作，做到应保尽保。将符合条件的申请人100%纳入残疾人两项补贴制度保障范围，按标准及时、足额发放残疾人两项补贴资金。</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立高效工作机制。面对城市管理的新任务、新特点、新挑战，创造性实施“一制二化三会四服务”工作机制，提升城市管理成效。推行大党委制，完成城区办和社区“大党委”组建工作，涉及城市建设与管理相关部门112名党员干部进入“大党委”。实行“大党委”联席会议制度，形成区域统筹、资源整合、优势互补、共驻共建的党建新格局。</w:t>
      </w:r>
    </w:p>
    <w:p>
      <w:pPr>
        <w:pStyle w:val="24"/>
      </w:pPr>
      <w:r>
        <w:t>2、注重实效，加强预算绩效管理。落实全面预算绩效管理要求，将事前绩效评估、绩效目标设定、绩效跟踪、绩效评价及结果运用纳入预算编制、执行、监督全过程。围绕部门职责和事业发展规划设定绩效目标，准确衡量部门整体及核心业务实施效果，按要求开展部门预算绩效实时监控、绩效自评和重点评价工作，对评价中发现的问题及时整改，推动提高部门整体绩效管理水平。</w:t>
      </w:r>
    </w:p>
    <w:p>
      <w:pPr>
        <w:pStyle w:val="24"/>
      </w:pPr>
      <w:r>
        <w:t>3、精编预算，做好专项资金保障。预算安排首先要落实党和国家的各项民生政策，突出重点、注重绩效，合理安排一般公共预算、政府性基金和部门其他收入。对涉及个人和家庭补贴等方面有明确政策规定和标准调整的支出据实编制，确保城乡困难群众基本生活。对落实政策的奖补类项目、保障部门履行职责所需经费、政府购买社会服务项目和一些绩效评估结果较好的专项项目，区分轻重缓急，统筹安排。通过编细编实预算，优化支出结构，加快履行政府采购手续，按规定及时下达资金等多种措施，确保支出进度达标，及时发挥财政资金效益。</w:t>
      </w:r>
    </w:p>
    <w:p>
      <w:pPr>
        <w:pStyle w:val="24"/>
      </w:pPr>
      <w:r>
        <w:t>4、补齐短板，加强基础设施建设。认真贯彻落实国务院关于保持基础设施领域补短板力度的指导意见，按照“科学规划、合理布局，统筹资金、突出重点，量力而行、适度发展”的原则，充分发挥中央预算内投资政策，统筹中央和省级福彩公益金，加强政策引导和组织实施，稳步推进民政公共服务设施建设，改善基础条件，提升防风险能力，提高服务质量。</w:t>
      </w:r>
    </w:p>
    <w:p>
      <w:pPr>
        <w:pStyle w:val="24"/>
      </w:pPr>
      <w:r>
        <w:t xml:space="preserve">5、加强培训，提高基层服务能力。随着党和政府对社区工作的重视程度不断加强，人民群众期的盼也越来越高，社区干部在履职尽责过程中不同程度地存在“能力不足”、“本领恐慌”问题。因此，通过对社区工作人员开展业务技能专项培训，不断提高基层民政队伍素质和服务能力。 </w:t>
      </w:r>
    </w:p>
    <w:p>
      <w:pPr>
        <w:pStyle w:val="24"/>
      </w:pPr>
      <w:r>
        <w:t>6、丰富手段，提高信息化水平。通过“智慧社区（党建）网格化管理软件服务平台”，集成居民信息管理系统和社区党建系统，加强新媒体宣传及公众号发布等现代化信息手段，推动社区建设创新和公共服务方式转变，完满完成各项任务目标。</w:t>
      </w:r>
    </w:p>
    <w:p>
      <w:pPr>
        <w:pStyle w:val="24"/>
        <w:sectPr>
          <w:pgSz w:w="16840" w:h="11900" w:orient="landscape"/>
          <w:pgMar w:top="1361" w:right="1020" w:bottom="1361" w:left="1020" w:header="720" w:footer="720" w:gutter="0"/>
          <w:cols w:space="720" w:num="1"/>
        </w:sectPr>
      </w:pPr>
      <w:r>
        <w:t>7、加强内控，规范财务资产管理。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bookmarkStart w:id="15" w:name="_Toc25931"/>
      <w:r>
        <w:rPr>
          <w:rFonts w:ascii="黑体" w:hAnsi="黑体" w:eastAsia="黑体" w:cs="黑体"/>
          <w:color w:val="000000"/>
          <w:sz w:val="32"/>
        </w:rPr>
        <w:t>六、部门主管专项资金预算安排情况及绩效目标</w:t>
      </w:r>
      <w:bookmarkEnd w:id="14"/>
      <w:bookmarkEnd w:id="15"/>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6" w:name="_Toc_3_3_0000000016"/>
      <w:bookmarkStart w:id="17" w:name="_Toc16425"/>
      <w:r>
        <w:rPr>
          <w:rFonts w:ascii="黑体" w:hAnsi="黑体" w:eastAsia="黑体" w:cs="黑体"/>
          <w:color w:val="000000"/>
          <w:sz w:val="32"/>
        </w:rPr>
        <w:t>七、部门项目预算安排情况及绩效目标</w:t>
      </w:r>
      <w:bookmarkEnd w:id="16"/>
      <w:bookmarkEnd w:id="17"/>
    </w:p>
    <w:p>
      <w:pPr>
        <w:spacing w:before="0" w:after="0"/>
        <w:ind w:firstLine="560"/>
        <w:jc w:val="left"/>
        <w:outlineLvl w:val="9"/>
      </w:pPr>
      <w:r>
        <w:rPr>
          <w:rFonts w:ascii="方正仿宋_GBK" w:hAnsi="方正仿宋_GBK" w:eastAsia="方正仿宋_GBK" w:cs="方正仿宋_GBK"/>
          <w:color w:val="000000"/>
          <w:sz w:val="28"/>
        </w:rPr>
        <w:t>1、安全生产信息员经费绩效目标表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13062524P00001510573Y</w:t>
            </w:r>
          </w:p>
        </w:tc>
        <w:tc>
          <w:tcPr>
            <w:tcW w:w="2835" w:type="dxa"/>
            <w:vAlign w:val="center"/>
          </w:tcPr>
          <w:p>
            <w:pPr>
              <w:pStyle w:val="11"/>
            </w:pPr>
            <w:r>
              <w:t>项目名称</w:t>
            </w:r>
          </w:p>
        </w:tc>
        <w:tc>
          <w:tcPr>
            <w:tcW w:w="6094" w:type="dxa"/>
            <w:gridSpan w:val="3"/>
            <w:vAlign w:val="center"/>
          </w:tcPr>
          <w:p>
            <w:pPr>
              <w:pStyle w:val="13"/>
            </w:pPr>
            <w:r>
              <w:t>安全生产信息员经费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1.15</w:t>
            </w:r>
          </w:p>
        </w:tc>
        <w:tc>
          <w:tcPr>
            <w:tcW w:w="2835" w:type="dxa"/>
            <w:vAlign w:val="center"/>
          </w:tcPr>
          <w:p>
            <w:pPr>
              <w:pStyle w:val="11"/>
            </w:pPr>
            <w:r>
              <w:t>其中：财政    资金</w:t>
            </w:r>
          </w:p>
        </w:tc>
        <w:tc>
          <w:tcPr>
            <w:tcW w:w="2551" w:type="dxa"/>
            <w:vAlign w:val="center"/>
          </w:tcPr>
          <w:p>
            <w:pPr>
              <w:pStyle w:val="13"/>
            </w:pPr>
            <w:r>
              <w:t>1.15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加强基层安全生产保障能力的建设，确保满足安全生产工作的实际需要，进一步加大安全生产延伸到基层，掌握全区的安全生产动态。</w:t>
            </w:r>
            <w:r>
              <w:tab/>
            </w:r>
            <w:r>
              <w:tab/>
            </w:r>
            <w:r>
              <w:tab/>
            </w:r>
            <w:r>
              <w:tab/>
            </w:r>
            <w:r>
              <w:tab/>
            </w:r>
            <w:r>
              <w:tab/>
            </w:r>
          </w:p>
          <w:p>
            <w:pPr>
              <w:pStyle w:val="13"/>
            </w:pP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1.加强基层安全生产保障能力的建设，确保满足安全生产工作的实际需要，进一步加大安全生产延伸到基层，掌握全区的安全生产动态。</w:t>
            </w:r>
            <w:r>
              <w:tab/>
            </w:r>
            <w:r>
              <w:tab/>
            </w:r>
            <w:r>
              <w:tab/>
            </w:r>
            <w:r>
              <w:tab/>
            </w:r>
            <w:r>
              <w:tab/>
            </w:r>
            <w:r>
              <w:tab/>
            </w:r>
          </w:p>
          <w:p>
            <w:pPr>
              <w:pStyle w:val="13"/>
            </w:pPr>
          </w:p>
          <w:p>
            <w:pPr>
              <w:pStyle w:val="13"/>
            </w:pPr>
            <w:r>
              <w:t xml:space="preserve">2.2024年此项经费1.15万元，用于发放23名安全生产信息员津贴，由城区办按季度支付。      </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安全生产信息员人数</w:t>
            </w:r>
          </w:p>
        </w:tc>
        <w:tc>
          <w:tcPr>
            <w:tcW w:w="5386" w:type="dxa"/>
            <w:vAlign w:val="center"/>
          </w:tcPr>
          <w:p>
            <w:pPr>
              <w:pStyle w:val="13"/>
            </w:pPr>
            <w:r>
              <w:t>全区各乡镇设立安全生产信息员总人数</w:t>
            </w:r>
          </w:p>
        </w:tc>
        <w:tc>
          <w:tcPr>
            <w:tcW w:w="2268" w:type="dxa"/>
            <w:vAlign w:val="center"/>
          </w:tcPr>
          <w:p>
            <w:pPr>
              <w:pStyle w:val="13"/>
            </w:pPr>
            <w:r>
              <w:t>23人</w:t>
            </w:r>
          </w:p>
        </w:tc>
        <w:tc>
          <w:tcPr>
            <w:tcW w:w="1276" w:type="dxa"/>
            <w:vAlign w:val="center"/>
          </w:tcPr>
          <w:p>
            <w:pPr>
              <w:pStyle w:val="13"/>
            </w:pPr>
            <w:r>
              <w:t>依据（徐政办【2014】14号）信息员设立规定、安全生产信息员经费项目实施计划规定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补贴发放到位准确率情况</w:t>
            </w:r>
          </w:p>
        </w:tc>
        <w:tc>
          <w:tcPr>
            <w:tcW w:w="2268" w:type="dxa"/>
            <w:vAlign w:val="center"/>
          </w:tcPr>
          <w:p>
            <w:pPr>
              <w:pStyle w:val="13"/>
            </w:pPr>
            <w:r>
              <w:t>≥95%</w:t>
            </w:r>
          </w:p>
        </w:tc>
        <w:tc>
          <w:tcPr>
            <w:tcW w:w="1276" w:type="dxa"/>
            <w:vAlign w:val="center"/>
          </w:tcPr>
          <w:p>
            <w:pPr>
              <w:pStyle w:val="13"/>
            </w:pPr>
            <w:r>
              <w:t>依据（徐政办【2014】15号）信息员设立规定、安全生产信息员经费项目实施计划规定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补贴发放及时率</w:t>
            </w:r>
          </w:p>
        </w:tc>
        <w:tc>
          <w:tcPr>
            <w:tcW w:w="5386" w:type="dxa"/>
            <w:vAlign w:val="center"/>
          </w:tcPr>
          <w:p>
            <w:pPr>
              <w:pStyle w:val="13"/>
            </w:pPr>
            <w:r>
              <w:t>补贴发放到位时间及时率情况</w:t>
            </w:r>
          </w:p>
        </w:tc>
        <w:tc>
          <w:tcPr>
            <w:tcW w:w="2268" w:type="dxa"/>
            <w:vAlign w:val="center"/>
          </w:tcPr>
          <w:p>
            <w:pPr>
              <w:pStyle w:val="13"/>
            </w:pPr>
            <w:r>
              <w:t>≥95%</w:t>
            </w:r>
          </w:p>
        </w:tc>
        <w:tc>
          <w:tcPr>
            <w:tcW w:w="1276" w:type="dxa"/>
            <w:vAlign w:val="center"/>
          </w:tcPr>
          <w:p>
            <w:pPr>
              <w:pStyle w:val="13"/>
            </w:pPr>
            <w:r>
              <w:t>依据（徐政办【2014】16号）信息员设立规定、安全生产信息员经费项目实施计划规定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岗位补贴人均标准</w:t>
            </w:r>
          </w:p>
        </w:tc>
        <w:tc>
          <w:tcPr>
            <w:tcW w:w="5386" w:type="dxa"/>
            <w:vAlign w:val="center"/>
          </w:tcPr>
          <w:p>
            <w:pPr>
              <w:pStyle w:val="13"/>
            </w:pPr>
            <w:r>
              <w:t>岗位补贴人平均标准情况</w:t>
            </w:r>
          </w:p>
        </w:tc>
        <w:tc>
          <w:tcPr>
            <w:tcW w:w="2268" w:type="dxa"/>
            <w:vAlign w:val="center"/>
          </w:tcPr>
          <w:p>
            <w:pPr>
              <w:pStyle w:val="13"/>
            </w:pPr>
            <w:r>
              <w:t>500元</w:t>
            </w:r>
          </w:p>
        </w:tc>
        <w:tc>
          <w:tcPr>
            <w:tcW w:w="1276" w:type="dxa"/>
            <w:vAlign w:val="center"/>
          </w:tcPr>
          <w:p>
            <w:pPr>
              <w:pStyle w:val="13"/>
            </w:pPr>
            <w:r>
              <w:t>依据（徐政办【2014】17号）信息员设立规定、安全生产信息员经费项目实施计划规定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较大以上安全生产事故发生数</w:t>
            </w:r>
          </w:p>
        </w:tc>
        <w:tc>
          <w:tcPr>
            <w:tcW w:w="5386" w:type="dxa"/>
            <w:vAlign w:val="center"/>
          </w:tcPr>
          <w:p>
            <w:pPr>
              <w:pStyle w:val="13"/>
            </w:pPr>
            <w:r>
              <w:t>全年较大以上安全生产事故发生数量情况</w:t>
            </w:r>
          </w:p>
        </w:tc>
        <w:tc>
          <w:tcPr>
            <w:tcW w:w="2268" w:type="dxa"/>
            <w:vAlign w:val="center"/>
          </w:tcPr>
          <w:p>
            <w:pPr>
              <w:pStyle w:val="13"/>
            </w:pPr>
            <w:r>
              <w:t>0次</w:t>
            </w:r>
          </w:p>
        </w:tc>
        <w:tc>
          <w:tcPr>
            <w:tcW w:w="1276" w:type="dxa"/>
            <w:vAlign w:val="center"/>
          </w:tcPr>
          <w:p>
            <w:pPr>
              <w:pStyle w:val="13"/>
            </w:pPr>
            <w:r>
              <w:t>依据（徐政办【2014】18号）信息员设立规定、安全生产信息员经费项目实施计划规定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安全生产信息员满意度</w:t>
            </w:r>
          </w:p>
        </w:tc>
        <w:tc>
          <w:tcPr>
            <w:tcW w:w="5386" w:type="dxa"/>
            <w:vAlign w:val="center"/>
          </w:tcPr>
          <w:p>
            <w:pPr>
              <w:pStyle w:val="13"/>
            </w:pPr>
            <w:r>
              <w:t>安全生产信息员对补贴发放情况的满意度</w:t>
            </w:r>
          </w:p>
        </w:tc>
        <w:tc>
          <w:tcPr>
            <w:tcW w:w="2268" w:type="dxa"/>
            <w:vAlign w:val="center"/>
          </w:tcPr>
          <w:p>
            <w:pPr>
              <w:pStyle w:val="13"/>
            </w:pPr>
            <w:r>
              <w:t>≥90%</w:t>
            </w:r>
          </w:p>
        </w:tc>
        <w:tc>
          <w:tcPr>
            <w:tcW w:w="1276" w:type="dxa"/>
            <w:vAlign w:val="center"/>
          </w:tcPr>
          <w:p>
            <w:pPr>
              <w:pStyle w:val="13"/>
            </w:pPr>
            <w:r>
              <w:t>满意度调查问卷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2、长期聘用人员经费（社区工作者）绩效目标表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13062524P000015103792</w:t>
            </w:r>
          </w:p>
        </w:tc>
        <w:tc>
          <w:tcPr>
            <w:tcW w:w="2835" w:type="dxa"/>
            <w:vAlign w:val="center"/>
          </w:tcPr>
          <w:p>
            <w:pPr>
              <w:pStyle w:val="11"/>
            </w:pPr>
            <w:r>
              <w:t>项目名称</w:t>
            </w:r>
          </w:p>
        </w:tc>
        <w:tc>
          <w:tcPr>
            <w:tcW w:w="6094" w:type="dxa"/>
            <w:gridSpan w:val="3"/>
            <w:vAlign w:val="center"/>
          </w:tcPr>
          <w:p>
            <w:pPr>
              <w:pStyle w:val="13"/>
            </w:pPr>
            <w:r>
              <w:t>长期聘用人员经费（社区工作者）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816.07</w:t>
            </w:r>
          </w:p>
        </w:tc>
        <w:tc>
          <w:tcPr>
            <w:tcW w:w="2835" w:type="dxa"/>
            <w:vAlign w:val="center"/>
          </w:tcPr>
          <w:p>
            <w:pPr>
              <w:pStyle w:val="11"/>
            </w:pPr>
            <w:r>
              <w:t>其中：财政    资金</w:t>
            </w:r>
          </w:p>
        </w:tc>
        <w:tc>
          <w:tcPr>
            <w:tcW w:w="2551" w:type="dxa"/>
            <w:vAlign w:val="center"/>
          </w:tcPr>
          <w:p>
            <w:pPr>
              <w:pStyle w:val="13"/>
            </w:pPr>
            <w:r>
              <w:t>816.07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保障人员工资、津贴、补贴等方面的经费支出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1.保障105名社区工作者人员工资、津贴、补贴等方面的经费支出</w:t>
            </w:r>
          </w:p>
          <w:p>
            <w:pPr>
              <w:pStyle w:val="13"/>
            </w:pPr>
            <w:r>
              <w:t>2.确保本单位日常工作正常运转</w:t>
            </w:r>
          </w:p>
          <w:p>
            <w:pPr>
              <w:pStyle w:val="13"/>
            </w:pPr>
            <w:r>
              <w:t>3.确保105名社区工作者人员保险及时缴纳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实发人数比率</w:t>
            </w:r>
          </w:p>
        </w:tc>
        <w:tc>
          <w:tcPr>
            <w:tcW w:w="5386" w:type="dxa"/>
            <w:vAlign w:val="center"/>
          </w:tcPr>
          <w:p>
            <w:pPr>
              <w:pStyle w:val="13"/>
            </w:pPr>
            <w:r>
              <w:t>实发人数占应发人数比率</w:t>
            </w:r>
          </w:p>
        </w:tc>
        <w:tc>
          <w:tcPr>
            <w:tcW w:w="2268" w:type="dxa"/>
            <w:vAlign w:val="center"/>
          </w:tcPr>
          <w:p>
            <w:pPr>
              <w:pStyle w:val="13"/>
            </w:pPr>
            <w:r>
              <w:t>100%</w:t>
            </w:r>
          </w:p>
        </w:tc>
        <w:tc>
          <w:tcPr>
            <w:tcW w:w="1276" w:type="dxa"/>
            <w:vAlign w:val="center"/>
          </w:tcPr>
          <w:p>
            <w:pPr>
              <w:pStyle w:val="13"/>
            </w:pPr>
            <w:r>
              <w:t>实施《河北省社区工作者管理办法》工作方案的通知 冀组字[2021]17号；关于印发《保定市城乡社区工作管理办法》保民[2018]171号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考核工作完成比率</w:t>
            </w:r>
          </w:p>
        </w:tc>
        <w:tc>
          <w:tcPr>
            <w:tcW w:w="5386" w:type="dxa"/>
            <w:vAlign w:val="center"/>
          </w:tcPr>
          <w:p>
            <w:pPr>
              <w:pStyle w:val="13"/>
            </w:pPr>
            <w:r>
              <w:t>考核工作完成占计划完成数的比率</w:t>
            </w:r>
          </w:p>
        </w:tc>
        <w:tc>
          <w:tcPr>
            <w:tcW w:w="2268" w:type="dxa"/>
            <w:vAlign w:val="center"/>
          </w:tcPr>
          <w:p>
            <w:pPr>
              <w:pStyle w:val="13"/>
            </w:pPr>
            <w:r>
              <w:t>≥95%</w:t>
            </w:r>
          </w:p>
        </w:tc>
        <w:tc>
          <w:tcPr>
            <w:tcW w:w="1276" w:type="dxa"/>
            <w:vAlign w:val="center"/>
          </w:tcPr>
          <w:p>
            <w:pPr>
              <w:pStyle w:val="13"/>
            </w:pPr>
            <w:r>
              <w:t>实施《河北省社区工作者管理办法》工作方案的通知 冀组字[2021]17号；关于印发《保定市城乡社区工作管理办法》保民[2018]171号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按时支付人员工资</w:t>
            </w:r>
          </w:p>
        </w:tc>
        <w:tc>
          <w:tcPr>
            <w:tcW w:w="5386" w:type="dxa"/>
            <w:vAlign w:val="center"/>
          </w:tcPr>
          <w:p>
            <w:pPr>
              <w:pStyle w:val="13"/>
            </w:pPr>
            <w:r>
              <w:t>按时支付人员工资及时率</w:t>
            </w:r>
          </w:p>
        </w:tc>
        <w:tc>
          <w:tcPr>
            <w:tcW w:w="2268" w:type="dxa"/>
            <w:vAlign w:val="center"/>
          </w:tcPr>
          <w:p>
            <w:pPr>
              <w:pStyle w:val="13"/>
            </w:pPr>
            <w:r>
              <w:t>≥95%</w:t>
            </w:r>
          </w:p>
        </w:tc>
        <w:tc>
          <w:tcPr>
            <w:tcW w:w="1276" w:type="dxa"/>
            <w:vAlign w:val="center"/>
          </w:tcPr>
          <w:p>
            <w:pPr>
              <w:pStyle w:val="13"/>
            </w:pPr>
            <w:r>
              <w:t>实施《河北省社区工作者管理办法》工作方案的通知 冀组字[2021]17号；关于印发《保定市城乡社区工作管理办法》保民[2018]171号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预算项目控制数</w:t>
            </w:r>
          </w:p>
        </w:tc>
        <w:tc>
          <w:tcPr>
            <w:tcW w:w="5386" w:type="dxa"/>
            <w:vAlign w:val="center"/>
          </w:tcPr>
          <w:p>
            <w:pPr>
              <w:pStyle w:val="13"/>
            </w:pPr>
            <w:r>
              <w:t>项目支出控制在预算范围内</w:t>
            </w:r>
          </w:p>
        </w:tc>
        <w:tc>
          <w:tcPr>
            <w:tcW w:w="2268" w:type="dxa"/>
            <w:vAlign w:val="center"/>
          </w:tcPr>
          <w:p>
            <w:pPr>
              <w:pStyle w:val="13"/>
            </w:pPr>
            <w:r>
              <w:t>≤816.07万元</w:t>
            </w:r>
          </w:p>
        </w:tc>
        <w:tc>
          <w:tcPr>
            <w:tcW w:w="1276" w:type="dxa"/>
            <w:vAlign w:val="center"/>
          </w:tcPr>
          <w:p>
            <w:pPr>
              <w:pStyle w:val="13"/>
            </w:pPr>
            <w:r>
              <w:t>实施《河北省社区工作者管理办法》工作方案的通知 冀组字[2021]17号；关于印发《保定市城乡社区工作管理办法》保民[2018]171号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人员日常工作效率</w:t>
            </w:r>
          </w:p>
        </w:tc>
        <w:tc>
          <w:tcPr>
            <w:tcW w:w="5386" w:type="dxa"/>
            <w:vAlign w:val="center"/>
          </w:tcPr>
          <w:p>
            <w:pPr>
              <w:pStyle w:val="13"/>
            </w:pPr>
            <w:r>
              <w:t>保障人员日常工作效率</w:t>
            </w:r>
          </w:p>
        </w:tc>
        <w:tc>
          <w:tcPr>
            <w:tcW w:w="2268" w:type="dxa"/>
            <w:vAlign w:val="center"/>
          </w:tcPr>
          <w:p>
            <w:pPr>
              <w:pStyle w:val="13"/>
            </w:pPr>
            <w:r>
              <w:t>≥95%</w:t>
            </w:r>
          </w:p>
        </w:tc>
        <w:tc>
          <w:tcPr>
            <w:tcW w:w="1276" w:type="dxa"/>
            <w:vAlign w:val="center"/>
          </w:tcPr>
          <w:p>
            <w:pPr>
              <w:pStyle w:val="13"/>
            </w:pPr>
            <w:r>
              <w:t>实施《河北省社区工作者管理办法》工作方案的通知 冀组字[2021]17号；关于印发《保定市城乡社区工作管理办法》保民[2018]171号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服务对象满意度情况</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3、城区办供销社退役士兵经费绩效目标表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13062524P00001510378E</w:t>
            </w:r>
          </w:p>
        </w:tc>
        <w:tc>
          <w:tcPr>
            <w:tcW w:w="2835" w:type="dxa"/>
            <w:vAlign w:val="center"/>
          </w:tcPr>
          <w:p>
            <w:pPr>
              <w:pStyle w:val="11"/>
            </w:pPr>
            <w:r>
              <w:t>项目名称</w:t>
            </w:r>
          </w:p>
        </w:tc>
        <w:tc>
          <w:tcPr>
            <w:tcW w:w="6094" w:type="dxa"/>
            <w:gridSpan w:val="3"/>
            <w:vAlign w:val="center"/>
          </w:tcPr>
          <w:p>
            <w:pPr>
              <w:pStyle w:val="13"/>
            </w:pPr>
            <w:r>
              <w:t>城区办供销社退役士兵经费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46.85</w:t>
            </w:r>
          </w:p>
        </w:tc>
        <w:tc>
          <w:tcPr>
            <w:tcW w:w="2835" w:type="dxa"/>
            <w:vAlign w:val="center"/>
          </w:tcPr>
          <w:p>
            <w:pPr>
              <w:pStyle w:val="11"/>
            </w:pPr>
            <w:r>
              <w:t>其中：财政    资金</w:t>
            </w:r>
          </w:p>
        </w:tc>
        <w:tc>
          <w:tcPr>
            <w:tcW w:w="2551" w:type="dxa"/>
            <w:vAlign w:val="center"/>
          </w:tcPr>
          <w:p>
            <w:pPr>
              <w:pStyle w:val="13"/>
            </w:pPr>
            <w:r>
              <w:t>46.85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解决供销社退役军人遗留问题，帮助安排上岗，保障基本生活。</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1.解决供销社退役军人遗留问题，帮助安排上岗，保障基本生活。</w:t>
            </w:r>
            <w:r>
              <w:tab/>
            </w:r>
            <w:r>
              <w:tab/>
            </w:r>
            <w:r>
              <w:tab/>
            </w:r>
            <w:r>
              <w:tab/>
            </w:r>
            <w:r>
              <w:tab/>
            </w:r>
            <w:r>
              <w:tab/>
            </w:r>
          </w:p>
          <w:p>
            <w:pPr>
              <w:pStyle w:val="13"/>
            </w:pPr>
          </w:p>
          <w:p>
            <w:pPr>
              <w:pStyle w:val="13"/>
            </w:pPr>
            <w:r>
              <w:t>2.2024完成为10名退役士兵提供就业任务。</w:t>
            </w:r>
            <w:r>
              <w:tab/>
            </w:r>
            <w:r>
              <w:tab/>
            </w:r>
            <w:r>
              <w:tab/>
            </w:r>
            <w:r>
              <w:tab/>
            </w:r>
            <w:r>
              <w:tab/>
            </w:r>
            <w:r>
              <w:tab/>
            </w:r>
          </w:p>
          <w:p>
            <w:pPr>
              <w:pStyle w:val="13"/>
            </w:pPr>
          </w:p>
          <w:p>
            <w:pPr>
              <w:pStyle w:val="13"/>
            </w:pPr>
            <w:r>
              <w:t>3.按照年46.849536万元的成本对退役士兵补贴，保障退役士兵满意度不低于90%。</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就业岗位提供数</w:t>
            </w:r>
          </w:p>
        </w:tc>
        <w:tc>
          <w:tcPr>
            <w:tcW w:w="5386" w:type="dxa"/>
            <w:vAlign w:val="center"/>
          </w:tcPr>
          <w:p>
            <w:pPr>
              <w:pStyle w:val="13"/>
            </w:pPr>
            <w:r>
              <w:t>反映为退役士兵提供就业岗位数量情况</w:t>
            </w:r>
          </w:p>
        </w:tc>
        <w:tc>
          <w:tcPr>
            <w:tcW w:w="2268" w:type="dxa"/>
            <w:vAlign w:val="center"/>
          </w:tcPr>
          <w:p>
            <w:pPr>
              <w:pStyle w:val="13"/>
            </w:pPr>
            <w:r>
              <w:t>10个</w:t>
            </w:r>
          </w:p>
        </w:tc>
        <w:tc>
          <w:tcPr>
            <w:tcW w:w="1276" w:type="dxa"/>
            <w:vAlign w:val="center"/>
          </w:tcPr>
          <w:p>
            <w:pPr>
              <w:pStyle w:val="13"/>
            </w:pPr>
            <w:r>
              <w:t>保定市徐水区人民政府专题会议纪要[2017]81号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保障提供就业岗位数量完成率</w:t>
            </w:r>
          </w:p>
        </w:tc>
        <w:tc>
          <w:tcPr>
            <w:tcW w:w="5386" w:type="dxa"/>
            <w:vAlign w:val="center"/>
          </w:tcPr>
          <w:p>
            <w:pPr>
              <w:pStyle w:val="13"/>
            </w:pPr>
            <w:r>
              <w:t>反映为10名退役士提供岗位就业数量的完成率的情况</w:t>
            </w:r>
          </w:p>
        </w:tc>
        <w:tc>
          <w:tcPr>
            <w:tcW w:w="2268" w:type="dxa"/>
            <w:vAlign w:val="center"/>
          </w:tcPr>
          <w:p>
            <w:pPr>
              <w:pStyle w:val="13"/>
            </w:pPr>
            <w:r>
              <w:t>100%</w:t>
            </w:r>
          </w:p>
        </w:tc>
        <w:tc>
          <w:tcPr>
            <w:tcW w:w="1276" w:type="dxa"/>
            <w:vAlign w:val="center"/>
          </w:tcPr>
          <w:p>
            <w:pPr>
              <w:pStyle w:val="13"/>
            </w:pPr>
            <w:r>
              <w:t>保定市徐水区人民政府专题会议纪要[2017]81号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岗位提供及时率</w:t>
            </w:r>
          </w:p>
        </w:tc>
        <w:tc>
          <w:tcPr>
            <w:tcW w:w="5386" w:type="dxa"/>
            <w:vAlign w:val="center"/>
          </w:tcPr>
          <w:p>
            <w:pPr>
              <w:pStyle w:val="13"/>
            </w:pPr>
            <w:r>
              <w:t>反映为退役士兵提供就业岗位的及时程度</w:t>
            </w:r>
          </w:p>
        </w:tc>
        <w:tc>
          <w:tcPr>
            <w:tcW w:w="2268" w:type="dxa"/>
            <w:vAlign w:val="center"/>
          </w:tcPr>
          <w:p>
            <w:pPr>
              <w:pStyle w:val="13"/>
            </w:pPr>
            <w:r>
              <w:t>100%</w:t>
            </w:r>
          </w:p>
        </w:tc>
        <w:tc>
          <w:tcPr>
            <w:tcW w:w="1276" w:type="dxa"/>
            <w:vAlign w:val="center"/>
          </w:tcPr>
          <w:p>
            <w:pPr>
              <w:pStyle w:val="13"/>
            </w:pPr>
            <w:r>
              <w:t>保定市徐水区人民政府专题会议纪要[2017]81号及《城区办供销社退役士兵经费项目实施计划》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项目成本费用</w:t>
            </w:r>
          </w:p>
        </w:tc>
        <w:tc>
          <w:tcPr>
            <w:tcW w:w="2268" w:type="dxa"/>
            <w:vAlign w:val="center"/>
          </w:tcPr>
          <w:p>
            <w:pPr>
              <w:pStyle w:val="13"/>
            </w:pPr>
            <w:r>
              <w:t>≤46.85万元</w:t>
            </w:r>
          </w:p>
        </w:tc>
        <w:tc>
          <w:tcPr>
            <w:tcW w:w="1276" w:type="dxa"/>
            <w:vAlign w:val="center"/>
          </w:tcPr>
          <w:p>
            <w:pPr>
              <w:pStyle w:val="13"/>
            </w:pPr>
            <w:r>
              <w:t>保定市徐水区人民政府专题会议纪要[2017]81号及《城区办供销社退役士兵经费项目实施计划》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基本生活水平提高率</w:t>
            </w:r>
          </w:p>
        </w:tc>
        <w:tc>
          <w:tcPr>
            <w:tcW w:w="5386" w:type="dxa"/>
            <w:vAlign w:val="center"/>
          </w:tcPr>
          <w:p>
            <w:pPr>
              <w:pStyle w:val="13"/>
            </w:pPr>
            <w:r>
              <w:t>供销社退役士兵基本生活水平提高</w:t>
            </w:r>
          </w:p>
        </w:tc>
        <w:tc>
          <w:tcPr>
            <w:tcW w:w="2268" w:type="dxa"/>
            <w:vAlign w:val="center"/>
          </w:tcPr>
          <w:p>
            <w:pPr>
              <w:pStyle w:val="13"/>
            </w:pPr>
            <w:r>
              <w:t>≥10%</w:t>
            </w:r>
          </w:p>
        </w:tc>
        <w:tc>
          <w:tcPr>
            <w:tcW w:w="1276" w:type="dxa"/>
            <w:vAlign w:val="center"/>
          </w:tcPr>
          <w:p>
            <w:pPr>
              <w:pStyle w:val="13"/>
            </w:pPr>
            <w:r>
              <w:t>保定市徐水区人民政府专题会议纪要[2017]81号及《城区办供销社退役士兵经费项目实施计划》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服务对象满意度情况</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4、城区办退役士官再就业工作经费绩效目标表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13062524P000015103767</w:t>
            </w:r>
          </w:p>
        </w:tc>
        <w:tc>
          <w:tcPr>
            <w:tcW w:w="2835" w:type="dxa"/>
            <w:vAlign w:val="center"/>
          </w:tcPr>
          <w:p>
            <w:pPr>
              <w:pStyle w:val="11"/>
            </w:pPr>
            <w:r>
              <w:t>项目名称</w:t>
            </w:r>
          </w:p>
        </w:tc>
        <w:tc>
          <w:tcPr>
            <w:tcW w:w="6094" w:type="dxa"/>
            <w:gridSpan w:val="3"/>
            <w:vAlign w:val="center"/>
          </w:tcPr>
          <w:p>
            <w:pPr>
              <w:pStyle w:val="13"/>
            </w:pPr>
            <w:r>
              <w:t>城区办退役士官再就业工作经费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13.14</w:t>
            </w:r>
          </w:p>
        </w:tc>
        <w:tc>
          <w:tcPr>
            <w:tcW w:w="2835" w:type="dxa"/>
            <w:vAlign w:val="center"/>
          </w:tcPr>
          <w:p>
            <w:pPr>
              <w:pStyle w:val="11"/>
            </w:pPr>
            <w:r>
              <w:t>其中：财政    资金</w:t>
            </w:r>
          </w:p>
        </w:tc>
        <w:tc>
          <w:tcPr>
            <w:tcW w:w="2551" w:type="dxa"/>
            <w:vAlign w:val="center"/>
          </w:tcPr>
          <w:p>
            <w:pPr>
              <w:pStyle w:val="13"/>
            </w:pPr>
            <w:r>
              <w:t>13.14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解决退役士官军人遗留问题，帮助安排上岗，保障基本生活。</w:t>
            </w:r>
            <w:r>
              <w:tab/>
            </w:r>
            <w:r>
              <w:tab/>
            </w:r>
            <w:r>
              <w:tab/>
            </w:r>
            <w:r>
              <w:tab/>
            </w:r>
            <w:r>
              <w:tab/>
            </w:r>
            <w:r>
              <w:tab/>
            </w:r>
          </w:p>
          <w:p>
            <w:pPr>
              <w:pStyle w:val="13"/>
            </w:pP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1.解决退役士官军人遗留问题，帮助安排上岗，保障基本生活。</w:t>
            </w:r>
            <w:r>
              <w:tab/>
            </w:r>
            <w:r>
              <w:tab/>
            </w:r>
            <w:r>
              <w:tab/>
            </w:r>
            <w:r>
              <w:tab/>
            </w:r>
            <w:r>
              <w:tab/>
            </w:r>
            <w:r>
              <w:tab/>
            </w:r>
          </w:p>
          <w:p>
            <w:pPr>
              <w:pStyle w:val="13"/>
            </w:pPr>
          </w:p>
          <w:p>
            <w:pPr>
              <w:pStyle w:val="13"/>
            </w:pPr>
            <w:r>
              <w:t>2.2024年完成为26名退役士官提供就业任务，按政策支付办公费及工会福利费等。</w:t>
            </w:r>
            <w:r>
              <w:tab/>
            </w:r>
            <w:r>
              <w:tab/>
            </w:r>
            <w:r>
              <w:tab/>
            </w:r>
            <w:r>
              <w:tab/>
            </w:r>
            <w:r>
              <w:tab/>
            </w:r>
            <w:r>
              <w:tab/>
            </w:r>
          </w:p>
          <w:p>
            <w:pPr>
              <w:pStyle w:val="13"/>
            </w:pPr>
          </w:p>
          <w:p>
            <w:pPr>
              <w:pStyle w:val="13"/>
            </w:pPr>
            <w:r>
              <w:t>3.按照每年13.1436万元的标准补贴退役士官再就业工作经费，保障退役士官满意度不低于90%。</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就业岗位提供数</w:t>
            </w:r>
          </w:p>
        </w:tc>
        <w:tc>
          <w:tcPr>
            <w:tcW w:w="5386" w:type="dxa"/>
            <w:vAlign w:val="center"/>
          </w:tcPr>
          <w:p>
            <w:pPr>
              <w:pStyle w:val="13"/>
            </w:pPr>
            <w:r>
              <w:t>反映为退役士官提供就业岗位数量情况</w:t>
            </w:r>
          </w:p>
        </w:tc>
        <w:tc>
          <w:tcPr>
            <w:tcW w:w="2268" w:type="dxa"/>
            <w:vAlign w:val="center"/>
          </w:tcPr>
          <w:p>
            <w:pPr>
              <w:pStyle w:val="13"/>
            </w:pPr>
            <w:r>
              <w:t>26个</w:t>
            </w:r>
          </w:p>
        </w:tc>
        <w:tc>
          <w:tcPr>
            <w:tcW w:w="1276" w:type="dxa"/>
            <w:vAlign w:val="center"/>
          </w:tcPr>
          <w:p>
            <w:pPr>
              <w:pStyle w:val="13"/>
            </w:pPr>
            <w:r>
              <w:t>保定市徐水区人民政府专题会议纪要[2017]81号及《城区办退役士官再就业工作经费项目实施计划》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保障提供就业岗位数量完成率</w:t>
            </w:r>
          </w:p>
        </w:tc>
        <w:tc>
          <w:tcPr>
            <w:tcW w:w="5386" w:type="dxa"/>
            <w:vAlign w:val="center"/>
          </w:tcPr>
          <w:p>
            <w:pPr>
              <w:pStyle w:val="13"/>
            </w:pPr>
            <w:r>
              <w:t>反映为26名退役士提供岗位就业数量的完成率的情况</w:t>
            </w:r>
          </w:p>
        </w:tc>
        <w:tc>
          <w:tcPr>
            <w:tcW w:w="2268" w:type="dxa"/>
            <w:vAlign w:val="center"/>
          </w:tcPr>
          <w:p>
            <w:pPr>
              <w:pStyle w:val="13"/>
            </w:pPr>
            <w:r>
              <w:t>100%</w:t>
            </w:r>
          </w:p>
        </w:tc>
        <w:tc>
          <w:tcPr>
            <w:tcW w:w="1276" w:type="dxa"/>
            <w:vAlign w:val="center"/>
          </w:tcPr>
          <w:p>
            <w:pPr>
              <w:pStyle w:val="13"/>
            </w:pPr>
            <w:r>
              <w:t>保定市徐水区人民政府专题会议纪要[2017]81号及《城区办退役士官再就业工作经费项目实施计划》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岗位提供及时率</w:t>
            </w:r>
          </w:p>
        </w:tc>
        <w:tc>
          <w:tcPr>
            <w:tcW w:w="5386" w:type="dxa"/>
            <w:vAlign w:val="center"/>
          </w:tcPr>
          <w:p>
            <w:pPr>
              <w:pStyle w:val="13"/>
            </w:pPr>
            <w:r>
              <w:t>反映为退役士官提供就业岗位的及时程度</w:t>
            </w:r>
          </w:p>
        </w:tc>
        <w:tc>
          <w:tcPr>
            <w:tcW w:w="2268" w:type="dxa"/>
            <w:vAlign w:val="center"/>
          </w:tcPr>
          <w:p>
            <w:pPr>
              <w:pStyle w:val="13"/>
            </w:pPr>
            <w:r>
              <w:t>100%</w:t>
            </w:r>
          </w:p>
        </w:tc>
        <w:tc>
          <w:tcPr>
            <w:tcW w:w="1276" w:type="dxa"/>
            <w:vAlign w:val="center"/>
          </w:tcPr>
          <w:p>
            <w:pPr>
              <w:pStyle w:val="13"/>
            </w:pPr>
            <w:r>
              <w:t>保定市徐水区人民政府专题会议纪要[2017]81号及《城区办退役士官再就业工作经费项目实施计划》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项目成本费用</w:t>
            </w:r>
          </w:p>
        </w:tc>
        <w:tc>
          <w:tcPr>
            <w:tcW w:w="2268" w:type="dxa"/>
            <w:vAlign w:val="center"/>
          </w:tcPr>
          <w:p>
            <w:pPr>
              <w:pStyle w:val="13"/>
            </w:pPr>
            <w:r>
              <w:t>≤13.14万元</w:t>
            </w:r>
          </w:p>
        </w:tc>
        <w:tc>
          <w:tcPr>
            <w:tcW w:w="1276" w:type="dxa"/>
            <w:vAlign w:val="center"/>
          </w:tcPr>
          <w:p>
            <w:pPr>
              <w:pStyle w:val="13"/>
            </w:pPr>
            <w:r>
              <w:t>保定市徐水区人民政府专题会议纪要[2017]81号及《城区办退役士官再就业工作经费项目实施计划》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基本工作运转保障率</w:t>
            </w:r>
          </w:p>
        </w:tc>
        <w:tc>
          <w:tcPr>
            <w:tcW w:w="5386" w:type="dxa"/>
            <w:vAlign w:val="center"/>
          </w:tcPr>
          <w:p>
            <w:pPr>
              <w:pStyle w:val="13"/>
            </w:pPr>
            <w:r>
              <w:t>退役士官基本工作运转保障程度</w:t>
            </w:r>
          </w:p>
        </w:tc>
        <w:tc>
          <w:tcPr>
            <w:tcW w:w="2268" w:type="dxa"/>
            <w:vAlign w:val="center"/>
          </w:tcPr>
          <w:p>
            <w:pPr>
              <w:pStyle w:val="13"/>
            </w:pPr>
            <w:r>
              <w:t>≥80%</w:t>
            </w:r>
          </w:p>
        </w:tc>
        <w:tc>
          <w:tcPr>
            <w:tcW w:w="1276" w:type="dxa"/>
            <w:vAlign w:val="center"/>
          </w:tcPr>
          <w:p>
            <w:pPr>
              <w:pStyle w:val="13"/>
            </w:pPr>
            <w:r>
              <w:t>保定市徐水区人民政府专题会议纪要[2017]81号及《城区办退役士官再就业工作经费项目实施计划》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通过调查问卷调查服务对象满意度情况</w:t>
            </w:r>
          </w:p>
        </w:tc>
        <w:tc>
          <w:tcPr>
            <w:tcW w:w="2268" w:type="dxa"/>
            <w:vAlign w:val="center"/>
          </w:tcPr>
          <w:p>
            <w:pPr>
              <w:pStyle w:val="13"/>
            </w:pPr>
            <w:r>
              <w:t>≥90%</w:t>
            </w:r>
          </w:p>
        </w:tc>
        <w:tc>
          <w:tcPr>
            <w:tcW w:w="1276"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5、城区办退役士官再就业经费绩效目标表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13062524P00001510377T</w:t>
            </w:r>
          </w:p>
        </w:tc>
        <w:tc>
          <w:tcPr>
            <w:tcW w:w="2835" w:type="dxa"/>
            <w:vAlign w:val="center"/>
          </w:tcPr>
          <w:p>
            <w:pPr>
              <w:pStyle w:val="11"/>
            </w:pPr>
            <w:r>
              <w:t>项目名称</w:t>
            </w:r>
          </w:p>
        </w:tc>
        <w:tc>
          <w:tcPr>
            <w:tcW w:w="6094" w:type="dxa"/>
            <w:gridSpan w:val="3"/>
            <w:vAlign w:val="center"/>
          </w:tcPr>
          <w:p>
            <w:pPr>
              <w:pStyle w:val="13"/>
            </w:pPr>
            <w:r>
              <w:t>城区办退役士官再就业经费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326.19</w:t>
            </w:r>
          </w:p>
        </w:tc>
        <w:tc>
          <w:tcPr>
            <w:tcW w:w="2835" w:type="dxa"/>
            <w:vAlign w:val="center"/>
          </w:tcPr>
          <w:p>
            <w:pPr>
              <w:pStyle w:val="11"/>
            </w:pPr>
            <w:r>
              <w:t>其中：财政    资金</w:t>
            </w:r>
          </w:p>
        </w:tc>
        <w:tc>
          <w:tcPr>
            <w:tcW w:w="2551" w:type="dxa"/>
            <w:vAlign w:val="center"/>
          </w:tcPr>
          <w:p>
            <w:pPr>
              <w:pStyle w:val="13"/>
            </w:pPr>
            <w:r>
              <w:t>326.19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解决退役士官军人遗留问题，帮助安排上岗，保障基本生活。</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1.解决退役士官军人遗留问题，帮助安排上岗，保障基本生活。</w:t>
            </w:r>
            <w:r>
              <w:tab/>
            </w:r>
            <w:r>
              <w:tab/>
            </w:r>
            <w:r>
              <w:tab/>
            </w:r>
            <w:r>
              <w:tab/>
            </w:r>
            <w:r>
              <w:tab/>
            </w:r>
            <w:r>
              <w:tab/>
            </w:r>
          </w:p>
          <w:p>
            <w:pPr>
              <w:pStyle w:val="13"/>
            </w:pPr>
          </w:p>
          <w:p>
            <w:pPr>
              <w:pStyle w:val="13"/>
            </w:pPr>
            <w:r>
              <w:t>2.2024年完成为26名退役士官提供就业任务。</w:t>
            </w:r>
            <w:r>
              <w:tab/>
            </w:r>
            <w:r>
              <w:tab/>
            </w:r>
            <w:r>
              <w:tab/>
            </w:r>
            <w:r>
              <w:tab/>
            </w:r>
            <w:r>
              <w:tab/>
            </w:r>
            <w:r>
              <w:tab/>
            </w:r>
          </w:p>
          <w:p>
            <w:pPr>
              <w:pStyle w:val="13"/>
            </w:pPr>
          </w:p>
          <w:p>
            <w:pPr>
              <w:pStyle w:val="13"/>
            </w:pPr>
            <w:r>
              <w:t>3.按照每年326.1937万元的成本对26名退役士官发放工资及保险等资金，保障退役士官满意度情况不低于90%。</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就业岗位提供数</w:t>
            </w:r>
          </w:p>
        </w:tc>
        <w:tc>
          <w:tcPr>
            <w:tcW w:w="5386" w:type="dxa"/>
            <w:vAlign w:val="center"/>
          </w:tcPr>
          <w:p>
            <w:pPr>
              <w:pStyle w:val="13"/>
            </w:pPr>
            <w:r>
              <w:t>反映为退役士官提供就业岗位数量情况</w:t>
            </w:r>
          </w:p>
        </w:tc>
        <w:tc>
          <w:tcPr>
            <w:tcW w:w="2268" w:type="dxa"/>
            <w:vAlign w:val="center"/>
          </w:tcPr>
          <w:p>
            <w:pPr>
              <w:pStyle w:val="13"/>
            </w:pPr>
            <w:r>
              <w:t>26个</w:t>
            </w:r>
          </w:p>
        </w:tc>
        <w:tc>
          <w:tcPr>
            <w:tcW w:w="1276" w:type="dxa"/>
            <w:vAlign w:val="center"/>
          </w:tcPr>
          <w:p>
            <w:pPr>
              <w:pStyle w:val="13"/>
            </w:pPr>
            <w:r>
              <w:t>保定市徐水区人民政府专题会议纪要[2017]81号及《城区办退役士官再就业经费项目实施计划》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保障提供就业岗位数量完成率</w:t>
            </w:r>
          </w:p>
        </w:tc>
        <w:tc>
          <w:tcPr>
            <w:tcW w:w="5386" w:type="dxa"/>
            <w:vAlign w:val="center"/>
          </w:tcPr>
          <w:p>
            <w:pPr>
              <w:pStyle w:val="13"/>
            </w:pPr>
            <w:r>
              <w:t>反映为26名退役士提供岗位就业数量的完成率的情况</w:t>
            </w:r>
          </w:p>
        </w:tc>
        <w:tc>
          <w:tcPr>
            <w:tcW w:w="2268" w:type="dxa"/>
            <w:vAlign w:val="center"/>
          </w:tcPr>
          <w:p>
            <w:pPr>
              <w:pStyle w:val="13"/>
            </w:pPr>
            <w:r>
              <w:t>100%</w:t>
            </w:r>
          </w:p>
        </w:tc>
        <w:tc>
          <w:tcPr>
            <w:tcW w:w="1276" w:type="dxa"/>
            <w:vAlign w:val="center"/>
          </w:tcPr>
          <w:p>
            <w:pPr>
              <w:pStyle w:val="13"/>
            </w:pPr>
            <w:r>
              <w:t>保定市徐水区人民政府专题会议纪要[2017]81号及《城区办退役士官再就业经费项目实施计划》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岗位提供及时率</w:t>
            </w:r>
          </w:p>
        </w:tc>
        <w:tc>
          <w:tcPr>
            <w:tcW w:w="5386" w:type="dxa"/>
            <w:vAlign w:val="center"/>
          </w:tcPr>
          <w:p>
            <w:pPr>
              <w:pStyle w:val="13"/>
            </w:pPr>
            <w:r>
              <w:t>反映为退役士官提供就业岗位的及时程度</w:t>
            </w:r>
          </w:p>
        </w:tc>
        <w:tc>
          <w:tcPr>
            <w:tcW w:w="2268" w:type="dxa"/>
            <w:vAlign w:val="center"/>
          </w:tcPr>
          <w:p>
            <w:pPr>
              <w:pStyle w:val="13"/>
            </w:pPr>
            <w:r>
              <w:t>100%</w:t>
            </w:r>
          </w:p>
        </w:tc>
        <w:tc>
          <w:tcPr>
            <w:tcW w:w="1276" w:type="dxa"/>
            <w:vAlign w:val="center"/>
          </w:tcPr>
          <w:p>
            <w:pPr>
              <w:pStyle w:val="13"/>
            </w:pPr>
            <w:r>
              <w:t>保定市徐水区人民政府专题会议纪要[2017]81号及《城区办退役士官再就业经费项目实施计划》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项目成本费用</w:t>
            </w:r>
          </w:p>
        </w:tc>
        <w:tc>
          <w:tcPr>
            <w:tcW w:w="2268" w:type="dxa"/>
            <w:vAlign w:val="center"/>
          </w:tcPr>
          <w:p>
            <w:pPr>
              <w:pStyle w:val="13"/>
            </w:pPr>
            <w:r>
              <w:t>≤326.19万元</w:t>
            </w:r>
          </w:p>
        </w:tc>
        <w:tc>
          <w:tcPr>
            <w:tcW w:w="1276" w:type="dxa"/>
            <w:vAlign w:val="center"/>
          </w:tcPr>
          <w:p>
            <w:pPr>
              <w:pStyle w:val="13"/>
            </w:pPr>
            <w:r>
              <w:t>保定市徐水区人民政府专题会议纪要[2017]81号及《城区办退役士官再就业经费项目实施计划》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基本生活保障率</w:t>
            </w:r>
          </w:p>
        </w:tc>
        <w:tc>
          <w:tcPr>
            <w:tcW w:w="5386" w:type="dxa"/>
            <w:vAlign w:val="center"/>
          </w:tcPr>
          <w:p>
            <w:pPr>
              <w:pStyle w:val="13"/>
            </w:pPr>
            <w:r>
              <w:t>退役士官基本生活水平保障程度</w:t>
            </w:r>
          </w:p>
        </w:tc>
        <w:tc>
          <w:tcPr>
            <w:tcW w:w="2268" w:type="dxa"/>
            <w:vAlign w:val="center"/>
          </w:tcPr>
          <w:p>
            <w:pPr>
              <w:pStyle w:val="13"/>
            </w:pPr>
            <w:r>
              <w:t>≥80%</w:t>
            </w:r>
          </w:p>
        </w:tc>
        <w:tc>
          <w:tcPr>
            <w:tcW w:w="1276" w:type="dxa"/>
            <w:vAlign w:val="center"/>
          </w:tcPr>
          <w:p>
            <w:pPr>
              <w:pStyle w:val="13"/>
            </w:pPr>
            <w:r>
              <w:t>保定市徐水区人民政府专题会议纪要[2017]81号及《城区办退役士官再就业经费项目实施计划》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服务对象满意度情况</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6、地震群测群防岗位津贴绩效目标表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13062524P00001510572B</w:t>
            </w:r>
          </w:p>
        </w:tc>
        <w:tc>
          <w:tcPr>
            <w:tcW w:w="2835" w:type="dxa"/>
            <w:vAlign w:val="center"/>
          </w:tcPr>
          <w:p>
            <w:pPr>
              <w:pStyle w:val="11"/>
            </w:pPr>
            <w:r>
              <w:t>项目名称</w:t>
            </w:r>
          </w:p>
        </w:tc>
        <w:tc>
          <w:tcPr>
            <w:tcW w:w="6094" w:type="dxa"/>
            <w:gridSpan w:val="3"/>
            <w:vAlign w:val="center"/>
          </w:tcPr>
          <w:p>
            <w:pPr>
              <w:pStyle w:val="13"/>
            </w:pPr>
            <w:r>
              <w:t>地震群测群防岗位津贴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0.42</w:t>
            </w:r>
          </w:p>
        </w:tc>
        <w:tc>
          <w:tcPr>
            <w:tcW w:w="2835" w:type="dxa"/>
            <w:vAlign w:val="center"/>
          </w:tcPr>
          <w:p>
            <w:pPr>
              <w:pStyle w:val="11"/>
            </w:pPr>
            <w:r>
              <w:t>其中：财政    资金</w:t>
            </w:r>
          </w:p>
        </w:tc>
        <w:tc>
          <w:tcPr>
            <w:tcW w:w="2551" w:type="dxa"/>
            <w:vAlign w:val="center"/>
          </w:tcPr>
          <w:p>
            <w:pPr>
              <w:pStyle w:val="13"/>
            </w:pPr>
            <w:r>
              <w:t>0.42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通过项目实施，维持地震群测群防队伍的稳定。有效降低地震灾害造成的人身及财产损失。该项目主要用于补助地震群测群防队伍。</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1.通过项目实施，维持地震群测群防队伍的稳定。有效降低地震灾害造成的人身及财产损失。该项目主要用于补助地震群测群防队伍。</w:t>
            </w:r>
            <w:r>
              <w:tab/>
            </w:r>
            <w:r>
              <w:tab/>
            </w:r>
            <w:r>
              <w:tab/>
            </w:r>
            <w:r>
              <w:tab/>
            </w:r>
            <w:r>
              <w:tab/>
            </w:r>
            <w:r>
              <w:tab/>
            </w:r>
          </w:p>
          <w:p>
            <w:pPr>
              <w:pStyle w:val="13"/>
            </w:pPr>
          </w:p>
          <w:p>
            <w:pPr>
              <w:pStyle w:val="13"/>
            </w:pPr>
            <w:r>
              <w:t>2.此项经费共计0.42万元，用于发放1名地震台站长及22名助理员津贴，由城区办按季度支付。</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享受津贴人数</w:t>
            </w:r>
          </w:p>
        </w:tc>
        <w:tc>
          <w:tcPr>
            <w:tcW w:w="5386" w:type="dxa"/>
            <w:vAlign w:val="center"/>
          </w:tcPr>
          <w:p>
            <w:pPr>
              <w:pStyle w:val="13"/>
            </w:pPr>
            <w:r>
              <w:t>享受地震群测群防津贴人数</w:t>
            </w:r>
          </w:p>
        </w:tc>
        <w:tc>
          <w:tcPr>
            <w:tcW w:w="2268" w:type="dxa"/>
            <w:vAlign w:val="center"/>
          </w:tcPr>
          <w:p>
            <w:pPr>
              <w:pStyle w:val="13"/>
            </w:pPr>
            <w:r>
              <w:t>23人</w:t>
            </w:r>
          </w:p>
        </w:tc>
        <w:tc>
          <w:tcPr>
            <w:tcW w:w="1276" w:type="dxa"/>
            <w:vAlign w:val="center"/>
          </w:tcPr>
          <w:p>
            <w:pPr>
              <w:pStyle w:val="13"/>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地震群测群防补贴发放准确率</w:t>
            </w:r>
          </w:p>
        </w:tc>
        <w:tc>
          <w:tcPr>
            <w:tcW w:w="2268" w:type="dxa"/>
            <w:vAlign w:val="center"/>
          </w:tcPr>
          <w:p>
            <w:pPr>
              <w:pStyle w:val="13"/>
            </w:pPr>
            <w:r>
              <w:t>≥95%</w:t>
            </w:r>
          </w:p>
        </w:tc>
        <w:tc>
          <w:tcPr>
            <w:tcW w:w="1276" w:type="dxa"/>
            <w:vAlign w:val="center"/>
          </w:tcPr>
          <w:p>
            <w:pPr>
              <w:pStyle w:val="13"/>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补贴发放及时率</w:t>
            </w:r>
          </w:p>
        </w:tc>
        <w:tc>
          <w:tcPr>
            <w:tcW w:w="5386" w:type="dxa"/>
            <w:vAlign w:val="center"/>
          </w:tcPr>
          <w:p>
            <w:pPr>
              <w:pStyle w:val="13"/>
            </w:pPr>
            <w:r>
              <w:t>地震群测群防补贴发放及时率</w:t>
            </w:r>
          </w:p>
        </w:tc>
        <w:tc>
          <w:tcPr>
            <w:tcW w:w="2268" w:type="dxa"/>
            <w:vAlign w:val="center"/>
          </w:tcPr>
          <w:p>
            <w:pPr>
              <w:pStyle w:val="13"/>
            </w:pPr>
            <w:r>
              <w:t>≥95%</w:t>
            </w:r>
          </w:p>
        </w:tc>
        <w:tc>
          <w:tcPr>
            <w:tcW w:w="1276" w:type="dxa"/>
            <w:vAlign w:val="center"/>
          </w:tcPr>
          <w:p>
            <w:pPr>
              <w:pStyle w:val="13"/>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项目支出控制在预算范围内</w:t>
            </w:r>
          </w:p>
        </w:tc>
        <w:tc>
          <w:tcPr>
            <w:tcW w:w="2268" w:type="dxa"/>
            <w:vAlign w:val="center"/>
          </w:tcPr>
          <w:p>
            <w:pPr>
              <w:pStyle w:val="13"/>
            </w:pPr>
            <w:r>
              <w:t>≤4200元</w:t>
            </w:r>
          </w:p>
        </w:tc>
        <w:tc>
          <w:tcPr>
            <w:tcW w:w="1276" w:type="dxa"/>
            <w:vAlign w:val="center"/>
          </w:tcPr>
          <w:p>
            <w:pPr>
              <w:pStyle w:val="13"/>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地震群测群防队伍稳定率</w:t>
            </w:r>
          </w:p>
        </w:tc>
        <w:tc>
          <w:tcPr>
            <w:tcW w:w="5386" w:type="dxa"/>
            <w:vAlign w:val="center"/>
          </w:tcPr>
          <w:p>
            <w:pPr>
              <w:pStyle w:val="13"/>
            </w:pPr>
            <w:r>
              <w:t>地震群测群防队伍人员稳定率</w:t>
            </w:r>
          </w:p>
        </w:tc>
        <w:tc>
          <w:tcPr>
            <w:tcW w:w="2268" w:type="dxa"/>
            <w:vAlign w:val="center"/>
          </w:tcPr>
          <w:p>
            <w:pPr>
              <w:pStyle w:val="13"/>
            </w:pPr>
            <w:r>
              <w:t>≥95%</w:t>
            </w:r>
          </w:p>
        </w:tc>
        <w:tc>
          <w:tcPr>
            <w:tcW w:w="1276" w:type="dxa"/>
            <w:vAlign w:val="center"/>
          </w:tcPr>
          <w:p>
            <w:pPr>
              <w:pStyle w:val="13"/>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地震群测群防人员满意度</w:t>
            </w:r>
          </w:p>
        </w:tc>
        <w:tc>
          <w:tcPr>
            <w:tcW w:w="5386" w:type="dxa"/>
            <w:vAlign w:val="center"/>
          </w:tcPr>
          <w:p>
            <w:pPr>
              <w:pStyle w:val="13"/>
            </w:pPr>
            <w:r>
              <w:t>地震群测群防人员对发放津贴情况满意度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7、楼院长补贴绩效目标表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13062524P000015103811</w:t>
            </w:r>
          </w:p>
        </w:tc>
        <w:tc>
          <w:tcPr>
            <w:tcW w:w="2835" w:type="dxa"/>
            <w:vAlign w:val="center"/>
          </w:tcPr>
          <w:p>
            <w:pPr>
              <w:pStyle w:val="11"/>
            </w:pPr>
            <w:r>
              <w:t>项目名称</w:t>
            </w:r>
          </w:p>
        </w:tc>
        <w:tc>
          <w:tcPr>
            <w:tcW w:w="6094" w:type="dxa"/>
            <w:gridSpan w:val="3"/>
            <w:vAlign w:val="center"/>
          </w:tcPr>
          <w:p>
            <w:pPr>
              <w:pStyle w:val="13"/>
            </w:pPr>
            <w:r>
              <w:t>楼院长补贴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38.83</w:t>
            </w:r>
          </w:p>
        </w:tc>
        <w:tc>
          <w:tcPr>
            <w:tcW w:w="2835" w:type="dxa"/>
            <w:vAlign w:val="center"/>
          </w:tcPr>
          <w:p>
            <w:pPr>
              <w:pStyle w:val="11"/>
            </w:pPr>
            <w:r>
              <w:t>其中：财政    资金</w:t>
            </w:r>
          </w:p>
        </w:tc>
        <w:tc>
          <w:tcPr>
            <w:tcW w:w="2551" w:type="dxa"/>
            <w:vAlign w:val="center"/>
          </w:tcPr>
          <w:p>
            <w:pPr>
              <w:pStyle w:val="13"/>
            </w:pPr>
            <w:r>
              <w:t>38.83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按照相对集中，便于管理的原则，每50户左右配备一名楼院长，形成严密的社区管理网络。</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1.按照相对集中，便于管理的原则，每50户左右配备一名楼院长，形成严密的社区管理网络。</w:t>
            </w:r>
            <w:r>
              <w:tab/>
            </w:r>
            <w:r>
              <w:tab/>
            </w:r>
            <w:r>
              <w:tab/>
            </w:r>
            <w:r>
              <w:tab/>
            </w:r>
            <w:r>
              <w:tab/>
            </w:r>
            <w:r>
              <w:tab/>
            </w:r>
          </w:p>
          <w:p>
            <w:pPr>
              <w:pStyle w:val="13"/>
            </w:pPr>
          </w:p>
          <w:p>
            <w:pPr>
              <w:pStyle w:val="13"/>
            </w:pPr>
            <w:r>
              <w:t>2.楼院长共计809人完成当年楼院长补贴发放任务</w:t>
            </w:r>
            <w:r>
              <w:tab/>
            </w:r>
            <w:r>
              <w:tab/>
            </w:r>
            <w:r>
              <w:tab/>
            </w:r>
            <w:r>
              <w:tab/>
            </w:r>
            <w:r>
              <w:tab/>
            </w:r>
            <w:r>
              <w:tab/>
            </w:r>
          </w:p>
          <w:p>
            <w:pPr>
              <w:pStyle w:val="13"/>
            </w:pPr>
          </w:p>
          <w:p>
            <w:pPr>
              <w:pStyle w:val="13"/>
            </w:pPr>
            <w:r>
              <w:t>3.按照月人均40元的标准为809名楼院长补贴，按季度发放，保障发放及时率。</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补贴发放人数</w:t>
            </w:r>
          </w:p>
        </w:tc>
        <w:tc>
          <w:tcPr>
            <w:tcW w:w="5386" w:type="dxa"/>
            <w:vAlign w:val="center"/>
          </w:tcPr>
          <w:p>
            <w:pPr>
              <w:pStyle w:val="13"/>
            </w:pPr>
            <w:r>
              <w:t>楼院长补贴发放人数</w:t>
            </w:r>
          </w:p>
        </w:tc>
        <w:tc>
          <w:tcPr>
            <w:tcW w:w="2268" w:type="dxa"/>
            <w:vAlign w:val="center"/>
          </w:tcPr>
          <w:p>
            <w:pPr>
              <w:pStyle w:val="13"/>
            </w:pPr>
            <w:r>
              <w:t>809人</w:t>
            </w:r>
          </w:p>
        </w:tc>
        <w:tc>
          <w:tcPr>
            <w:tcW w:w="1276" w:type="dxa"/>
            <w:vAlign w:val="center"/>
          </w:tcPr>
          <w:p>
            <w:pPr>
              <w:pStyle w:val="13"/>
            </w:pPr>
            <w:r>
              <w:t>根据《关于加强社区工作者队伍建设的意见》徐发[2008]21号及《楼院长补贴项目实施计划》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楼院长补贴发放准确率</w:t>
            </w:r>
          </w:p>
        </w:tc>
        <w:tc>
          <w:tcPr>
            <w:tcW w:w="2268" w:type="dxa"/>
            <w:vAlign w:val="center"/>
          </w:tcPr>
          <w:p>
            <w:pPr>
              <w:pStyle w:val="13"/>
            </w:pPr>
            <w:r>
              <w:t>100%</w:t>
            </w:r>
          </w:p>
        </w:tc>
        <w:tc>
          <w:tcPr>
            <w:tcW w:w="1276" w:type="dxa"/>
            <w:vAlign w:val="center"/>
          </w:tcPr>
          <w:p>
            <w:pPr>
              <w:pStyle w:val="13"/>
            </w:pPr>
            <w:r>
              <w:t>根据《关于加强社区工作者队伍建设的意见》徐发[2008]21号及《楼院长补贴项目实施计划》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补贴发放及时率</w:t>
            </w:r>
          </w:p>
        </w:tc>
        <w:tc>
          <w:tcPr>
            <w:tcW w:w="5386" w:type="dxa"/>
            <w:vAlign w:val="center"/>
          </w:tcPr>
          <w:p>
            <w:pPr>
              <w:pStyle w:val="13"/>
            </w:pPr>
            <w:r>
              <w:t>楼院长补贴每季度发放及时率</w:t>
            </w:r>
          </w:p>
        </w:tc>
        <w:tc>
          <w:tcPr>
            <w:tcW w:w="2268" w:type="dxa"/>
            <w:vAlign w:val="center"/>
          </w:tcPr>
          <w:p>
            <w:pPr>
              <w:pStyle w:val="13"/>
            </w:pPr>
            <w:r>
              <w:t>100%</w:t>
            </w:r>
          </w:p>
        </w:tc>
        <w:tc>
          <w:tcPr>
            <w:tcW w:w="1276" w:type="dxa"/>
            <w:vAlign w:val="center"/>
          </w:tcPr>
          <w:p>
            <w:pPr>
              <w:pStyle w:val="13"/>
            </w:pPr>
            <w:r>
              <w:t>根据《关于加强社区工作者队伍建设的意见》徐发[2008]21号及《楼院长补贴项目实施计划》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补贴发放人均标准</w:t>
            </w:r>
          </w:p>
        </w:tc>
        <w:tc>
          <w:tcPr>
            <w:tcW w:w="5386" w:type="dxa"/>
            <w:vAlign w:val="center"/>
          </w:tcPr>
          <w:p>
            <w:pPr>
              <w:pStyle w:val="13"/>
            </w:pPr>
            <w:r>
              <w:t>按标准发放补贴月人均</w:t>
            </w:r>
          </w:p>
        </w:tc>
        <w:tc>
          <w:tcPr>
            <w:tcW w:w="2268" w:type="dxa"/>
            <w:vAlign w:val="center"/>
          </w:tcPr>
          <w:p>
            <w:pPr>
              <w:pStyle w:val="13"/>
            </w:pPr>
            <w:r>
              <w:t>40元</w:t>
            </w:r>
          </w:p>
        </w:tc>
        <w:tc>
          <w:tcPr>
            <w:tcW w:w="1276" w:type="dxa"/>
            <w:vAlign w:val="center"/>
          </w:tcPr>
          <w:p>
            <w:pPr>
              <w:pStyle w:val="13"/>
            </w:pPr>
            <w:r>
              <w:t>根据《关于加强社区工作者队伍建设的意见》徐发[2008]21号及《楼院长补贴项目实施计划》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社区治理水平提高率</w:t>
            </w:r>
          </w:p>
        </w:tc>
        <w:tc>
          <w:tcPr>
            <w:tcW w:w="5386" w:type="dxa"/>
            <w:vAlign w:val="center"/>
          </w:tcPr>
          <w:p>
            <w:pPr>
              <w:pStyle w:val="13"/>
            </w:pPr>
            <w:r>
              <w:t>发放楼院长补贴对社区治理水平提高</w:t>
            </w:r>
          </w:p>
        </w:tc>
        <w:tc>
          <w:tcPr>
            <w:tcW w:w="2268" w:type="dxa"/>
            <w:vAlign w:val="center"/>
          </w:tcPr>
          <w:p>
            <w:pPr>
              <w:pStyle w:val="13"/>
            </w:pPr>
            <w:r>
              <w:t>≥80%</w:t>
            </w:r>
          </w:p>
        </w:tc>
        <w:tc>
          <w:tcPr>
            <w:tcW w:w="1276" w:type="dxa"/>
            <w:vAlign w:val="center"/>
          </w:tcPr>
          <w:p>
            <w:pPr>
              <w:pStyle w:val="13"/>
            </w:pPr>
            <w:r>
              <w:t>根据《关于加强社区工作者队伍建设的意见》徐发[2008]21号及《楼院长补贴项目实施计划》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服务对象满意程度</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8、团委综合事务管理经费绩效目标表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13062524P00001510375K</w:t>
            </w:r>
          </w:p>
        </w:tc>
        <w:tc>
          <w:tcPr>
            <w:tcW w:w="2835" w:type="dxa"/>
            <w:vAlign w:val="center"/>
          </w:tcPr>
          <w:p>
            <w:pPr>
              <w:pStyle w:val="11"/>
            </w:pPr>
            <w:r>
              <w:t>项目名称</w:t>
            </w:r>
          </w:p>
        </w:tc>
        <w:tc>
          <w:tcPr>
            <w:tcW w:w="6094" w:type="dxa"/>
            <w:gridSpan w:val="3"/>
            <w:vAlign w:val="center"/>
          </w:tcPr>
          <w:p>
            <w:pPr>
              <w:pStyle w:val="13"/>
            </w:pPr>
            <w:r>
              <w:t>团委综合事务管理经费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主要用于团委综合事务管理，促进团委工作创新改革，团委吸引力凝聚力得到加强，团委综合事务管理提高。</w:t>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1.主要用于团委综合事务管理，促进团委工作创新改革，团委吸引力凝聚力得到加强，团委综合事务管理提高。</w:t>
            </w:r>
            <w:r>
              <w:tab/>
            </w:r>
            <w:r>
              <w:tab/>
            </w:r>
            <w:r>
              <w:tab/>
            </w:r>
            <w:r>
              <w:tab/>
            </w:r>
            <w:r>
              <w:tab/>
            </w:r>
            <w:r>
              <w:tab/>
            </w:r>
          </w:p>
          <w:p>
            <w:pPr>
              <w:pStyle w:val="13"/>
            </w:pPr>
          </w:p>
          <w:p>
            <w:pPr>
              <w:pStyle w:val="13"/>
            </w:pPr>
            <w:r>
              <w:t>2.组织开展团员活动不低于4次。</w:t>
            </w:r>
            <w:r>
              <w:tab/>
            </w:r>
            <w:r>
              <w:tab/>
            </w:r>
            <w:r>
              <w:tab/>
            </w:r>
            <w:r>
              <w:tab/>
            </w:r>
            <w:r>
              <w:tab/>
            </w:r>
            <w:r>
              <w:tab/>
            </w:r>
          </w:p>
          <w:p>
            <w:pPr>
              <w:pStyle w:val="13"/>
            </w:pPr>
          </w:p>
          <w:p>
            <w:pPr>
              <w:pStyle w:val="13"/>
            </w:pPr>
            <w:r>
              <w:t>3.控制开展活动总成本不高于2万元，提升团员入党意愿人数，较上年增加不低于10%。</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组织团员活动次数</w:t>
            </w:r>
          </w:p>
        </w:tc>
        <w:tc>
          <w:tcPr>
            <w:tcW w:w="5386" w:type="dxa"/>
            <w:vAlign w:val="center"/>
          </w:tcPr>
          <w:p>
            <w:pPr>
              <w:pStyle w:val="13"/>
            </w:pPr>
            <w:r>
              <w:t>全年组织开展团员活动次数</w:t>
            </w:r>
          </w:p>
        </w:tc>
        <w:tc>
          <w:tcPr>
            <w:tcW w:w="2268" w:type="dxa"/>
            <w:vAlign w:val="center"/>
          </w:tcPr>
          <w:p>
            <w:pPr>
              <w:pStyle w:val="13"/>
            </w:pPr>
            <w:r>
              <w:t>≥4次</w:t>
            </w:r>
          </w:p>
        </w:tc>
        <w:tc>
          <w:tcPr>
            <w:tcW w:w="1276" w:type="dxa"/>
            <w:vAlign w:val="center"/>
          </w:tcPr>
          <w:p>
            <w:pPr>
              <w:pStyle w:val="13"/>
            </w:pPr>
            <w:r>
              <w:t>徐办发[2018]3号及《团委综合事务管理经费项目实施计划》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团委工作考核通过率</w:t>
            </w:r>
          </w:p>
        </w:tc>
        <w:tc>
          <w:tcPr>
            <w:tcW w:w="5386" w:type="dxa"/>
            <w:vAlign w:val="center"/>
          </w:tcPr>
          <w:p>
            <w:pPr>
              <w:pStyle w:val="13"/>
            </w:pPr>
            <w:r>
              <w:t>各项团委工作是否通过考核</w:t>
            </w:r>
          </w:p>
        </w:tc>
        <w:tc>
          <w:tcPr>
            <w:tcW w:w="2268" w:type="dxa"/>
            <w:vAlign w:val="center"/>
          </w:tcPr>
          <w:p>
            <w:pPr>
              <w:pStyle w:val="13"/>
            </w:pPr>
            <w:r>
              <w:t>≥90%</w:t>
            </w:r>
          </w:p>
        </w:tc>
        <w:tc>
          <w:tcPr>
            <w:tcW w:w="1276" w:type="dxa"/>
            <w:vAlign w:val="center"/>
          </w:tcPr>
          <w:p>
            <w:pPr>
              <w:pStyle w:val="13"/>
            </w:pPr>
            <w:r>
              <w:t>徐办发[2018]3号及《团委综合事务管理经费项目实施计划》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团委工作完成及时率</w:t>
            </w:r>
          </w:p>
        </w:tc>
        <w:tc>
          <w:tcPr>
            <w:tcW w:w="5386" w:type="dxa"/>
            <w:vAlign w:val="center"/>
          </w:tcPr>
          <w:p>
            <w:pPr>
              <w:pStyle w:val="13"/>
            </w:pPr>
            <w:r>
              <w:t>各项团委工作及时完成情况</w:t>
            </w:r>
          </w:p>
        </w:tc>
        <w:tc>
          <w:tcPr>
            <w:tcW w:w="2268" w:type="dxa"/>
            <w:vAlign w:val="center"/>
          </w:tcPr>
          <w:p>
            <w:pPr>
              <w:pStyle w:val="13"/>
            </w:pPr>
            <w:r>
              <w:t>≥90%</w:t>
            </w:r>
          </w:p>
        </w:tc>
        <w:tc>
          <w:tcPr>
            <w:tcW w:w="1276" w:type="dxa"/>
            <w:vAlign w:val="center"/>
          </w:tcPr>
          <w:p>
            <w:pPr>
              <w:pStyle w:val="13"/>
            </w:pPr>
            <w:r>
              <w:t>徐办发[2018]3号及《团委综合事务管理经费项目实施计划》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项目支出控制在预算范围内</w:t>
            </w:r>
          </w:p>
        </w:tc>
        <w:tc>
          <w:tcPr>
            <w:tcW w:w="2268" w:type="dxa"/>
            <w:vAlign w:val="center"/>
          </w:tcPr>
          <w:p>
            <w:pPr>
              <w:pStyle w:val="13"/>
            </w:pPr>
            <w:r>
              <w:t>≤2万元</w:t>
            </w:r>
          </w:p>
        </w:tc>
        <w:tc>
          <w:tcPr>
            <w:tcW w:w="1276" w:type="dxa"/>
            <w:vAlign w:val="center"/>
          </w:tcPr>
          <w:p>
            <w:pPr>
              <w:pStyle w:val="13"/>
            </w:pPr>
            <w:r>
              <w:t>徐办发[2018]3号及《团委综合事务管理经费项目实施计划》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团员入党积极性提升率</w:t>
            </w:r>
          </w:p>
        </w:tc>
        <w:tc>
          <w:tcPr>
            <w:tcW w:w="5386" w:type="dxa"/>
            <w:vAlign w:val="center"/>
          </w:tcPr>
          <w:p>
            <w:pPr>
              <w:pStyle w:val="13"/>
            </w:pPr>
            <w:r>
              <w:t>通过调查有入党意愿团员人数较上一年度的提升比例</w:t>
            </w:r>
          </w:p>
        </w:tc>
        <w:tc>
          <w:tcPr>
            <w:tcW w:w="2268" w:type="dxa"/>
            <w:vAlign w:val="center"/>
          </w:tcPr>
          <w:p>
            <w:pPr>
              <w:pStyle w:val="13"/>
            </w:pPr>
            <w:r>
              <w:t>≥10%</w:t>
            </w:r>
          </w:p>
        </w:tc>
        <w:tc>
          <w:tcPr>
            <w:tcW w:w="1276" w:type="dxa"/>
            <w:vAlign w:val="center"/>
          </w:tcPr>
          <w:p>
            <w:pPr>
              <w:pStyle w:val="13"/>
            </w:pPr>
            <w:r>
              <w:t>徐办发[2018]3号及《团委综合事务管理经费项目实施计划》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服务对象满意程度</w:t>
            </w:r>
          </w:p>
        </w:tc>
        <w:tc>
          <w:tcPr>
            <w:tcW w:w="5386" w:type="dxa"/>
            <w:vAlign w:val="center"/>
          </w:tcPr>
          <w:p>
            <w:pPr>
              <w:pStyle w:val="13"/>
            </w:pPr>
            <w:r>
              <w:t>参加团委活动人员满意程度</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9、退役军人公益岗人员工资绩效目标表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13062524P00001510800W</w:t>
            </w:r>
          </w:p>
        </w:tc>
        <w:tc>
          <w:tcPr>
            <w:tcW w:w="2835" w:type="dxa"/>
            <w:vAlign w:val="center"/>
          </w:tcPr>
          <w:p>
            <w:pPr>
              <w:pStyle w:val="11"/>
            </w:pPr>
            <w:r>
              <w:t>项目名称</w:t>
            </w:r>
          </w:p>
        </w:tc>
        <w:tc>
          <w:tcPr>
            <w:tcW w:w="6094" w:type="dxa"/>
            <w:gridSpan w:val="3"/>
            <w:vAlign w:val="center"/>
          </w:tcPr>
          <w:p>
            <w:pPr>
              <w:pStyle w:val="13"/>
            </w:pPr>
            <w:r>
              <w:t>退役军人公益岗人员工资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13.02</w:t>
            </w:r>
          </w:p>
        </w:tc>
        <w:tc>
          <w:tcPr>
            <w:tcW w:w="2835" w:type="dxa"/>
            <w:vAlign w:val="center"/>
          </w:tcPr>
          <w:p>
            <w:pPr>
              <w:pStyle w:val="11"/>
            </w:pPr>
            <w:r>
              <w:t>其中：财政    资金</w:t>
            </w:r>
          </w:p>
        </w:tc>
        <w:tc>
          <w:tcPr>
            <w:tcW w:w="2551" w:type="dxa"/>
            <w:vAlign w:val="center"/>
          </w:tcPr>
          <w:p>
            <w:pPr>
              <w:pStyle w:val="13"/>
            </w:pPr>
            <w:r>
              <w:t>13.02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确保全区稳定，保障退役军人专岗人员更好发挥作用。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74%</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1.确保全区稳定，保障退役军人专岗人员更好发挥作用。</w:t>
            </w:r>
            <w:r>
              <w:tab/>
            </w:r>
            <w:r>
              <w:tab/>
            </w:r>
            <w:r>
              <w:tab/>
            </w:r>
            <w:r>
              <w:tab/>
            </w:r>
            <w:r>
              <w:tab/>
            </w:r>
            <w:r>
              <w:tab/>
            </w:r>
          </w:p>
          <w:p>
            <w:pPr>
              <w:pStyle w:val="13"/>
            </w:pPr>
          </w:p>
          <w:p>
            <w:pPr>
              <w:pStyle w:val="13"/>
            </w:pPr>
            <w:r>
              <w:t>2.项目资金13.02万元，发放人数4人。由我单位具体组织实施。</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公益岗人数</w:t>
            </w:r>
          </w:p>
        </w:tc>
        <w:tc>
          <w:tcPr>
            <w:tcW w:w="5386" w:type="dxa"/>
            <w:vAlign w:val="center"/>
          </w:tcPr>
          <w:p>
            <w:pPr>
              <w:pStyle w:val="13"/>
            </w:pPr>
            <w:r>
              <w:t>公益岗人数</w:t>
            </w:r>
          </w:p>
        </w:tc>
        <w:tc>
          <w:tcPr>
            <w:tcW w:w="2268" w:type="dxa"/>
            <w:vAlign w:val="center"/>
          </w:tcPr>
          <w:p>
            <w:pPr>
              <w:pStyle w:val="13"/>
            </w:pPr>
            <w:r>
              <w:t>4人</w:t>
            </w:r>
          </w:p>
        </w:tc>
        <w:tc>
          <w:tcPr>
            <w:tcW w:w="1276" w:type="dxa"/>
            <w:vAlign w:val="center"/>
          </w:tcPr>
          <w:p>
            <w:pPr>
              <w:pStyle w:val="13"/>
            </w:pPr>
            <w:r>
              <w:t>2023年12月份人数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公益岗工资发放足额率</w:t>
            </w:r>
          </w:p>
        </w:tc>
        <w:tc>
          <w:tcPr>
            <w:tcW w:w="5386" w:type="dxa"/>
            <w:vAlign w:val="center"/>
          </w:tcPr>
          <w:p>
            <w:pPr>
              <w:pStyle w:val="13"/>
            </w:pPr>
            <w:r>
              <w:t>足额发放工资人数占全部人数比例</w:t>
            </w:r>
          </w:p>
        </w:tc>
        <w:tc>
          <w:tcPr>
            <w:tcW w:w="2268" w:type="dxa"/>
            <w:vAlign w:val="center"/>
          </w:tcPr>
          <w:p>
            <w:pPr>
              <w:pStyle w:val="13"/>
            </w:pPr>
            <w:r>
              <w:t>100%</w:t>
            </w:r>
          </w:p>
        </w:tc>
        <w:tc>
          <w:tcPr>
            <w:tcW w:w="1276" w:type="dxa"/>
            <w:vAlign w:val="center"/>
          </w:tcPr>
          <w:p>
            <w:pPr>
              <w:pStyle w:val="13"/>
            </w:pPr>
            <w:r>
              <w:t>保定市徐水区人民政府专题会议纪要[2017]29号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资金及时发放率</w:t>
            </w:r>
          </w:p>
        </w:tc>
        <w:tc>
          <w:tcPr>
            <w:tcW w:w="5386" w:type="dxa"/>
            <w:vAlign w:val="center"/>
          </w:tcPr>
          <w:p>
            <w:pPr>
              <w:pStyle w:val="13"/>
            </w:pPr>
            <w:r>
              <w:t>该笔资金投入后是否能够按照规定时间发放到位</w:t>
            </w:r>
          </w:p>
        </w:tc>
        <w:tc>
          <w:tcPr>
            <w:tcW w:w="2268" w:type="dxa"/>
            <w:vAlign w:val="center"/>
          </w:tcPr>
          <w:p>
            <w:pPr>
              <w:pStyle w:val="13"/>
            </w:pPr>
            <w:r>
              <w:t>100%</w:t>
            </w:r>
          </w:p>
        </w:tc>
        <w:tc>
          <w:tcPr>
            <w:tcW w:w="1276" w:type="dxa"/>
            <w:vAlign w:val="center"/>
          </w:tcPr>
          <w:p>
            <w:pPr>
              <w:pStyle w:val="13"/>
            </w:pPr>
            <w:r>
              <w:t>保定市徐水区人民政府专题会议纪要[2017]29号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项目支出金额</w:t>
            </w:r>
          </w:p>
        </w:tc>
        <w:tc>
          <w:tcPr>
            <w:tcW w:w="5386" w:type="dxa"/>
            <w:vAlign w:val="center"/>
          </w:tcPr>
          <w:p>
            <w:pPr>
              <w:pStyle w:val="13"/>
            </w:pPr>
            <w:r>
              <w:t>在预算金额内支付</w:t>
            </w:r>
          </w:p>
        </w:tc>
        <w:tc>
          <w:tcPr>
            <w:tcW w:w="2268" w:type="dxa"/>
            <w:vAlign w:val="center"/>
          </w:tcPr>
          <w:p>
            <w:pPr>
              <w:pStyle w:val="13"/>
            </w:pPr>
            <w:r>
              <w:t>≤13.02万元</w:t>
            </w:r>
          </w:p>
        </w:tc>
        <w:tc>
          <w:tcPr>
            <w:tcW w:w="1276" w:type="dxa"/>
            <w:vAlign w:val="center"/>
          </w:tcPr>
          <w:p>
            <w:pPr>
              <w:pStyle w:val="13"/>
            </w:pPr>
            <w:r>
              <w:t>保定市徐水区人民政府专题会议纪要[2017]29号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退役军人公益岗人员上访次数</w:t>
            </w:r>
          </w:p>
        </w:tc>
        <w:tc>
          <w:tcPr>
            <w:tcW w:w="5386" w:type="dxa"/>
            <w:vAlign w:val="center"/>
          </w:tcPr>
          <w:p>
            <w:pPr>
              <w:pStyle w:val="13"/>
            </w:pPr>
            <w:r>
              <w:t>项目相关的退役军人公益岗人员上访次数</w:t>
            </w:r>
          </w:p>
        </w:tc>
        <w:tc>
          <w:tcPr>
            <w:tcW w:w="2268" w:type="dxa"/>
            <w:vAlign w:val="center"/>
          </w:tcPr>
          <w:p>
            <w:pPr>
              <w:pStyle w:val="13"/>
            </w:pPr>
            <w:r>
              <w:t>≤2次</w:t>
            </w:r>
          </w:p>
        </w:tc>
        <w:tc>
          <w:tcPr>
            <w:tcW w:w="1276" w:type="dxa"/>
            <w:vAlign w:val="center"/>
          </w:tcPr>
          <w:p>
            <w:pPr>
              <w:pStyle w:val="13"/>
            </w:pPr>
            <w:r>
              <w:t>保定市徐水区人民政府专题会议纪要[2017]29号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退役军人公益岗人员满意度</w:t>
            </w:r>
          </w:p>
        </w:tc>
        <w:tc>
          <w:tcPr>
            <w:tcW w:w="5386" w:type="dxa"/>
            <w:vAlign w:val="center"/>
          </w:tcPr>
          <w:p>
            <w:pPr>
              <w:pStyle w:val="13"/>
            </w:pPr>
            <w:r>
              <w:t>项目相关的退役军人公益岗人员满意度</w:t>
            </w:r>
          </w:p>
        </w:tc>
        <w:tc>
          <w:tcPr>
            <w:tcW w:w="2268" w:type="dxa"/>
            <w:vAlign w:val="center"/>
          </w:tcPr>
          <w:p>
            <w:pPr>
              <w:pStyle w:val="13"/>
            </w:pPr>
            <w:r>
              <w:t>≥85%</w:t>
            </w:r>
          </w:p>
        </w:tc>
        <w:tc>
          <w:tcPr>
            <w:tcW w:w="1276"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10、退役军人专岗人员提高待遇资金绩效目标表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13062524P00001510798B</w:t>
            </w:r>
          </w:p>
        </w:tc>
        <w:tc>
          <w:tcPr>
            <w:tcW w:w="2835" w:type="dxa"/>
            <w:vAlign w:val="center"/>
          </w:tcPr>
          <w:p>
            <w:pPr>
              <w:pStyle w:val="11"/>
            </w:pPr>
            <w:r>
              <w:t>项目名称</w:t>
            </w:r>
          </w:p>
        </w:tc>
        <w:tc>
          <w:tcPr>
            <w:tcW w:w="6094" w:type="dxa"/>
            <w:gridSpan w:val="3"/>
            <w:vAlign w:val="center"/>
          </w:tcPr>
          <w:p>
            <w:pPr>
              <w:pStyle w:val="13"/>
            </w:pPr>
            <w:r>
              <w:t>退役军人专岗人员提高待遇资金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1.08</w:t>
            </w:r>
          </w:p>
        </w:tc>
        <w:tc>
          <w:tcPr>
            <w:tcW w:w="2835" w:type="dxa"/>
            <w:vAlign w:val="center"/>
          </w:tcPr>
          <w:p>
            <w:pPr>
              <w:pStyle w:val="11"/>
            </w:pPr>
            <w:r>
              <w:t>其中：财政    资金</w:t>
            </w:r>
          </w:p>
        </w:tc>
        <w:tc>
          <w:tcPr>
            <w:tcW w:w="2551" w:type="dxa"/>
            <w:vAlign w:val="center"/>
          </w:tcPr>
          <w:p>
            <w:pPr>
              <w:pStyle w:val="13"/>
            </w:pPr>
            <w:r>
              <w:t>1.08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确保全区稳定，保障退役军人专岗人员更好发挥作用。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74%</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1.确保全区稳定，保障退役军人专岗人员更好发挥作用。</w:t>
            </w:r>
            <w:r>
              <w:tab/>
            </w:r>
            <w:r>
              <w:tab/>
            </w:r>
            <w:r>
              <w:tab/>
            </w:r>
            <w:r>
              <w:tab/>
            </w:r>
            <w:r>
              <w:tab/>
            </w:r>
            <w:r>
              <w:tab/>
            </w:r>
          </w:p>
          <w:p>
            <w:pPr>
              <w:pStyle w:val="13"/>
            </w:pPr>
          </w:p>
          <w:p>
            <w:pPr>
              <w:pStyle w:val="13"/>
            </w:pPr>
            <w:r>
              <w:t>2.项目资金1.08万元，发放人数3人。由我单位具体组织实施。</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专岗人员人数</w:t>
            </w:r>
          </w:p>
        </w:tc>
        <w:tc>
          <w:tcPr>
            <w:tcW w:w="5386" w:type="dxa"/>
            <w:vAlign w:val="center"/>
          </w:tcPr>
          <w:p>
            <w:pPr>
              <w:pStyle w:val="13"/>
            </w:pPr>
            <w:r>
              <w:t>专岗人员人数</w:t>
            </w:r>
          </w:p>
        </w:tc>
        <w:tc>
          <w:tcPr>
            <w:tcW w:w="2268" w:type="dxa"/>
            <w:vAlign w:val="center"/>
          </w:tcPr>
          <w:p>
            <w:pPr>
              <w:pStyle w:val="13"/>
            </w:pPr>
            <w:r>
              <w:t>3人</w:t>
            </w:r>
          </w:p>
        </w:tc>
        <w:tc>
          <w:tcPr>
            <w:tcW w:w="1276" w:type="dxa"/>
            <w:vAlign w:val="center"/>
          </w:tcPr>
          <w:p>
            <w:pPr>
              <w:pStyle w:val="13"/>
            </w:pPr>
            <w:r>
              <w:t>2023年12月份人数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补贴发放足额率</w:t>
            </w:r>
          </w:p>
        </w:tc>
        <w:tc>
          <w:tcPr>
            <w:tcW w:w="5386" w:type="dxa"/>
            <w:vAlign w:val="center"/>
          </w:tcPr>
          <w:p>
            <w:pPr>
              <w:pStyle w:val="13"/>
            </w:pPr>
            <w:r>
              <w:t>足额发放补贴人数占全部人数比例</w:t>
            </w:r>
          </w:p>
        </w:tc>
        <w:tc>
          <w:tcPr>
            <w:tcW w:w="2268" w:type="dxa"/>
            <w:vAlign w:val="center"/>
          </w:tcPr>
          <w:p>
            <w:pPr>
              <w:pStyle w:val="13"/>
            </w:pPr>
            <w:r>
              <w:t>100%</w:t>
            </w:r>
          </w:p>
        </w:tc>
        <w:tc>
          <w:tcPr>
            <w:tcW w:w="1276" w:type="dxa"/>
            <w:vAlign w:val="center"/>
          </w:tcPr>
          <w:p>
            <w:pPr>
              <w:pStyle w:val="13"/>
            </w:pPr>
            <w:r>
              <w:t>《退役军人事务局关于徐水区退役军人专岗人员提高待遇问题的请示》的批复"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资金及时发放率</w:t>
            </w:r>
          </w:p>
        </w:tc>
        <w:tc>
          <w:tcPr>
            <w:tcW w:w="5386" w:type="dxa"/>
            <w:vAlign w:val="center"/>
          </w:tcPr>
          <w:p>
            <w:pPr>
              <w:pStyle w:val="13"/>
            </w:pPr>
            <w:r>
              <w:t>该笔资金投入后是否能够按照规定时间发放到位</w:t>
            </w:r>
          </w:p>
        </w:tc>
        <w:tc>
          <w:tcPr>
            <w:tcW w:w="2268" w:type="dxa"/>
            <w:vAlign w:val="center"/>
          </w:tcPr>
          <w:p>
            <w:pPr>
              <w:pStyle w:val="13"/>
            </w:pPr>
            <w:r>
              <w:t>100%</w:t>
            </w:r>
          </w:p>
        </w:tc>
        <w:tc>
          <w:tcPr>
            <w:tcW w:w="1276" w:type="dxa"/>
            <w:vAlign w:val="center"/>
          </w:tcPr>
          <w:p>
            <w:pPr>
              <w:pStyle w:val="13"/>
            </w:pPr>
            <w:r>
              <w:t>《退役军人事务局关于徐水区退役军人专岗人员提高待遇问题的请示》的批复"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项目支出金额</w:t>
            </w:r>
          </w:p>
        </w:tc>
        <w:tc>
          <w:tcPr>
            <w:tcW w:w="5386" w:type="dxa"/>
            <w:vAlign w:val="center"/>
          </w:tcPr>
          <w:p>
            <w:pPr>
              <w:pStyle w:val="13"/>
            </w:pPr>
            <w:r>
              <w:t>在预算金额内支付</w:t>
            </w:r>
          </w:p>
        </w:tc>
        <w:tc>
          <w:tcPr>
            <w:tcW w:w="2268" w:type="dxa"/>
            <w:vAlign w:val="center"/>
          </w:tcPr>
          <w:p>
            <w:pPr>
              <w:pStyle w:val="13"/>
            </w:pPr>
            <w:r>
              <w:t>≤1.08万元</w:t>
            </w:r>
          </w:p>
        </w:tc>
        <w:tc>
          <w:tcPr>
            <w:tcW w:w="1276" w:type="dxa"/>
            <w:vAlign w:val="center"/>
          </w:tcPr>
          <w:p>
            <w:pPr>
              <w:pStyle w:val="13"/>
            </w:pPr>
            <w:r>
              <w:t>《退役军人事务局关于徐水区退役军人专岗人员提高待遇问题的请示》的批复"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专岗人员上访次数</w:t>
            </w:r>
          </w:p>
        </w:tc>
        <w:tc>
          <w:tcPr>
            <w:tcW w:w="5386" w:type="dxa"/>
            <w:vAlign w:val="center"/>
          </w:tcPr>
          <w:p>
            <w:pPr>
              <w:pStyle w:val="13"/>
            </w:pPr>
            <w:r>
              <w:t>专岗人员因为生活补贴上访的次数</w:t>
            </w:r>
          </w:p>
        </w:tc>
        <w:tc>
          <w:tcPr>
            <w:tcW w:w="2268" w:type="dxa"/>
            <w:vAlign w:val="center"/>
          </w:tcPr>
          <w:p>
            <w:pPr>
              <w:pStyle w:val="13"/>
            </w:pPr>
            <w:r>
              <w:t>≤2次</w:t>
            </w:r>
          </w:p>
        </w:tc>
        <w:tc>
          <w:tcPr>
            <w:tcW w:w="1276" w:type="dxa"/>
            <w:vAlign w:val="center"/>
          </w:tcPr>
          <w:p>
            <w:pPr>
              <w:pStyle w:val="13"/>
            </w:pPr>
            <w:r>
              <w:t>《退役军人事务局关于徐水区退役军人专岗人员提高待遇问题的请示》的批复"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退役军人专岗人员满意度</w:t>
            </w:r>
          </w:p>
        </w:tc>
        <w:tc>
          <w:tcPr>
            <w:tcW w:w="5386" w:type="dxa"/>
            <w:vAlign w:val="center"/>
          </w:tcPr>
          <w:p>
            <w:pPr>
              <w:pStyle w:val="13"/>
            </w:pPr>
            <w:r>
              <w:t>项目相关的退役军人专岗人员满意度</w:t>
            </w:r>
          </w:p>
        </w:tc>
        <w:tc>
          <w:tcPr>
            <w:tcW w:w="2268" w:type="dxa"/>
            <w:vAlign w:val="center"/>
          </w:tcPr>
          <w:p>
            <w:pPr>
              <w:pStyle w:val="13"/>
            </w:pPr>
            <w:r>
              <w:t>≥85%</w:t>
            </w:r>
          </w:p>
        </w:tc>
        <w:tc>
          <w:tcPr>
            <w:tcW w:w="1276"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11、乡镇武装工作经费绩效目标表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13062524P000015103740</w:t>
            </w:r>
          </w:p>
        </w:tc>
        <w:tc>
          <w:tcPr>
            <w:tcW w:w="2835" w:type="dxa"/>
            <w:vAlign w:val="center"/>
          </w:tcPr>
          <w:p>
            <w:pPr>
              <w:pStyle w:val="11"/>
            </w:pPr>
            <w:r>
              <w:t>项目名称</w:t>
            </w:r>
          </w:p>
        </w:tc>
        <w:tc>
          <w:tcPr>
            <w:tcW w:w="6094" w:type="dxa"/>
            <w:gridSpan w:val="3"/>
            <w:vAlign w:val="center"/>
          </w:tcPr>
          <w:p>
            <w:pPr>
              <w:pStyle w:val="13"/>
            </w:pPr>
            <w:r>
              <w:t>乡镇武装工作经费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2.86</w:t>
            </w:r>
          </w:p>
        </w:tc>
        <w:tc>
          <w:tcPr>
            <w:tcW w:w="2835" w:type="dxa"/>
            <w:vAlign w:val="center"/>
          </w:tcPr>
          <w:p>
            <w:pPr>
              <w:pStyle w:val="11"/>
            </w:pPr>
            <w:r>
              <w:t>其中：财政    资金</w:t>
            </w:r>
          </w:p>
        </w:tc>
        <w:tc>
          <w:tcPr>
            <w:tcW w:w="2551" w:type="dxa"/>
            <w:vAlign w:val="center"/>
          </w:tcPr>
          <w:p>
            <w:pPr>
              <w:pStyle w:val="13"/>
            </w:pPr>
            <w:r>
              <w:t>2.86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"规范我单位武装部基础设施建设，不断提升遂行任务能力；保障本单位的民兵训练，征兵等工作的正常开展，圆满完成上级交给的各项工作任务。</w:t>
            </w:r>
            <w:r>
              <w:tab/>
            </w:r>
            <w:r>
              <w:tab/>
            </w:r>
            <w:r>
              <w:tab/>
            </w:r>
            <w:r>
              <w:tab/>
            </w:r>
            <w:r>
              <w:tab/>
            </w:r>
            <w:r>
              <w:tab/>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1.规范我单位武装部基础设施建设，不断提升遂行任务能力；保障本单位的民兵训练，征兵等工作的正常开展，圆满完成上级交给的各项工作任务。</w:t>
            </w:r>
            <w:r>
              <w:tab/>
            </w:r>
            <w:r>
              <w:tab/>
            </w:r>
            <w:r>
              <w:tab/>
            </w:r>
            <w:r>
              <w:tab/>
            </w:r>
            <w:r>
              <w:tab/>
            </w:r>
            <w:r>
              <w:tab/>
            </w:r>
          </w:p>
          <w:p>
            <w:pPr>
              <w:pStyle w:val="13"/>
            </w:pPr>
          </w:p>
          <w:p>
            <w:pPr>
              <w:pStyle w:val="13"/>
            </w:pPr>
            <w:r>
              <w:t>2.全年完成征兵数量不少于5人，项目成本费用不超过2.85万元，提升民兵能力。</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每年完成上级下达征兵数量</w:t>
            </w:r>
          </w:p>
        </w:tc>
        <w:tc>
          <w:tcPr>
            <w:tcW w:w="5386" w:type="dxa"/>
            <w:vAlign w:val="center"/>
          </w:tcPr>
          <w:p>
            <w:pPr>
              <w:pStyle w:val="13"/>
            </w:pPr>
            <w:r>
              <w:t>按照上级下达的征兵数量完成情况</w:t>
            </w:r>
          </w:p>
        </w:tc>
        <w:tc>
          <w:tcPr>
            <w:tcW w:w="2268" w:type="dxa"/>
            <w:vAlign w:val="center"/>
          </w:tcPr>
          <w:p>
            <w:pPr>
              <w:pStyle w:val="13"/>
            </w:pPr>
            <w:r>
              <w:t>≥5人</w:t>
            </w:r>
          </w:p>
        </w:tc>
        <w:tc>
          <w:tcPr>
            <w:tcW w:w="1276" w:type="dxa"/>
            <w:vAlign w:val="center"/>
          </w:tcPr>
          <w:p>
            <w:pPr>
              <w:pStyle w:val="13"/>
            </w:pPr>
            <w:r>
              <w:t>依据徐办字【2018】36号文件及《乡镇武装工作经费项目实施计划》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民兵训练出勤率</w:t>
            </w:r>
          </w:p>
        </w:tc>
        <w:tc>
          <w:tcPr>
            <w:tcW w:w="5386" w:type="dxa"/>
            <w:vAlign w:val="center"/>
          </w:tcPr>
          <w:p>
            <w:pPr>
              <w:pStyle w:val="13"/>
            </w:pPr>
            <w:r>
              <w:t>民兵训练出勤率</w:t>
            </w:r>
          </w:p>
        </w:tc>
        <w:tc>
          <w:tcPr>
            <w:tcW w:w="2268" w:type="dxa"/>
            <w:vAlign w:val="center"/>
          </w:tcPr>
          <w:p>
            <w:pPr>
              <w:pStyle w:val="13"/>
            </w:pPr>
            <w:r>
              <w:t>≥90%</w:t>
            </w:r>
          </w:p>
        </w:tc>
        <w:tc>
          <w:tcPr>
            <w:tcW w:w="1276" w:type="dxa"/>
            <w:vAlign w:val="center"/>
          </w:tcPr>
          <w:p>
            <w:pPr>
              <w:pStyle w:val="13"/>
            </w:pPr>
            <w:r>
              <w:t>依据徐办字【2018】36号文件及《乡镇武装工作经费项目实施计划》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征兵工作完成及时率</w:t>
            </w:r>
          </w:p>
        </w:tc>
        <w:tc>
          <w:tcPr>
            <w:tcW w:w="5386" w:type="dxa"/>
            <w:vAlign w:val="center"/>
          </w:tcPr>
          <w:p>
            <w:pPr>
              <w:pStyle w:val="13"/>
            </w:pPr>
            <w:r>
              <w:t>征兵工作完成及时率</w:t>
            </w:r>
          </w:p>
        </w:tc>
        <w:tc>
          <w:tcPr>
            <w:tcW w:w="2268" w:type="dxa"/>
            <w:vAlign w:val="center"/>
          </w:tcPr>
          <w:p>
            <w:pPr>
              <w:pStyle w:val="13"/>
            </w:pPr>
            <w:r>
              <w:t>≥90%</w:t>
            </w:r>
          </w:p>
        </w:tc>
        <w:tc>
          <w:tcPr>
            <w:tcW w:w="1276" w:type="dxa"/>
            <w:vAlign w:val="center"/>
          </w:tcPr>
          <w:p>
            <w:pPr>
              <w:pStyle w:val="13"/>
            </w:pPr>
            <w:r>
              <w:t>依据徐办字【2018】36号文件及《乡镇武装工作经费项目实施计划》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项目支出控制在预算范围内</w:t>
            </w:r>
          </w:p>
        </w:tc>
        <w:tc>
          <w:tcPr>
            <w:tcW w:w="2268" w:type="dxa"/>
            <w:vAlign w:val="center"/>
          </w:tcPr>
          <w:p>
            <w:pPr>
              <w:pStyle w:val="13"/>
            </w:pPr>
            <w:r>
              <w:t>≤2.85万元</w:t>
            </w:r>
          </w:p>
        </w:tc>
        <w:tc>
          <w:tcPr>
            <w:tcW w:w="1276" w:type="dxa"/>
            <w:vAlign w:val="center"/>
          </w:tcPr>
          <w:p>
            <w:pPr>
              <w:pStyle w:val="13"/>
            </w:pPr>
            <w:r>
              <w:t>依据徐办字【2018】36号文件及《乡镇武装工作经费项目实施计划》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基层民兵能力提升比率</w:t>
            </w:r>
          </w:p>
        </w:tc>
        <w:tc>
          <w:tcPr>
            <w:tcW w:w="5386" w:type="dxa"/>
            <w:vAlign w:val="center"/>
          </w:tcPr>
          <w:p>
            <w:pPr>
              <w:pStyle w:val="13"/>
            </w:pPr>
            <w:r>
              <w:t>通过调研，基层民兵应急能力、装备保障能力等有所提升人数所占比重</w:t>
            </w:r>
          </w:p>
        </w:tc>
        <w:tc>
          <w:tcPr>
            <w:tcW w:w="2268" w:type="dxa"/>
            <w:vAlign w:val="center"/>
          </w:tcPr>
          <w:p>
            <w:pPr>
              <w:pStyle w:val="13"/>
            </w:pPr>
            <w:r>
              <w:t>≥90%</w:t>
            </w:r>
          </w:p>
        </w:tc>
        <w:tc>
          <w:tcPr>
            <w:tcW w:w="1276" w:type="dxa"/>
            <w:vAlign w:val="center"/>
          </w:tcPr>
          <w:p>
            <w:pPr>
              <w:pStyle w:val="13"/>
            </w:pPr>
            <w:r>
              <w:t>依据调研结果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基层民兵满意度</w:t>
            </w:r>
          </w:p>
        </w:tc>
        <w:tc>
          <w:tcPr>
            <w:tcW w:w="5386" w:type="dxa"/>
            <w:vAlign w:val="center"/>
          </w:tcPr>
          <w:p>
            <w:pPr>
              <w:pStyle w:val="13"/>
            </w:pPr>
            <w:r>
              <w:t>考察基层民兵对我单位基层武装建设满意度的情况</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12、选任专职人民调解员经费绩效目标表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13062524P00001510382L</w:t>
            </w:r>
          </w:p>
        </w:tc>
        <w:tc>
          <w:tcPr>
            <w:tcW w:w="2835" w:type="dxa"/>
            <w:vAlign w:val="center"/>
          </w:tcPr>
          <w:p>
            <w:pPr>
              <w:pStyle w:val="11"/>
            </w:pPr>
            <w:r>
              <w:t>项目名称</w:t>
            </w:r>
          </w:p>
        </w:tc>
        <w:tc>
          <w:tcPr>
            <w:tcW w:w="6094" w:type="dxa"/>
            <w:gridSpan w:val="3"/>
            <w:vAlign w:val="center"/>
          </w:tcPr>
          <w:p>
            <w:pPr>
              <w:pStyle w:val="13"/>
            </w:pPr>
            <w:r>
              <w:t>选任专职人民调解员经费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7.29</w:t>
            </w:r>
          </w:p>
        </w:tc>
        <w:tc>
          <w:tcPr>
            <w:tcW w:w="2835" w:type="dxa"/>
            <w:vAlign w:val="center"/>
          </w:tcPr>
          <w:p>
            <w:pPr>
              <w:pStyle w:val="11"/>
            </w:pPr>
            <w:r>
              <w:t>其中：财政    资金</w:t>
            </w:r>
          </w:p>
        </w:tc>
        <w:tc>
          <w:tcPr>
            <w:tcW w:w="2551" w:type="dxa"/>
            <w:vAlign w:val="center"/>
          </w:tcPr>
          <w:p>
            <w:pPr>
              <w:pStyle w:val="13"/>
            </w:pPr>
            <w:r>
              <w:t>7.29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保障人员工资、保险等方面的经费支出，按月发放调解员工资，及时缴纳保险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1.保障3名调解员工资、保险等方面的经费支出，按月发放调解员工资，及时缴纳保险；</w:t>
            </w:r>
            <w:r>
              <w:tab/>
            </w:r>
            <w:r>
              <w:tab/>
            </w:r>
            <w:r>
              <w:tab/>
            </w:r>
            <w:r>
              <w:tab/>
            </w:r>
            <w:r>
              <w:tab/>
            </w:r>
            <w:r>
              <w:tab/>
            </w:r>
          </w:p>
          <w:p>
            <w:pPr>
              <w:pStyle w:val="13"/>
            </w:pPr>
          </w:p>
          <w:p>
            <w:pPr>
              <w:pStyle w:val="13"/>
            </w:pPr>
            <w:r>
              <w:t>2.减少社会矛盾，化解社会纠纷；</w:t>
            </w:r>
            <w:r>
              <w:tab/>
            </w:r>
            <w:r>
              <w:tab/>
            </w:r>
            <w:r>
              <w:tab/>
            </w:r>
            <w:r>
              <w:tab/>
            </w:r>
            <w:r>
              <w:tab/>
            </w:r>
            <w:r>
              <w:tab/>
            </w:r>
          </w:p>
          <w:p>
            <w:pPr>
              <w:pStyle w:val="13"/>
            </w:pPr>
          </w:p>
          <w:p>
            <w:pPr>
              <w:pStyle w:val="13"/>
            </w:pPr>
            <w:r>
              <w:t>3.做好人民调解工作，更好、更快调解诉前案件和信访案件。</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参与人民调解工作数</w:t>
            </w:r>
          </w:p>
        </w:tc>
        <w:tc>
          <w:tcPr>
            <w:tcW w:w="5386" w:type="dxa"/>
            <w:vAlign w:val="center"/>
          </w:tcPr>
          <w:p>
            <w:pPr>
              <w:pStyle w:val="13"/>
            </w:pPr>
            <w:r>
              <w:t>参与人民调解工作数量。</w:t>
            </w:r>
          </w:p>
        </w:tc>
        <w:tc>
          <w:tcPr>
            <w:tcW w:w="2268" w:type="dxa"/>
            <w:vAlign w:val="center"/>
          </w:tcPr>
          <w:p>
            <w:pPr>
              <w:pStyle w:val="13"/>
            </w:pPr>
            <w:r>
              <w:t>≥72次</w:t>
            </w:r>
          </w:p>
        </w:tc>
        <w:tc>
          <w:tcPr>
            <w:tcW w:w="1276" w:type="dxa"/>
            <w:vAlign w:val="center"/>
          </w:tcPr>
          <w:p>
            <w:pPr>
              <w:pStyle w:val="13"/>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调解案件成功率</w:t>
            </w:r>
          </w:p>
        </w:tc>
        <w:tc>
          <w:tcPr>
            <w:tcW w:w="5386" w:type="dxa"/>
            <w:vAlign w:val="center"/>
          </w:tcPr>
          <w:p>
            <w:pPr>
              <w:pStyle w:val="13"/>
            </w:pPr>
            <w:r>
              <w:t>调解成功案件数量占受理案件数量的比例。</w:t>
            </w:r>
          </w:p>
        </w:tc>
        <w:tc>
          <w:tcPr>
            <w:tcW w:w="2268" w:type="dxa"/>
            <w:vAlign w:val="center"/>
          </w:tcPr>
          <w:p>
            <w:pPr>
              <w:pStyle w:val="13"/>
            </w:pPr>
            <w:r>
              <w:t>≥96%</w:t>
            </w:r>
          </w:p>
        </w:tc>
        <w:tc>
          <w:tcPr>
            <w:tcW w:w="1276" w:type="dxa"/>
            <w:vAlign w:val="center"/>
          </w:tcPr>
          <w:p>
            <w:pPr>
              <w:pStyle w:val="13"/>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化解纠纷及时率</w:t>
            </w:r>
          </w:p>
        </w:tc>
        <w:tc>
          <w:tcPr>
            <w:tcW w:w="5386" w:type="dxa"/>
            <w:vAlign w:val="center"/>
          </w:tcPr>
          <w:p>
            <w:pPr>
              <w:pStyle w:val="13"/>
            </w:pPr>
            <w:r>
              <w:t>按时间结点及时有效化解纠纷</w:t>
            </w:r>
          </w:p>
        </w:tc>
        <w:tc>
          <w:tcPr>
            <w:tcW w:w="2268" w:type="dxa"/>
            <w:vAlign w:val="center"/>
          </w:tcPr>
          <w:p>
            <w:pPr>
              <w:pStyle w:val="13"/>
            </w:pPr>
            <w:r>
              <w:t>100及时有效化解纠纷</w:t>
            </w:r>
          </w:p>
        </w:tc>
        <w:tc>
          <w:tcPr>
            <w:tcW w:w="1276" w:type="dxa"/>
            <w:vAlign w:val="center"/>
          </w:tcPr>
          <w:p>
            <w:pPr>
              <w:pStyle w:val="13"/>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人均发放水平</w:t>
            </w:r>
          </w:p>
        </w:tc>
        <w:tc>
          <w:tcPr>
            <w:tcW w:w="5386" w:type="dxa"/>
            <w:vAlign w:val="center"/>
          </w:tcPr>
          <w:p>
            <w:pPr>
              <w:pStyle w:val="13"/>
            </w:pPr>
            <w:r>
              <w:t>人均发放水平</w:t>
            </w:r>
          </w:p>
        </w:tc>
        <w:tc>
          <w:tcPr>
            <w:tcW w:w="2268" w:type="dxa"/>
            <w:vAlign w:val="center"/>
          </w:tcPr>
          <w:p>
            <w:pPr>
              <w:pStyle w:val="13"/>
            </w:pPr>
            <w:r>
              <w:t>2000元/2件/人</w:t>
            </w:r>
          </w:p>
        </w:tc>
        <w:tc>
          <w:tcPr>
            <w:tcW w:w="1276" w:type="dxa"/>
            <w:vAlign w:val="center"/>
          </w:tcPr>
          <w:p>
            <w:pPr>
              <w:pStyle w:val="13"/>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人民调解案件数提升率</w:t>
            </w:r>
          </w:p>
        </w:tc>
        <w:tc>
          <w:tcPr>
            <w:tcW w:w="5386" w:type="dxa"/>
            <w:vAlign w:val="center"/>
          </w:tcPr>
          <w:p>
            <w:pPr>
              <w:pStyle w:val="13"/>
            </w:pPr>
            <w:r>
              <w:t>人民调解案件数提升率</w:t>
            </w:r>
          </w:p>
        </w:tc>
        <w:tc>
          <w:tcPr>
            <w:tcW w:w="2268" w:type="dxa"/>
            <w:vAlign w:val="center"/>
          </w:tcPr>
          <w:p>
            <w:pPr>
              <w:pStyle w:val="13"/>
            </w:pPr>
            <w:r>
              <w:t>≥2%</w:t>
            </w:r>
          </w:p>
        </w:tc>
        <w:tc>
          <w:tcPr>
            <w:tcW w:w="1276" w:type="dxa"/>
            <w:vAlign w:val="center"/>
          </w:tcPr>
          <w:p>
            <w:pPr>
              <w:pStyle w:val="13"/>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服务对象满意程度</w:t>
            </w:r>
          </w:p>
        </w:tc>
        <w:tc>
          <w:tcPr>
            <w:tcW w:w="5386" w:type="dxa"/>
            <w:vAlign w:val="center"/>
          </w:tcPr>
          <w:p>
            <w:pPr>
              <w:pStyle w:val="13"/>
            </w:pPr>
            <w:r>
              <w:t>调解对象对专职调解员调解工作满意程度满意度&gt;90%，优；满意度&gt;80%，良；满意度&gt;70，中；满意度&lt;60%，差。</w:t>
            </w:r>
          </w:p>
        </w:tc>
        <w:tc>
          <w:tcPr>
            <w:tcW w:w="2268" w:type="dxa"/>
            <w:vAlign w:val="center"/>
          </w:tcPr>
          <w:p>
            <w:pPr>
              <w:pStyle w:val="13"/>
            </w:pPr>
            <w:r>
              <w:t>≥90%</w:t>
            </w:r>
          </w:p>
        </w:tc>
        <w:tc>
          <w:tcPr>
            <w:tcW w:w="1276"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8" w:name="_Toc27229"/>
      <w:r>
        <w:rPr>
          <w:rFonts w:ascii="黑体" w:hAnsi="黑体" w:eastAsia="黑体" w:cs="黑体"/>
          <w:color w:val="000000"/>
          <w:sz w:val="32"/>
        </w:rPr>
        <w:t>八、政府采购预算情况</w:t>
      </w:r>
      <w:bookmarkEnd w:id="18"/>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520保定市徐水区城区办事处</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9" w:name="_Toc30156"/>
      <w:r>
        <w:rPr>
          <w:rFonts w:ascii="黑体" w:hAnsi="黑体" w:eastAsia="黑体" w:cs="黑体"/>
          <w:color w:val="000000"/>
          <w:sz w:val="32"/>
        </w:rPr>
        <w:t>九、国有资产信息</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保定市徐水区城区办事处（含所属单位）上年末固定资产金额为329.09万元（详见下表）。本年度拟购置固定资产总额为0.00万元，已按要求列入政府采购预算，详见政府采购预算表。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520保定市徐水区城区办事处</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329.09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3427</w:t>
            </w:r>
          </w:p>
        </w:tc>
        <w:tc>
          <w:tcPr>
            <w:tcW w:w="2835" w:type="dxa"/>
            <w:vAlign w:val="center"/>
          </w:tcPr>
          <w:p>
            <w:pPr>
              <w:pStyle w:val="12"/>
            </w:pPr>
            <w:r>
              <w:t>321.54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20" w:name="_Toc17929"/>
      <w:r>
        <w:rPr>
          <w:rFonts w:ascii="黑体" w:hAnsi="黑体" w:eastAsia="黑体" w:cs="黑体"/>
          <w:color w:val="000000"/>
          <w:sz w:val="32"/>
        </w:rPr>
        <w:t>十、名词解释</w:t>
      </w:r>
      <w:bookmarkEnd w:id="20"/>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1" w:name="_Toc2978"/>
      <w:r>
        <w:rPr>
          <w:rFonts w:ascii="黑体" w:hAnsi="黑体" w:eastAsia="黑体" w:cs="黑体"/>
          <w:color w:val="000000"/>
          <w:sz w:val="32"/>
        </w:rPr>
        <w:t>十一、其他需要说明的事项</w:t>
      </w:r>
      <w:bookmarkEnd w:id="21"/>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UI Variable Display">
    <w:panose1 w:val="00000000000000000000"/>
    <w:charset w:val="00"/>
    <w:family w:val="auto"/>
    <w:pitch w:val="default"/>
    <w:sig w:usb0="A00002FF" w:usb1="0000000B" w:usb2="00000000" w:usb3="00000000" w:csb0="2000019F" w:csb1="00000000"/>
  </w:font>
  <w:font w:name="Segoe UI Variable Display Semibold">
    <w:panose1 w:val="00000000000000000000"/>
    <w:charset w:val="00"/>
    <w:family w:val="auto"/>
    <w:pitch w:val="default"/>
    <w:sig w:usb0="A00002FF" w:usb1="0000000B" w:usb2="00000000" w:usb3="00000000" w:csb0="2000019F" w:csb1="00000000"/>
  </w:font>
  <w:font w:name="方正仿宋_GB2312">
    <w:panose1 w:val="02000000000000000000"/>
    <w:charset w:val="86"/>
    <w:family w:val="auto"/>
    <w:pitch w:val="default"/>
    <w:sig w:usb0="A00002BF" w:usb1="184F6CFA" w:usb2="00000012" w:usb3="00000000" w:csb0="00040001" w:csb1="00000000"/>
  </w:font>
  <w:font w:name="Calibri Light">
    <w:panose1 w:val="020F0302020204030204"/>
    <w:charset w:val="00"/>
    <w:family w:val="auto"/>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 w:name="SimSun-ExtB">
    <w:panose1 w:val="02010609060101010101"/>
    <w:charset w:val="86"/>
    <w:family w:val="auto"/>
    <w:pitch w:val="default"/>
    <w:sig w:usb0="00000001" w:usb1="02000000" w:usb2="00000000" w:usb3="00000000" w:csb0="00040001"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mNGY2NjllZGZmZDI5NzgyZjAxYjdlZTljYmMzNmUifQ=="/>
  </w:docVars>
  <w:rsids>
    <w:rsidRoot w:val="00000000"/>
    <w:rsid w:val="13CA18AE"/>
    <w:rsid w:val="18B32F3D"/>
    <w:rsid w:val="23E9474E"/>
    <w:rsid w:val="30D50115"/>
    <w:rsid w:val="30F229C1"/>
    <w:rsid w:val="5244074B"/>
    <w:rsid w:val="6A295723"/>
    <w:rsid w:val="6E16225C"/>
    <w:rsid w:val="724D102E"/>
    <w:rsid w:val="735F36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2" w:firstLine="437" w:firstLineChars="99"/>
    </w:pPr>
    <w:rPr>
      <w:rFonts w:eastAsia="方正仿宋_GB2312" w:cs="方正仿宋_GB2312"/>
      <w:sz w:val="28"/>
      <w:szCs w:val="28"/>
    </w:r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38" w:firstLine="437" w:firstLineChars="99"/>
    </w:pPr>
    <w:rPr>
      <w:rFonts w:eastAsia="方正仿宋_GB2312"/>
      <w:sz w:val="28"/>
    </w:r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2024-02-26T09:14:03Z</dcterms:created>
  <dcterms:modified xsi:type="dcterms:W3CDTF">2024-02-26T01:14:03Z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2024-02-26T09:14:03Z</dcterms:created>
  <dcterms:modified xsi:type="dcterms:W3CDTF">2024-02-26T01:14:03Z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2024-02-26T09:14:05Z</dcterms:created>
  <dcterms:modified xsi:type="dcterms:W3CDTF">2024-02-26T01:14:05Z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2024-02-26T09:14:05Z</dcterms:created>
  <dcterms:modified xsi:type="dcterms:W3CDTF">2024-02-26T01:14:05Z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2024-02-26T09:14:05Z</dcterms:created>
  <dcterms:modified xsi:type="dcterms:W3CDTF">2024-02-26T01:14:05Z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2024-02-26T09:14:05Z</dcterms:created>
  <dcterms:modified xsi:type="dcterms:W3CDTF">2024-02-26T01:14:05Z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2024-02-26T09:14:05Z</dcterms:created>
  <dcterms:modified xsi:type="dcterms:W3CDTF">2024-02-26T01:14:05Z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2024-02-26T09:14:04Z</dcterms:created>
  <dcterms:modified xsi:type="dcterms:W3CDTF">2024-02-26T01:14:04Z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2024-02-26T09:14:04Z</dcterms:created>
  <dcterms:modified xsi:type="dcterms:W3CDTF">2024-02-26T01:14:04Z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2024-02-26T09:14:04Z</dcterms:created>
  <dcterms:modified xsi:type="dcterms:W3CDTF">2024-02-26T01:14:04Z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2024-02-26T09:14:04Z</dcterms:created>
  <dcterms:modified xsi:type="dcterms:W3CDTF">2024-02-26T01:14:04Z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2024-02-26T09:14:03Z</dcterms:created>
  <dcterms:modified xsi:type="dcterms:W3CDTF">2024-02-26T01:14:03Z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2024-02-26T09:14:04Z</dcterms:created>
  <dcterms:modified xsi:type="dcterms:W3CDTF">2024-02-26T01:14:04Z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2024-02-26T09:14:02Z</dcterms:created>
  <dcterms:modified xsi:type="dcterms:W3CDTF">2024-02-26T01:14:02Z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2024-02-26T09:14:03Z</dcterms:created>
  <dcterms:modified xsi:type="dcterms:W3CDTF">2024-02-26T01:14:03Z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2024-02-26T09:14:06Z</dcterms:created>
  <dcterms:modified xsi:type="dcterms:W3CDTF">2024-02-26T01:14:06Z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e178e17-9a5a-42a7-9ce5-801c6c2f4f3a}">
  <ds:schemaRefs/>
</ds:datastoreItem>
</file>

<file path=customXml/itemProps10.xml><?xml version="1.0" encoding="utf-8"?>
<ds:datastoreItem xmlns:ds="http://schemas.openxmlformats.org/officeDocument/2006/customXml" ds:itemID="{1cb8a339-e9bb-48fd-8180-bd4cea0ccf85}">
  <ds:schemaRefs/>
</ds:datastoreItem>
</file>

<file path=customXml/itemProps11.xml><?xml version="1.0" encoding="utf-8"?>
<ds:datastoreItem xmlns:ds="http://schemas.openxmlformats.org/officeDocument/2006/customXml" ds:itemID="{89e6cc8b-c810-409d-a90e-b82ac534fd4a}">
  <ds:schemaRefs/>
</ds:datastoreItem>
</file>

<file path=customXml/itemProps12.xml><?xml version="1.0" encoding="utf-8"?>
<ds:datastoreItem xmlns:ds="http://schemas.openxmlformats.org/officeDocument/2006/customXml" ds:itemID="{e05ea470-5239-4a26-ae29-6f9bbeeaa02c}">
  <ds:schemaRefs/>
</ds:datastoreItem>
</file>

<file path=customXml/itemProps13.xml><?xml version="1.0" encoding="utf-8"?>
<ds:datastoreItem xmlns:ds="http://schemas.openxmlformats.org/officeDocument/2006/customXml" ds:itemID="{45be3bb9-29c0-4257-b24f-047812551469}">
  <ds:schemaRefs/>
</ds:datastoreItem>
</file>

<file path=customXml/itemProps14.xml><?xml version="1.0" encoding="utf-8"?>
<ds:datastoreItem xmlns:ds="http://schemas.openxmlformats.org/officeDocument/2006/customXml" ds:itemID="{c1a0d1b2-47c7-496b-a4a9-6bd28777c042}">
  <ds:schemaRefs/>
</ds:datastoreItem>
</file>

<file path=customXml/itemProps15.xml><?xml version="1.0" encoding="utf-8"?>
<ds:datastoreItem xmlns:ds="http://schemas.openxmlformats.org/officeDocument/2006/customXml" ds:itemID="{022d6e0b-8520-45a0-b1f6-0fa9cf3001cf}">
  <ds:schemaRefs/>
</ds:datastoreItem>
</file>

<file path=customXml/itemProps16.xml><?xml version="1.0" encoding="utf-8"?>
<ds:datastoreItem xmlns:ds="http://schemas.openxmlformats.org/officeDocument/2006/customXml" ds:itemID="{1012723d-e8ae-4a0c-9fae-da713aff18ac}">
  <ds:schemaRefs/>
</ds:datastoreItem>
</file>

<file path=customXml/itemProps17.xml><?xml version="1.0" encoding="utf-8"?>
<ds:datastoreItem xmlns:ds="http://schemas.openxmlformats.org/officeDocument/2006/customXml" ds:itemID="{dda44504-c44d-485b-9f29-181e20ba1a7e}">
  <ds:schemaRefs/>
</ds:datastoreItem>
</file>

<file path=customXml/itemProps18.xml><?xml version="1.0" encoding="utf-8"?>
<ds:datastoreItem xmlns:ds="http://schemas.openxmlformats.org/officeDocument/2006/customXml" ds:itemID="{3e6829cb-502d-4e2b-9f2e-c8eb14244107}">
  <ds:schemaRefs/>
</ds:datastoreItem>
</file>

<file path=customXml/itemProps19.xml><?xml version="1.0" encoding="utf-8"?>
<ds:datastoreItem xmlns:ds="http://schemas.openxmlformats.org/officeDocument/2006/customXml" ds:itemID="{ec9e7ecb-1d53-4fd3-82ac-5e73d5eb12e0}">
  <ds:schemaRefs/>
</ds:datastoreItem>
</file>

<file path=customXml/itemProps2.xml><?xml version="1.0" encoding="utf-8"?>
<ds:datastoreItem xmlns:ds="http://schemas.openxmlformats.org/officeDocument/2006/customXml" ds:itemID="{216d7c9b-d952-41cf-8ac4-ec8085da8ad8}">
  <ds:schemaRefs/>
</ds:datastoreItem>
</file>

<file path=customXml/itemProps20.xml><?xml version="1.0" encoding="utf-8"?>
<ds:datastoreItem xmlns:ds="http://schemas.openxmlformats.org/officeDocument/2006/customXml" ds:itemID="{043f6942-c745-4861-a52d-1391579d45e6}">
  <ds:schemaRefs/>
</ds:datastoreItem>
</file>

<file path=customXml/itemProps21.xml><?xml version="1.0" encoding="utf-8"?>
<ds:datastoreItem xmlns:ds="http://schemas.openxmlformats.org/officeDocument/2006/customXml" ds:itemID="{f77c2789-c74b-4981-80eb-94f354a634a0}">
  <ds:schemaRefs/>
</ds:datastoreItem>
</file>

<file path=customXml/itemProps22.xml><?xml version="1.0" encoding="utf-8"?>
<ds:datastoreItem xmlns:ds="http://schemas.openxmlformats.org/officeDocument/2006/customXml" ds:itemID="{986c8d14-7bbd-481a-b31d-ad0043b4ad21}">
  <ds:schemaRefs/>
</ds:datastoreItem>
</file>

<file path=customXml/itemProps23.xml><?xml version="1.0" encoding="utf-8"?>
<ds:datastoreItem xmlns:ds="http://schemas.openxmlformats.org/officeDocument/2006/customXml" ds:itemID="{7c4f80df-bd05-4b6c-bf18-d8129a2442bb}">
  <ds:schemaRefs/>
</ds:datastoreItem>
</file>

<file path=customXml/itemProps24.xml><?xml version="1.0" encoding="utf-8"?>
<ds:datastoreItem xmlns:ds="http://schemas.openxmlformats.org/officeDocument/2006/customXml" ds:itemID="{eaa6306d-edb7-4eb4-b282-83f52abb63cd}">
  <ds:schemaRefs/>
</ds:datastoreItem>
</file>

<file path=customXml/itemProps25.xml><?xml version="1.0" encoding="utf-8"?>
<ds:datastoreItem xmlns:ds="http://schemas.openxmlformats.org/officeDocument/2006/customXml" ds:itemID="{1017b9a8-f780-426d-acd7-f802929adffd}">
  <ds:schemaRefs/>
</ds:datastoreItem>
</file>

<file path=customXml/itemProps26.xml><?xml version="1.0" encoding="utf-8"?>
<ds:datastoreItem xmlns:ds="http://schemas.openxmlformats.org/officeDocument/2006/customXml" ds:itemID="{d86ed597-d7d8-461d-bf6a-3003ea989a4e}">
  <ds:schemaRefs/>
</ds:datastoreItem>
</file>

<file path=customXml/itemProps27.xml><?xml version="1.0" encoding="utf-8"?>
<ds:datastoreItem xmlns:ds="http://schemas.openxmlformats.org/officeDocument/2006/customXml" ds:itemID="{ad90c49e-ddf2-47ac-9835-e4a22f8518ff}">
  <ds:schemaRefs/>
</ds:datastoreItem>
</file>

<file path=customXml/itemProps28.xml><?xml version="1.0" encoding="utf-8"?>
<ds:datastoreItem xmlns:ds="http://schemas.openxmlformats.org/officeDocument/2006/customXml" ds:itemID="{c215b30c-2228-4141-88d3-7336f3234bb7}">
  <ds:schemaRefs/>
</ds:datastoreItem>
</file>

<file path=customXml/itemProps29.xml><?xml version="1.0" encoding="utf-8"?>
<ds:datastoreItem xmlns:ds="http://schemas.openxmlformats.org/officeDocument/2006/customXml" ds:itemID="{89d30f9b-0152-429b-8ae4-d4b0ea79f627}">
  <ds:schemaRefs/>
</ds:datastoreItem>
</file>

<file path=customXml/itemProps3.xml><?xml version="1.0" encoding="utf-8"?>
<ds:datastoreItem xmlns:ds="http://schemas.openxmlformats.org/officeDocument/2006/customXml" ds:itemID="{485c3ecb-ab6f-4dd8-ae46-a91e3487afa9}">
  <ds:schemaRefs/>
</ds:datastoreItem>
</file>

<file path=customXml/itemProps30.xml><?xml version="1.0" encoding="utf-8"?>
<ds:datastoreItem xmlns:ds="http://schemas.openxmlformats.org/officeDocument/2006/customXml" ds:itemID="{f602ee61-7a85-4701-9f06-74132ec44a57}">
  <ds:schemaRefs/>
</ds:datastoreItem>
</file>

<file path=customXml/itemProps31.xml><?xml version="1.0" encoding="utf-8"?>
<ds:datastoreItem xmlns:ds="http://schemas.openxmlformats.org/officeDocument/2006/customXml" ds:itemID="{765d3d6f-29fe-4a4c-b265-d275a0e44f25}">
  <ds:schemaRefs/>
</ds:datastoreItem>
</file>

<file path=customXml/itemProps32.xml><?xml version="1.0" encoding="utf-8"?>
<ds:datastoreItem xmlns:ds="http://schemas.openxmlformats.org/officeDocument/2006/customXml" ds:itemID="{e4137b5a-fddf-47f7-997b-014284dc8753}">
  <ds:schemaRefs/>
</ds:datastoreItem>
</file>

<file path=customXml/itemProps4.xml><?xml version="1.0" encoding="utf-8"?>
<ds:datastoreItem xmlns:ds="http://schemas.openxmlformats.org/officeDocument/2006/customXml" ds:itemID="{c6324ca0-e520-4fe2-9bf7-c9c504d15533}">
  <ds:schemaRefs/>
</ds:datastoreItem>
</file>

<file path=customXml/itemProps5.xml><?xml version="1.0" encoding="utf-8"?>
<ds:datastoreItem xmlns:ds="http://schemas.openxmlformats.org/officeDocument/2006/customXml" ds:itemID="{450e70ba-5611-486f-8b8f-215d194ec54e}">
  <ds:schemaRefs/>
</ds:datastoreItem>
</file>

<file path=customXml/itemProps6.xml><?xml version="1.0" encoding="utf-8"?>
<ds:datastoreItem xmlns:ds="http://schemas.openxmlformats.org/officeDocument/2006/customXml" ds:itemID="{2d91c0d1-d32d-4162-8c73-7db30c63be80}">
  <ds:schemaRefs/>
</ds:datastoreItem>
</file>

<file path=customXml/itemProps7.xml><?xml version="1.0" encoding="utf-8"?>
<ds:datastoreItem xmlns:ds="http://schemas.openxmlformats.org/officeDocument/2006/customXml" ds:itemID="{4445689f-3ca1-45c9-aa11-19db530bee6e}">
  <ds:schemaRefs/>
</ds:datastoreItem>
</file>

<file path=customXml/itemProps8.xml><?xml version="1.0" encoding="utf-8"?>
<ds:datastoreItem xmlns:ds="http://schemas.openxmlformats.org/officeDocument/2006/customXml" ds:itemID="{efdbfbb8-d3c1-44a6-bc0f-8c079d39cd38}">
  <ds:schemaRefs/>
</ds:datastoreItem>
</file>

<file path=customXml/itemProps9.xml><?xml version="1.0" encoding="utf-8"?>
<ds:datastoreItem xmlns:ds="http://schemas.openxmlformats.org/officeDocument/2006/customXml" ds:itemID="{668f6adf-510d-40da-aeb4-2835d7bc2c28}">
  <ds:schemaRefs/>
</ds:datastoreItem>
</file>

<file path=docProps/app.xml><?xml version="1.0" encoding="utf-8"?>
<Properties xmlns="http://schemas.openxmlformats.org/officeDocument/2006/extended-properties" xmlns:vt="http://schemas.openxmlformats.org/officeDocument/2006/docPropsVTypes">
  <TotalTime>18</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2024-02-26T09:14:00Z</dcterms:created>
  <dc:creator>lenovo</dc:creator>
  <cp:lastModifiedBy>墨栀君君</cp:lastModifiedBy>
  <cp:lastPrinted>2024-04-08T02:43:43Z</cp:lastPrinted>
  <dcterms:modified xsi:type="dcterms:W3CDTF">2024-04-08T03:01:36Z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73EB3D3394C74C1189FB392C2B14E505</vt:lpwstr>
  </property>
</Properties>
</file>