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保定市徐水区户木</w:t>
      </w:r>
      <w:r>
        <w:rPr>
          <w:rFonts w:ascii="宋体" w:hAnsi="宋体" w:eastAsia="宋体"/>
          <w:b/>
          <w:sz w:val="44"/>
          <w:szCs w:val="44"/>
        </w:rPr>
        <w:t>乡</w:t>
      </w:r>
    </w:p>
    <w:p>
      <w:pPr>
        <w:spacing w:line="360" w:lineRule="auto"/>
        <w:jc w:val="center"/>
        <w:rPr>
          <w:rFonts w:ascii="宋体" w:hAnsi="宋体" w:eastAsia="宋体"/>
          <w:b/>
          <w:sz w:val="44"/>
          <w:szCs w:val="44"/>
        </w:rPr>
      </w:pPr>
      <w:r>
        <w:rPr>
          <w:rFonts w:ascii="宋体" w:hAnsi="宋体" w:eastAsia="宋体"/>
          <w:b/>
          <w:sz w:val="44"/>
          <w:szCs w:val="44"/>
        </w:rPr>
        <w:t>2022年单位预算公开说明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按照《预算法》、《地方预决算公开操作规程》等文件规定，现将我单位预算信息公开如下：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1）执行本级代表大会的决议和上级国家行政机关的决定和命令，发布决定和命令。</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2）制定并落实本行政区域内的经济发展计划，加强公共设施的建设和管理，发展各项服务事业。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3）加强水利建设、土地使用管理和环境综合整治，合理利用自然资源，保护、改善生态和生活环境。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4）依法管理镇财政，执行本级预算。</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5）管理和发展文化、教育、科学、广播、体育、卫生等事业。</w:t>
      </w:r>
    </w:p>
    <w:p>
      <w:pPr>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6）保护社会主义的全民所有财产和劳动群众的集体所有财产，保护公民个人所有的合法财产，保护公民的人身权利、</w:t>
      </w:r>
      <w:bookmarkStart w:id="0" w:name="_GoBack"/>
      <w:r>
        <w:rPr>
          <w:rFonts w:ascii="仿宋" w:hAnsi="仿宋" w:eastAsia="仿宋"/>
          <w:sz w:val="32"/>
          <w:szCs w:val="32"/>
        </w:rPr>
        <w:t>民主权</w:t>
      </w:r>
      <w:bookmarkEnd w:id="0"/>
      <w:r>
        <w:rPr>
          <w:rFonts w:hint="eastAsia" w:ascii="仿宋" w:hAnsi="仿宋" w:eastAsia="仿宋"/>
          <w:sz w:val="32"/>
          <w:szCs w:val="32"/>
          <w:lang w:val="en-US" w:eastAsia="zh-CN"/>
        </w:rPr>
        <w:t>利</w:t>
      </w:r>
      <w:r>
        <w:rPr>
          <w:rFonts w:ascii="仿宋" w:hAnsi="仿宋" w:eastAsia="仿宋"/>
          <w:sz w:val="32"/>
          <w:szCs w:val="32"/>
        </w:rPr>
        <w:t>和其他权利，保护各种经济的合法权益。</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10"/>
        <w:tblW w:w="1006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p>
            <w:pPr>
              <w:jc w:val="center"/>
              <w:rPr>
                <w:rFonts w:ascii="仿宋_GB2312" w:hAnsi="仿宋" w:eastAsia="仿宋_GB2312"/>
                <w:bCs/>
                <w:sz w:val="24"/>
                <w:szCs w:val="24"/>
              </w:rPr>
            </w:pPr>
          </w:p>
        </w:tc>
        <w:tc>
          <w:tcPr>
            <w:tcW w:w="2692" w:type="dxa"/>
            <w:tcBorders>
              <w:top w:val="single" w:color="auto" w:sz="4" w:space="0"/>
              <w:left w:val="single" w:color="000000" w:sz="6" w:space="0"/>
              <w:bottom w:val="single" w:color="auto" w:sz="4"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综合</w:t>
            </w:r>
            <w:r>
              <w:rPr>
                <w:rFonts w:ascii="仿宋_GB2312" w:hAnsi="仿宋" w:eastAsia="仿宋_GB2312"/>
                <w:bCs/>
                <w:sz w:val="24"/>
                <w:szCs w:val="24"/>
              </w:rPr>
              <w:t>行政执法工作</w:t>
            </w:r>
          </w:p>
        </w:tc>
        <w:tc>
          <w:tcPr>
            <w:tcW w:w="170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股</w:t>
            </w:r>
            <w:r>
              <w:rPr>
                <w:rFonts w:ascii="仿宋_GB2312" w:hAnsi="仿宋" w:eastAsia="仿宋_GB2312"/>
                <w:bCs/>
                <w:sz w:val="24"/>
                <w:szCs w:val="24"/>
              </w:rPr>
              <w:t>级</w:t>
            </w:r>
          </w:p>
        </w:tc>
        <w:tc>
          <w:tcPr>
            <w:tcW w:w="326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eastAsia="仿宋_GB2312"/>
                <w:sz w:val="24"/>
                <w:szCs w:val="24"/>
              </w:rPr>
            </w:pPr>
            <w:r>
              <w:rPr>
                <w:rFonts w:hint="eastAsia" w:ascii="仿宋_GB2312" w:eastAsia="仿宋_GB2312"/>
                <w:sz w:val="24"/>
                <w:szCs w:val="24"/>
              </w:rPr>
              <w:t>财政性资金基本保障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left w:val="single" w:color="000000" w:sz="6" w:space="0"/>
              <w:bottom w:val="single" w:color="auto" w:sz="4"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r>
              <w:rPr>
                <w:rFonts w:ascii="仿宋_GB2312" w:hAnsi="仿宋" w:eastAsia="仿宋_GB2312"/>
                <w:bCs/>
                <w:sz w:val="24"/>
                <w:szCs w:val="24"/>
              </w:rPr>
              <w:t>综合服务中心</w:t>
            </w:r>
          </w:p>
        </w:tc>
        <w:tc>
          <w:tcPr>
            <w:tcW w:w="170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股</w:t>
            </w:r>
            <w:r>
              <w:rPr>
                <w:rFonts w:ascii="仿宋_GB2312" w:hAnsi="仿宋" w:eastAsia="仿宋_GB2312"/>
                <w:bCs/>
                <w:sz w:val="24"/>
                <w:szCs w:val="24"/>
              </w:rPr>
              <w:t>级</w:t>
            </w:r>
          </w:p>
        </w:tc>
        <w:tc>
          <w:tcPr>
            <w:tcW w:w="326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eastAsia="仿宋_GB2312"/>
                <w:sz w:val="24"/>
                <w:szCs w:val="24"/>
              </w:rPr>
            </w:pPr>
            <w:r>
              <w:rPr>
                <w:rFonts w:hint="eastAsia" w:ascii="仿宋_GB2312" w:eastAsia="仿宋_GB2312"/>
                <w:sz w:val="24"/>
                <w:szCs w:val="24"/>
              </w:rPr>
              <w:t>财政性资金基本保障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3</w:t>
            </w:r>
          </w:p>
          <w:p>
            <w:pPr>
              <w:jc w:val="center"/>
              <w:rPr>
                <w:rFonts w:ascii="仿宋_GB2312" w:hAnsi="仿宋" w:eastAsia="仿宋_GB2312"/>
                <w:bCs/>
                <w:sz w:val="24"/>
                <w:szCs w:val="24"/>
              </w:rPr>
            </w:pPr>
          </w:p>
        </w:tc>
        <w:tc>
          <w:tcPr>
            <w:tcW w:w="2692" w:type="dxa"/>
            <w:tcBorders>
              <w:top w:val="single" w:color="auto" w:sz="4" w:space="0"/>
              <w:left w:val="single" w:color="000000" w:sz="6" w:space="0"/>
              <w:bottom w:val="single" w:color="auto" w:sz="4"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农业</w:t>
            </w:r>
            <w:r>
              <w:rPr>
                <w:rFonts w:ascii="仿宋_GB2312" w:hAnsi="仿宋" w:eastAsia="仿宋_GB2312"/>
                <w:bCs/>
                <w:sz w:val="24"/>
                <w:szCs w:val="24"/>
              </w:rPr>
              <w:t>综合服务中心</w:t>
            </w:r>
          </w:p>
        </w:tc>
        <w:tc>
          <w:tcPr>
            <w:tcW w:w="170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股</w:t>
            </w:r>
            <w:r>
              <w:rPr>
                <w:rFonts w:ascii="仿宋_GB2312" w:hAnsi="仿宋" w:eastAsia="仿宋_GB2312"/>
                <w:bCs/>
                <w:sz w:val="24"/>
                <w:szCs w:val="24"/>
              </w:rPr>
              <w:t>级</w:t>
            </w:r>
          </w:p>
        </w:tc>
        <w:tc>
          <w:tcPr>
            <w:tcW w:w="326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eastAsia="仿宋_GB2312"/>
                <w:sz w:val="24"/>
                <w:szCs w:val="24"/>
              </w:rPr>
            </w:pPr>
            <w:r>
              <w:rPr>
                <w:rFonts w:hint="eastAsia" w:ascii="仿宋_GB2312" w:eastAsia="仿宋_GB2312"/>
                <w:sz w:val="24"/>
                <w:szCs w:val="24"/>
              </w:rPr>
              <w:t>财政性资金基本保障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right w:val="single" w:color="000000" w:sz="6"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4</w:t>
            </w:r>
          </w:p>
        </w:tc>
        <w:tc>
          <w:tcPr>
            <w:tcW w:w="2692" w:type="dxa"/>
            <w:tcBorders>
              <w:top w:val="single" w:color="auto" w:sz="4" w:space="0"/>
              <w:left w:val="single" w:color="000000" w:sz="6" w:space="0"/>
              <w:bottom w:val="single" w:color="auto" w:sz="4"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退役</w:t>
            </w:r>
            <w:r>
              <w:rPr>
                <w:rFonts w:ascii="仿宋_GB2312" w:hAnsi="仿宋" w:eastAsia="仿宋_GB2312"/>
                <w:bCs/>
                <w:sz w:val="24"/>
                <w:szCs w:val="24"/>
              </w:rPr>
              <w:t>军人服务站</w:t>
            </w:r>
          </w:p>
        </w:tc>
        <w:tc>
          <w:tcPr>
            <w:tcW w:w="1701"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股</w:t>
            </w:r>
            <w:r>
              <w:rPr>
                <w:rFonts w:ascii="仿宋_GB2312" w:hAnsi="仿宋" w:eastAsia="仿宋_GB2312"/>
                <w:bCs/>
                <w:sz w:val="24"/>
                <w:szCs w:val="24"/>
              </w:rPr>
              <w:t>级</w:t>
            </w:r>
          </w:p>
        </w:tc>
        <w:tc>
          <w:tcPr>
            <w:tcW w:w="3260" w:type="dxa"/>
            <w:tcBorders>
              <w:top w:val="single" w:color="000000" w:sz="6" w:space="0"/>
              <w:left w:val="single" w:color="000000" w:sz="6" w:space="0"/>
              <w:bottom w:val="single" w:color="000000" w:sz="6" w:space="0"/>
              <w:right w:val="single" w:color="000000" w:sz="6" w:space="0"/>
            </w:tcBorders>
            <w:vAlign w:val="center"/>
          </w:tcPr>
          <w:p>
            <w:pPr>
              <w:jc w:val="center"/>
              <w:rPr>
                <w:rFonts w:ascii="仿宋_GB2312" w:eastAsia="仿宋_GB2312"/>
                <w:sz w:val="24"/>
                <w:szCs w:val="24"/>
              </w:rPr>
            </w:pPr>
            <w:r>
              <w:rPr>
                <w:rFonts w:hint="eastAsia" w:ascii="仿宋_GB2312" w:eastAsia="仿宋_GB2312"/>
                <w:sz w:val="24"/>
                <w:szCs w:val="24"/>
              </w:rPr>
              <w:t>财政性资金基本保障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975.46</w:t>
      </w:r>
      <w:r>
        <w:rPr>
          <w:rFonts w:ascii="仿宋" w:hAnsi="仿宋" w:eastAsia="仿宋"/>
          <w:sz w:val="32"/>
          <w:szCs w:val="32"/>
        </w:rPr>
        <w:t>万元,其中：一般公共预算收入</w:t>
      </w:r>
      <w:r>
        <w:rPr>
          <w:rFonts w:hint="eastAsia" w:ascii="仿宋" w:hAnsi="仿宋" w:eastAsia="仿宋"/>
          <w:sz w:val="32"/>
          <w:szCs w:val="32"/>
        </w:rPr>
        <w:t>975.46</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万元，财政专户收入0万元，其他来源收入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2022年单位支出预算：</w:t>
      </w:r>
      <w:r>
        <w:rPr>
          <w:rFonts w:hint="eastAsia" w:ascii="仿宋" w:hAnsi="仿宋" w:eastAsia="仿宋"/>
          <w:sz w:val="32"/>
          <w:szCs w:val="32"/>
        </w:rPr>
        <w:t>975.46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基本支出975.46万元</w:t>
      </w:r>
    </w:p>
    <w:p>
      <w:pPr>
        <w:spacing w:line="360" w:lineRule="auto"/>
        <w:ind w:firstLine="640" w:firstLineChars="200"/>
        <w:rPr>
          <w:rFonts w:ascii="仿宋" w:hAnsi="仿宋" w:eastAsia="仿宋"/>
          <w:sz w:val="32"/>
          <w:szCs w:val="32"/>
        </w:rPr>
      </w:pPr>
      <w:r>
        <w:rPr>
          <w:rFonts w:ascii="仿宋" w:hAnsi="仿宋" w:eastAsia="仿宋"/>
          <w:sz w:val="32"/>
          <w:szCs w:val="32"/>
        </w:rPr>
        <w:t>其中：人员经费</w:t>
      </w:r>
      <w:r>
        <w:rPr>
          <w:rFonts w:hint="eastAsia" w:ascii="仿宋" w:hAnsi="仿宋" w:eastAsia="仿宋"/>
          <w:sz w:val="32"/>
          <w:szCs w:val="32"/>
        </w:rPr>
        <w:t>942.39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日常公用经费</w:t>
      </w:r>
      <w:r>
        <w:rPr>
          <w:rFonts w:hint="eastAsia" w:ascii="仿宋" w:hAnsi="仿宋" w:eastAsia="仿宋"/>
          <w:sz w:val="32"/>
          <w:szCs w:val="32"/>
        </w:rPr>
        <w:t>33.07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其中：本级支出</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本年度预算收支安排975.46万元，较上年增加546.72</w:t>
      </w:r>
      <w:r>
        <w:rPr>
          <w:rFonts w:ascii="仿宋" w:hAnsi="仿宋" w:eastAsia="仿宋"/>
          <w:sz w:val="32"/>
          <w:szCs w:val="32"/>
        </w:rPr>
        <w:t>万元。其中:基本支出增加</w:t>
      </w:r>
      <w:r>
        <w:rPr>
          <w:rFonts w:hint="eastAsia" w:ascii="仿宋" w:hAnsi="仿宋" w:eastAsia="仿宋"/>
          <w:sz w:val="32"/>
          <w:szCs w:val="32"/>
        </w:rPr>
        <w:t>546.72</w:t>
      </w:r>
      <w:r>
        <w:rPr>
          <w:rFonts w:ascii="仿宋" w:hAnsi="仿宋" w:eastAsia="仿宋"/>
          <w:sz w:val="32"/>
          <w:szCs w:val="32"/>
        </w:rPr>
        <w:t>万元，主要原因是</w:t>
      </w:r>
      <w:r>
        <w:rPr>
          <w:rFonts w:hint="eastAsia" w:ascii="仿宋" w:hAnsi="仿宋" w:eastAsia="仿宋"/>
          <w:sz w:val="32"/>
          <w:szCs w:val="32"/>
        </w:rPr>
        <w:t>人员经费</w:t>
      </w:r>
      <w:r>
        <w:rPr>
          <w:rFonts w:ascii="仿宋" w:hAnsi="仿宋" w:eastAsia="仿宋"/>
          <w:sz w:val="32"/>
          <w:szCs w:val="32"/>
        </w:rPr>
        <w:t>增</w:t>
      </w:r>
      <w:r>
        <w:rPr>
          <w:rFonts w:hint="eastAsia" w:ascii="仿宋" w:hAnsi="仿宋" w:eastAsia="仿宋"/>
          <w:sz w:val="32"/>
          <w:szCs w:val="32"/>
        </w:rPr>
        <w:t>加及</w:t>
      </w:r>
      <w:r>
        <w:rPr>
          <w:rFonts w:ascii="仿宋" w:hAnsi="仿宋" w:eastAsia="仿宋"/>
          <w:sz w:val="32"/>
          <w:szCs w:val="32"/>
        </w:rPr>
        <w:t>增资</w:t>
      </w:r>
      <w:r>
        <w:rPr>
          <w:rFonts w:hint="eastAsia" w:ascii="仿宋" w:hAnsi="仿宋" w:eastAsia="仿宋"/>
          <w:sz w:val="32"/>
          <w:szCs w:val="32"/>
        </w:rPr>
        <w:t>。</w:t>
      </w:r>
      <w:r>
        <w:rPr>
          <w:rFonts w:ascii="仿宋" w:hAnsi="仿宋" w:eastAsia="仿宋"/>
          <w:sz w:val="32"/>
          <w:szCs w:val="32"/>
        </w:rPr>
        <w:t xml:space="preserve"> </w:t>
      </w: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2022年我单位机关运行经费安排</w:t>
      </w:r>
      <w:r>
        <w:rPr>
          <w:rFonts w:hint="eastAsia" w:ascii="仿宋" w:hAnsi="仿宋" w:eastAsia="仿宋"/>
          <w:sz w:val="32"/>
          <w:szCs w:val="32"/>
        </w:rPr>
        <w:t>33.07</w:t>
      </w:r>
      <w:r>
        <w:rPr>
          <w:rFonts w:ascii="仿宋" w:hAnsi="仿宋" w:eastAsia="仿宋"/>
          <w:sz w:val="32"/>
          <w:szCs w:val="32"/>
        </w:rPr>
        <w:t>万元，其中办公费</w:t>
      </w:r>
      <w:r>
        <w:rPr>
          <w:rFonts w:hint="eastAsia" w:ascii="仿宋" w:hAnsi="仿宋" w:eastAsia="仿宋"/>
          <w:sz w:val="32"/>
          <w:szCs w:val="32"/>
        </w:rPr>
        <w:t>19.12</w:t>
      </w:r>
      <w:r>
        <w:rPr>
          <w:rFonts w:ascii="仿宋" w:hAnsi="仿宋" w:eastAsia="仿宋"/>
          <w:sz w:val="32"/>
          <w:szCs w:val="32"/>
        </w:rPr>
        <w:t>万元，邮电费</w:t>
      </w:r>
      <w:r>
        <w:rPr>
          <w:rFonts w:hint="eastAsia" w:ascii="仿宋" w:hAnsi="仿宋" w:eastAsia="仿宋"/>
          <w:sz w:val="32"/>
          <w:szCs w:val="32"/>
        </w:rPr>
        <w:t>0.86</w:t>
      </w:r>
      <w:r>
        <w:rPr>
          <w:rFonts w:ascii="仿宋" w:hAnsi="仿宋" w:eastAsia="仿宋"/>
          <w:sz w:val="32"/>
          <w:szCs w:val="32"/>
        </w:rPr>
        <w:t>万元，工会经费、福利费</w:t>
      </w:r>
      <w:r>
        <w:rPr>
          <w:rFonts w:hint="eastAsia" w:ascii="仿宋" w:hAnsi="仿宋" w:eastAsia="仿宋"/>
          <w:sz w:val="32"/>
          <w:szCs w:val="32"/>
        </w:rPr>
        <w:t>13.1</w:t>
      </w:r>
      <w:r>
        <w:rPr>
          <w:rFonts w:ascii="仿宋" w:hAnsi="仿宋" w:eastAsia="仿宋"/>
          <w:sz w:val="32"/>
          <w:szCs w:val="32"/>
        </w:rPr>
        <w:t>万元。</w:t>
      </w: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10"/>
        <w:tblW w:w="14174" w:type="dxa"/>
        <w:tblInd w:w="0" w:type="dxa"/>
        <w:tblLayout w:type="fixed"/>
        <w:tblCellMar>
          <w:top w:w="0" w:type="dxa"/>
          <w:left w:w="108" w:type="dxa"/>
          <w:bottom w:w="0" w:type="dxa"/>
          <w:right w:w="108" w:type="dxa"/>
        </w:tblCellMar>
      </w:tblPr>
      <w:tblGrid>
        <w:gridCol w:w="14174"/>
      </w:tblGrid>
      <w:tr>
        <w:tblPrEx>
          <w:tblLayout w:type="fixed"/>
          <w:tblCellMar>
            <w:top w:w="0" w:type="dxa"/>
            <w:left w:w="108" w:type="dxa"/>
            <w:bottom w:w="0" w:type="dxa"/>
            <w:right w:w="108" w:type="dxa"/>
          </w:tblCellMar>
        </w:tblPrEx>
        <w:trPr>
          <w:trHeight w:val="405" w:hRule="atLeast"/>
        </w:trPr>
        <w:tc>
          <w:tcPr>
            <w:tcW w:w="14174" w:type="dxa"/>
            <w:tcBorders>
              <w:top w:val="nil"/>
              <w:left w:val="nil"/>
              <w:bottom w:val="nil"/>
              <w:right w:val="nil"/>
            </w:tcBorders>
            <w:shd w:val="clear" w:color="auto" w:fill="auto"/>
            <w:vAlign w:val="center"/>
          </w:tcPr>
          <w:tbl>
            <w:tblPr>
              <w:tblStyle w:val="10"/>
              <w:tblW w:w="8195" w:type="dxa"/>
              <w:jc w:val="center"/>
              <w:tblInd w:w="0" w:type="dxa"/>
              <w:tblLayout w:type="fixed"/>
              <w:tblCellMar>
                <w:top w:w="0" w:type="dxa"/>
                <w:left w:w="108" w:type="dxa"/>
                <w:bottom w:w="0" w:type="dxa"/>
                <w:right w:w="108" w:type="dxa"/>
              </w:tblCellMar>
            </w:tblPr>
            <w:tblGrid>
              <w:gridCol w:w="2163"/>
              <w:gridCol w:w="1276"/>
              <w:gridCol w:w="1418"/>
              <w:gridCol w:w="941"/>
              <w:gridCol w:w="2397"/>
            </w:tblGrid>
            <w:tr>
              <w:tblPrEx>
                <w:tblLayout w:type="fixed"/>
                <w:tblCellMar>
                  <w:top w:w="0" w:type="dxa"/>
                  <w:left w:w="108" w:type="dxa"/>
                  <w:bottom w:w="0" w:type="dxa"/>
                  <w:right w:w="108" w:type="dxa"/>
                </w:tblCellMar>
              </w:tblPrEx>
              <w:trPr>
                <w:trHeight w:val="405" w:hRule="atLeast"/>
                <w:jc w:val="center"/>
              </w:trPr>
              <w:tc>
                <w:tcPr>
                  <w:tcW w:w="8195"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Layout w:type="fixed"/>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941"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Layout w:type="fixed"/>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94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Layout w:type="fixed"/>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Layout w:type="fixed"/>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Layout w:type="fixed"/>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Layout w:type="fixed"/>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Layout w:type="fixed"/>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tblPrEx>
                <w:tblLayout w:type="fixed"/>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941"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单位整体</w:t>
      </w:r>
      <w:r>
        <w:rPr>
          <w:rFonts w:ascii="方正小标宋_GBK" w:eastAsia="方正小标宋_GBK"/>
          <w:sz w:val="44"/>
        </w:rPr>
        <w:t>绩效目标</w:t>
      </w:r>
    </w:p>
    <w:p>
      <w:pPr>
        <w:spacing w:beforeLines="50" w:afterLines="50"/>
        <w:ind w:firstLine="560" w:firstLineChars="200"/>
        <w:jc w:val="left"/>
        <w:outlineLvl w:val="1"/>
        <w:rPr>
          <w:rFonts w:ascii="Times New Roman" w:hAnsi="宋体" w:eastAsia="宋体"/>
          <w:sz w:val="28"/>
        </w:rPr>
      </w:pPr>
      <w:r>
        <w:rPr>
          <w:rFonts w:hint="eastAsia" w:ascii="方正黑体_GBK" w:eastAsia="方正黑体_GBK"/>
          <w:sz w:val="28"/>
        </w:rPr>
        <w:t>一、总体绩效目标</w:t>
      </w:r>
      <w:r>
        <w:rPr>
          <w:rFonts w:ascii="方正黑体_GBK" w:eastAsia="方正黑体_GBK"/>
          <w:sz w:val="28"/>
        </w:rPr>
        <w:fldChar w:fldCharType="begin"/>
      </w:r>
      <w:r>
        <w:rPr>
          <w:rFonts w:hint="eastAsia" w:ascii="方正黑体_GBK" w:eastAsia="方正黑体_GBK"/>
          <w:sz w:val="28"/>
        </w:rPr>
        <w:instrText xml:space="preserve">TC 总体绩效目标 \f A \l 1</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以习近平新时代中国特色社会主义思想为指导，全面贯彻落实党的十九届二中、三中、四中全会以及中央经济工作会议精神，深入落实习近平总书记、省、市、区对政府乡村工作的重要精神，主动适应新形势、新任务、新要求，不断增强做好工作的责任感和使命感，全面提升</w:t>
      </w:r>
      <w:r>
        <w:rPr>
          <w:rFonts w:ascii="Times New Roman" w:eastAsia="方正仿宋_GBK"/>
          <w:sz w:val="28"/>
        </w:rPr>
        <w:t>“</w:t>
      </w:r>
      <w:r>
        <w:rPr>
          <w:rFonts w:hint="eastAsia" w:ascii="Times New Roman" w:hAnsi="微软雅黑" w:eastAsia="方正仿宋_GBK" w:cs="微软雅黑"/>
          <w:sz w:val="28"/>
        </w:rPr>
        <w:t>四个服务</w:t>
      </w:r>
      <w:r>
        <w:rPr>
          <w:rFonts w:ascii="Times New Roman" w:eastAsia="方正仿宋_GBK"/>
          <w:sz w:val="28"/>
        </w:rPr>
        <w:t>”</w:t>
      </w:r>
      <w:r>
        <w:rPr>
          <w:rFonts w:hint="eastAsia" w:ascii="Times New Roman" w:hAnsi="微软雅黑" w:eastAsia="方正仿宋_GBK" w:cs="微软雅黑"/>
          <w:sz w:val="28"/>
        </w:rPr>
        <w:t>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2022年，我单位无政府采购预算，空表列示。</w:t>
      </w:r>
    </w:p>
    <w:p>
      <w:pPr>
        <w:spacing w:line="360" w:lineRule="auto"/>
        <w:rPr>
          <w:rFonts w:ascii="仿宋" w:hAnsi="仿宋" w:eastAsia="仿宋"/>
          <w:sz w:val="32"/>
          <w:szCs w:val="32"/>
        </w:rPr>
      </w:pPr>
      <w:r>
        <w:rPr>
          <w:rFonts w:hint="eastAsia" w:ascii="仿宋" w:hAnsi="仿宋" w:eastAsia="仿宋"/>
          <w:sz w:val="32"/>
          <w:szCs w:val="32"/>
        </w:rPr>
        <w:t xml:space="preserve">    保定市徐水区户木乡人民政府</w:t>
      </w:r>
    </w:p>
    <w:tbl>
      <w:tblPr>
        <w:tblStyle w:val="10"/>
        <w:tblW w:w="1316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985" w:type="dxa"/>
            <w:gridSpan w:val="2"/>
            <w:vAlign w:val="center"/>
          </w:tcPr>
          <w:p>
            <w:pPr>
              <w:spacing w:line="700" w:lineRule="exact"/>
              <w:jc w:val="center"/>
              <w:rPr>
                <w:rFonts w:ascii="方正书宋_GBK" w:eastAsia="方正书宋_GBK"/>
                <w:b/>
              </w:rPr>
            </w:pPr>
            <w:r>
              <w:rPr>
                <w:rFonts w:hint="eastAsia" w:ascii="宋体" w:hAnsi="宋体" w:cs="宋体"/>
                <w:b/>
              </w:rPr>
              <w:t>政府采购项目来源</w:t>
            </w:r>
          </w:p>
        </w:tc>
        <w:tc>
          <w:tcPr>
            <w:tcW w:w="1134" w:type="dxa"/>
            <w:vMerge w:val="restart"/>
            <w:vAlign w:val="center"/>
          </w:tcPr>
          <w:p>
            <w:pPr>
              <w:spacing w:line="700" w:lineRule="exact"/>
              <w:jc w:val="center"/>
              <w:rPr>
                <w:rFonts w:ascii="方正书宋_GBK" w:eastAsia="方正书宋_GBK"/>
                <w:b/>
              </w:rPr>
            </w:pPr>
            <w:r>
              <w:rPr>
                <w:rFonts w:hint="eastAsia" w:ascii="宋体" w:hAnsi="宋体" w:cs="宋体"/>
                <w:b/>
              </w:rPr>
              <w:t>采购物品名称</w:t>
            </w:r>
          </w:p>
        </w:tc>
        <w:tc>
          <w:tcPr>
            <w:tcW w:w="1134" w:type="dxa"/>
            <w:vMerge w:val="restart"/>
            <w:vAlign w:val="center"/>
          </w:tcPr>
          <w:p>
            <w:pPr>
              <w:spacing w:line="700" w:lineRule="exact"/>
              <w:jc w:val="center"/>
              <w:rPr>
                <w:rFonts w:ascii="方正书宋_GBK" w:eastAsia="方正书宋_GBK"/>
                <w:b/>
              </w:rPr>
            </w:pPr>
            <w:r>
              <w:rPr>
                <w:rFonts w:hint="eastAsia" w:ascii="宋体" w:hAnsi="宋体" w:cs="宋体"/>
                <w:b/>
              </w:rPr>
              <w:t>政府采购目录序号</w:t>
            </w:r>
          </w:p>
        </w:tc>
        <w:tc>
          <w:tcPr>
            <w:tcW w:w="992" w:type="dxa"/>
            <w:vMerge w:val="restart"/>
            <w:vAlign w:val="center"/>
          </w:tcPr>
          <w:p>
            <w:pPr>
              <w:spacing w:line="700" w:lineRule="exact"/>
              <w:jc w:val="center"/>
              <w:rPr>
                <w:rFonts w:ascii="方正书宋_GBK" w:eastAsia="方正书宋_GBK"/>
                <w:b/>
              </w:rPr>
            </w:pPr>
            <w:r>
              <w:rPr>
                <w:rFonts w:hint="eastAsia" w:ascii="宋体" w:hAnsi="宋体" w:cs="宋体"/>
                <w:b/>
              </w:rPr>
              <w:t>数量单位</w:t>
            </w:r>
          </w:p>
        </w:tc>
        <w:tc>
          <w:tcPr>
            <w:tcW w:w="851" w:type="dxa"/>
            <w:vMerge w:val="restart"/>
            <w:vAlign w:val="center"/>
          </w:tcPr>
          <w:p>
            <w:pPr>
              <w:spacing w:line="700" w:lineRule="exact"/>
              <w:jc w:val="center"/>
              <w:rPr>
                <w:rFonts w:ascii="方正书宋_GBK" w:eastAsia="方正书宋_GBK"/>
                <w:b/>
              </w:rPr>
            </w:pPr>
            <w:r>
              <w:rPr>
                <w:rFonts w:hint="eastAsia" w:ascii="宋体" w:hAnsi="宋体" w:cs="宋体"/>
                <w:b/>
              </w:rPr>
              <w:t>数量</w:t>
            </w:r>
          </w:p>
        </w:tc>
        <w:tc>
          <w:tcPr>
            <w:tcW w:w="834" w:type="dxa"/>
            <w:vMerge w:val="restart"/>
            <w:vAlign w:val="center"/>
          </w:tcPr>
          <w:p>
            <w:pPr>
              <w:spacing w:line="700" w:lineRule="exact"/>
              <w:jc w:val="center"/>
              <w:rPr>
                <w:rFonts w:ascii="方正书宋_GBK" w:eastAsia="方正书宋_GBK"/>
                <w:b/>
              </w:rPr>
            </w:pPr>
            <w:r>
              <w:rPr>
                <w:rFonts w:hint="eastAsia" w:ascii="宋体" w:hAnsi="宋体" w:cs="宋体"/>
                <w:b/>
              </w:rPr>
              <w:t>单价</w:t>
            </w:r>
          </w:p>
        </w:tc>
        <w:tc>
          <w:tcPr>
            <w:tcW w:w="6237" w:type="dxa"/>
            <w:gridSpan w:val="7"/>
            <w:vAlign w:val="center"/>
          </w:tcPr>
          <w:p>
            <w:pPr>
              <w:spacing w:line="700" w:lineRule="exact"/>
              <w:jc w:val="center"/>
              <w:rPr>
                <w:rFonts w:ascii="方正书宋_GBK" w:eastAsia="方正书宋_GBK"/>
                <w:b/>
              </w:rPr>
            </w:pPr>
            <w:r>
              <w:rPr>
                <w:rFonts w:hint="eastAsia" w:ascii="宋体" w:hAnsi="宋体" w:cs="宋体"/>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221" w:type="dxa"/>
            <w:vMerge w:val="restart"/>
            <w:vAlign w:val="center"/>
          </w:tcPr>
          <w:p>
            <w:pPr>
              <w:spacing w:line="700" w:lineRule="exact"/>
              <w:jc w:val="center"/>
              <w:rPr>
                <w:rFonts w:ascii="方正书宋_GBK" w:eastAsia="方正书宋_GBK"/>
                <w:b/>
              </w:rPr>
            </w:pPr>
            <w:r>
              <w:rPr>
                <w:rFonts w:hint="eastAsia" w:ascii="宋体" w:hAnsi="宋体" w:cs="宋体"/>
                <w:b/>
              </w:rPr>
              <w:t>项目名称</w:t>
            </w:r>
          </w:p>
        </w:tc>
        <w:tc>
          <w:tcPr>
            <w:tcW w:w="764" w:type="dxa"/>
            <w:vMerge w:val="restart"/>
            <w:vAlign w:val="center"/>
          </w:tcPr>
          <w:p>
            <w:pPr>
              <w:spacing w:line="700" w:lineRule="exact"/>
              <w:jc w:val="center"/>
              <w:rPr>
                <w:rFonts w:ascii="方正书宋_GBK" w:eastAsia="方正书宋_GBK"/>
                <w:b/>
              </w:rPr>
            </w:pPr>
            <w:r>
              <w:rPr>
                <w:rFonts w:hint="eastAsia" w:ascii="宋体" w:hAnsi="宋体" w:cs="宋体"/>
                <w:b/>
              </w:rPr>
              <w:t>预算资金</w:t>
            </w:r>
          </w:p>
        </w:tc>
        <w:tc>
          <w:tcPr>
            <w:tcW w:w="1134" w:type="dxa"/>
            <w:vMerge w:val="continue"/>
            <w:vAlign w:val="center"/>
          </w:tcPr>
          <w:p>
            <w:pPr>
              <w:spacing w:line="700" w:lineRule="exact"/>
              <w:jc w:val="left"/>
              <w:outlineLvl w:val="0"/>
            </w:pPr>
          </w:p>
        </w:tc>
        <w:tc>
          <w:tcPr>
            <w:tcW w:w="1134" w:type="dxa"/>
            <w:vMerge w:val="continue"/>
            <w:vAlign w:val="center"/>
          </w:tcPr>
          <w:p>
            <w:pPr>
              <w:spacing w:line="700" w:lineRule="exact"/>
              <w:jc w:val="left"/>
              <w:outlineLvl w:val="0"/>
            </w:pPr>
          </w:p>
        </w:tc>
        <w:tc>
          <w:tcPr>
            <w:tcW w:w="992" w:type="dxa"/>
            <w:vMerge w:val="continue"/>
            <w:vAlign w:val="center"/>
          </w:tcPr>
          <w:p>
            <w:pPr>
              <w:spacing w:line="700" w:lineRule="exact"/>
              <w:jc w:val="left"/>
              <w:outlineLvl w:val="0"/>
            </w:pPr>
          </w:p>
        </w:tc>
        <w:tc>
          <w:tcPr>
            <w:tcW w:w="851" w:type="dxa"/>
            <w:vMerge w:val="continue"/>
            <w:vAlign w:val="center"/>
          </w:tcPr>
          <w:p>
            <w:pPr>
              <w:spacing w:line="700" w:lineRule="exact"/>
              <w:jc w:val="left"/>
              <w:outlineLvl w:val="0"/>
            </w:pPr>
          </w:p>
        </w:tc>
        <w:tc>
          <w:tcPr>
            <w:tcW w:w="834" w:type="dxa"/>
            <w:vMerge w:val="continue"/>
            <w:vAlign w:val="center"/>
          </w:tcPr>
          <w:p>
            <w:pPr>
              <w:spacing w:line="700" w:lineRule="exact"/>
              <w:jc w:val="left"/>
              <w:outlineLvl w:val="0"/>
            </w:pPr>
          </w:p>
        </w:tc>
        <w:tc>
          <w:tcPr>
            <w:tcW w:w="709" w:type="dxa"/>
            <w:vMerge w:val="restart"/>
            <w:vAlign w:val="center"/>
          </w:tcPr>
          <w:p>
            <w:pPr>
              <w:spacing w:line="700" w:lineRule="exact"/>
              <w:jc w:val="center"/>
              <w:rPr>
                <w:rFonts w:ascii="方正书宋_GBK" w:eastAsia="方正书宋_GBK"/>
                <w:b/>
              </w:rPr>
            </w:pPr>
            <w:r>
              <w:rPr>
                <w:rFonts w:hint="eastAsia" w:ascii="宋体" w:hAnsi="宋体" w:cs="宋体"/>
                <w:b/>
              </w:rPr>
              <w:t>总计</w:t>
            </w:r>
          </w:p>
        </w:tc>
        <w:tc>
          <w:tcPr>
            <w:tcW w:w="4678" w:type="dxa"/>
            <w:gridSpan w:val="5"/>
            <w:vAlign w:val="center"/>
          </w:tcPr>
          <w:p>
            <w:pPr>
              <w:spacing w:line="700" w:lineRule="exact"/>
              <w:jc w:val="center"/>
              <w:rPr>
                <w:rFonts w:ascii="方正书宋_GBK" w:eastAsia="方正书宋_GBK"/>
                <w:b/>
              </w:rPr>
            </w:pPr>
            <w:r>
              <w:rPr>
                <w:rFonts w:hint="eastAsia" w:ascii="宋体" w:hAnsi="宋体" w:cs="宋体"/>
                <w:b/>
              </w:rPr>
              <w:t>当年单位预算安排资金</w:t>
            </w:r>
          </w:p>
        </w:tc>
        <w:tc>
          <w:tcPr>
            <w:tcW w:w="850" w:type="dxa"/>
            <w:vMerge w:val="restart"/>
            <w:vAlign w:val="center"/>
          </w:tcPr>
          <w:p>
            <w:pPr>
              <w:spacing w:line="700" w:lineRule="exact"/>
              <w:jc w:val="center"/>
              <w:rPr>
                <w:rFonts w:ascii="方正书宋_GBK" w:eastAsia="方正书宋_GBK"/>
                <w:b/>
              </w:rPr>
            </w:pPr>
            <w:r>
              <w:rPr>
                <w:rFonts w:hint="eastAsia" w:ascii="宋体" w:hAnsi="宋体" w:cs="宋体"/>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221" w:type="dxa"/>
            <w:vMerge w:val="continue"/>
            <w:vAlign w:val="center"/>
          </w:tcPr>
          <w:p>
            <w:pPr>
              <w:spacing w:line="700" w:lineRule="exact"/>
              <w:jc w:val="left"/>
              <w:outlineLvl w:val="0"/>
            </w:pPr>
          </w:p>
        </w:tc>
        <w:tc>
          <w:tcPr>
            <w:tcW w:w="764" w:type="dxa"/>
            <w:vMerge w:val="continue"/>
            <w:vAlign w:val="center"/>
          </w:tcPr>
          <w:p>
            <w:pPr>
              <w:spacing w:line="700" w:lineRule="exact"/>
              <w:jc w:val="left"/>
              <w:outlineLvl w:val="0"/>
            </w:pPr>
          </w:p>
        </w:tc>
        <w:tc>
          <w:tcPr>
            <w:tcW w:w="1134" w:type="dxa"/>
            <w:vMerge w:val="continue"/>
            <w:vAlign w:val="center"/>
          </w:tcPr>
          <w:p>
            <w:pPr>
              <w:spacing w:line="700" w:lineRule="exact"/>
              <w:jc w:val="left"/>
              <w:outlineLvl w:val="0"/>
            </w:pPr>
          </w:p>
        </w:tc>
        <w:tc>
          <w:tcPr>
            <w:tcW w:w="1134" w:type="dxa"/>
            <w:vMerge w:val="continue"/>
            <w:vAlign w:val="center"/>
          </w:tcPr>
          <w:p>
            <w:pPr>
              <w:spacing w:line="700" w:lineRule="exact"/>
              <w:jc w:val="left"/>
              <w:outlineLvl w:val="0"/>
            </w:pPr>
          </w:p>
        </w:tc>
        <w:tc>
          <w:tcPr>
            <w:tcW w:w="992" w:type="dxa"/>
            <w:vMerge w:val="continue"/>
            <w:vAlign w:val="center"/>
          </w:tcPr>
          <w:p>
            <w:pPr>
              <w:spacing w:line="700" w:lineRule="exact"/>
              <w:jc w:val="left"/>
              <w:outlineLvl w:val="0"/>
            </w:pPr>
          </w:p>
        </w:tc>
        <w:tc>
          <w:tcPr>
            <w:tcW w:w="851" w:type="dxa"/>
            <w:vMerge w:val="continue"/>
            <w:vAlign w:val="center"/>
          </w:tcPr>
          <w:p>
            <w:pPr>
              <w:spacing w:line="700" w:lineRule="exact"/>
              <w:jc w:val="left"/>
              <w:outlineLvl w:val="0"/>
            </w:pPr>
          </w:p>
        </w:tc>
        <w:tc>
          <w:tcPr>
            <w:tcW w:w="834" w:type="dxa"/>
            <w:vMerge w:val="continue"/>
            <w:vAlign w:val="center"/>
          </w:tcPr>
          <w:p>
            <w:pPr>
              <w:spacing w:line="700" w:lineRule="exact"/>
              <w:jc w:val="left"/>
              <w:outlineLvl w:val="0"/>
            </w:pPr>
          </w:p>
        </w:tc>
        <w:tc>
          <w:tcPr>
            <w:tcW w:w="709" w:type="dxa"/>
            <w:vMerge w:val="continue"/>
            <w:vAlign w:val="center"/>
          </w:tcPr>
          <w:p>
            <w:pPr>
              <w:spacing w:line="700" w:lineRule="exact"/>
              <w:jc w:val="left"/>
              <w:outlineLvl w:val="0"/>
            </w:pPr>
          </w:p>
        </w:tc>
        <w:tc>
          <w:tcPr>
            <w:tcW w:w="992" w:type="dxa"/>
            <w:vAlign w:val="center"/>
          </w:tcPr>
          <w:p>
            <w:pPr>
              <w:spacing w:line="700" w:lineRule="exact"/>
              <w:jc w:val="center"/>
              <w:rPr>
                <w:rFonts w:ascii="方正书宋_GBK" w:eastAsia="方正书宋_GBK"/>
                <w:b/>
              </w:rPr>
            </w:pPr>
            <w:r>
              <w:rPr>
                <w:rFonts w:hint="eastAsia" w:ascii="宋体" w:hAnsi="宋体" w:cs="宋体"/>
                <w:b/>
              </w:rPr>
              <w:t>合计</w:t>
            </w:r>
          </w:p>
        </w:tc>
        <w:tc>
          <w:tcPr>
            <w:tcW w:w="1134" w:type="dxa"/>
            <w:vAlign w:val="center"/>
          </w:tcPr>
          <w:p>
            <w:pPr>
              <w:spacing w:line="700" w:lineRule="exact"/>
              <w:jc w:val="center"/>
              <w:rPr>
                <w:rFonts w:ascii="方正书宋_GBK" w:eastAsia="方正书宋_GBK"/>
                <w:b/>
              </w:rPr>
            </w:pPr>
            <w:r>
              <w:rPr>
                <w:rFonts w:hint="eastAsia" w:ascii="宋体" w:hAnsi="宋体" w:cs="宋体"/>
                <w:b/>
              </w:rPr>
              <w:t>一般公共预算拨款</w:t>
            </w:r>
          </w:p>
        </w:tc>
        <w:tc>
          <w:tcPr>
            <w:tcW w:w="851" w:type="dxa"/>
            <w:vAlign w:val="center"/>
          </w:tcPr>
          <w:p>
            <w:pPr>
              <w:spacing w:line="700" w:lineRule="exact"/>
              <w:jc w:val="center"/>
              <w:rPr>
                <w:rFonts w:ascii="方正书宋_GBK" w:eastAsia="方正书宋_GBK"/>
                <w:b/>
              </w:rPr>
            </w:pPr>
            <w:r>
              <w:rPr>
                <w:rFonts w:hint="eastAsia" w:ascii="宋体" w:hAnsi="宋体" w:cs="宋体"/>
                <w:b/>
              </w:rPr>
              <w:t>基金预算拨款</w:t>
            </w:r>
          </w:p>
        </w:tc>
        <w:tc>
          <w:tcPr>
            <w:tcW w:w="850" w:type="dxa"/>
            <w:vAlign w:val="center"/>
          </w:tcPr>
          <w:p>
            <w:pPr>
              <w:spacing w:line="700" w:lineRule="exact"/>
              <w:jc w:val="center"/>
              <w:rPr>
                <w:rFonts w:ascii="方正书宋_GBK" w:eastAsia="方正书宋_GBK"/>
                <w:b/>
              </w:rPr>
            </w:pPr>
            <w:r>
              <w:rPr>
                <w:rFonts w:hint="eastAsia" w:ascii="宋体" w:hAnsi="宋体" w:cs="宋体"/>
                <w:b/>
              </w:rPr>
              <w:t>财政专户核拨</w:t>
            </w:r>
          </w:p>
        </w:tc>
        <w:tc>
          <w:tcPr>
            <w:tcW w:w="851" w:type="dxa"/>
            <w:vAlign w:val="center"/>
          </w:tcPr>
          <w:p>
            <w:pPr>
              <w:spacing w:line="700" w:lineRule="exact"/>
              <w:jc w:val="center"/>
              <w:rPr>
                <w:rFonts w:ascii="方正书宋_GBK" w:eastAsia="方正书宋_GBK"/>
                <w:b/>
              </w:rPr>
            </w:pPr>
            <w:r>
              <w:rPr>
                <w:rFonts w:hint="eastAsia" w:ascii="宋体" w:hAnsi="宋体" w:cs="宋体"/>
                <w:b/>
              </w:rPr>
              <w:t>其他来源收入</w:t>
            </w:r>
          </w:p>
        </w:tc>
        <w:tc>
          <w:tcPr>
            <w:tcW w:w="850" w:type="dxa"/>
            <w:vMerge w:val="continue"/>
            <w:vAlign w:val="center"/>
          </w:tcPr>
          <w:p>
            <w:pPr>
              <w:spacing w:line="7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64" w:hRule="atLeast"/>
          <w:jc w:val="center"/>
        </w:trPr>
        <w:tc>
          <w:tcPr>
            <w:tcW w:w="1221" w:type="dxa"/>
            <w:vAlign w:val="center"/>
          </w:tcPr>
          <w:p>
            <w:pPr>
              <w:spacing w:line="700" w:lineRule="exact"/>
              <w:jc w:val="center"/>
              <w:rPr>
                <w:rFonts w:ascii="方正书宋_GBK" w:eastAsia="方正书宋_GBK"/>
                <w:b/>
              </w:rPr>
            </w:pPr>
          </w:p>
        </w:tc>
        <w:tc>
          <w:tcPr>
            <w:tcW w:w="764" w:type="dxa"/>
            <w:vAlign w:val="center"/>
          </w:tcPr>
          <w:p>
            <w:pPr>
              <w:spacing w:line="700" w:lineRule="exact"/>
              <w:jc w:val="right"/>
              <w:rPr>
                <w:rFonts w:ascii="方正书宋_GBK" w:eastAsia="方正书宋_GBK"/>
                <w:b/>
              </w:rPr>
            </w:pPr>
          </w:p>
        </w:tc>
        <w:tc>
          <w:tcPr>
            <w:tcW w:w="1134" w:type="dxa"/>
            <w:vAlign w:val="center"/>
          </w:tcPr>
          <w:p>
            <w:pPr>
              <w:spacing w:line="700" w:lineRule="exact"/>
              <w:jc w:val="left"/>
              <w:rPr>
                <w:rFonts w:ascii="方正书宋_GBK" w:eastAsia="方正书宋_GBK"/>
                <w:b/>
              </w:rPr>
            </w:pPr>
          </w:p>
        </w:tc>
        <w:tc>
          <w:tcPr>
            <w:tcW w:w="1134" w:type="dxa"/>
            <w:vAlign w:val="center"/>
          </w:tcPr>
          <w:p>
            <w:pPr>
              <w:spacing w:line="700" w:lineRule="exact"/>
              <w:jc w:val="left"/>
              <w:rPr>
                <w:rFonts w:ascii="方正书宋_GBK" w:eastAsia="方正书宋_GBK"/>
                <w:b/>
              </w:rPr>
            </w:pPr>
          </w:p>
        </w:tc>
        <w:tc>
          <w:tcPr>
            <w:tcW w:w="992" w:type="dxa"/>
            <w:vAlign w:val="center"/>
          </w:tcPr>
          <w:p>
            <w:pPr>
              <w:spacing w:line="700" w:lineRule="exact"/>
              <w:jc w:val="left"/>
              <w:rPr>
                <w:rFonts w:ascii="方正书宋_GBK" w:eastAsia="方正书宋_GBK"/>
                <w:b/>
              </w:rPr>
            </w:pPr>
          </w:p>
        </w:tc>
        <w:tc>
          <w:tcPr>
            <w:tcW w:w="851" w:type="dxa"/>
            <w:vAlign w:val="center"/>
          </w:tcPr>
          <w:p>
            <w:pPr>
              <w:spacing w:line="700" w:lineRule="exact"/>
              <w:jc w:val="right"/>
              <w:rPr>
                <w:rFonts w:ascii="方正书宋_GBK" w:eastAsia="方正书宋_GBK"/>
                <w:b/>
              </w:rPr>
            </w:pPr>
          </w:p>
        </w:tc>
        <w:tc>
          <w:tcPr>
            <w:tcW w:w="834" w:type="dxa"/>
            <w:vAlign w:val="center"/>
          </w:tcPr>
          <w:p/>
        </w:tc>
        <w:tc>
          <w:tcPr>
            <w:tcW w:w="709" w:type="dxa"/>
            <w:vAlign w:val="center"/>
          </w:tcPr>
          <w:p>
            <w:pPr>
              <w:spacing w:line="700" w:lineRule="exact"/>
              <w:jc w:val="right"/>
              <w:rPr>
                <w:rFonts w:ascii="方正书宋_GBK" w:eastAsia="方正书宋_GBK"/>
                <w:b/>
              </w:rPr>
            </w:pPr>
          </w:p>
        </w:tc>
        <w:tc>
          <w:tcPr>
            <w:tcW w:w="992" w:type="dxa"/>
            <w:vAlign w:val="center"/>
          </w:tcPr>
          <w:p>
            <w:pPr>
              <w:spacing w:line="700" w:lineRule="exact"/>
              <w:jc w:val="right"/>
              <w:rPr>
                <w:rFonts w:ascii="方正书宋_GBK" w:eastAsia="方正书宋_GBK"/>
                <w:b/>
              </w:rPr>
            </w:pPr>
          </w:p>
        </w:tc>
        <w:tc>
          <w:tcPr>
            <w:tcW w:w="1134" w:type="dxa"/>
            <w:vAlign w:val="center"/>
          </w:tcPr>
          <w:p>
            <w:pPr>
              <w:spacing w:line="700" w:lineRule="exact"/>
              <w:jc w:val="right"/>
              <w:rPr>
                <w:rFonts w:ascii="方正书宋_GBK" w:eastAsia="方正书宋_GBK"/>
                <w:b/>
              </w:rPr>
            </w:pPr>
          </w:p>
        </w:tc>
        <w:tc>
          <w:tcPr>
            <w:tcW w:w="851" w:type="dxa"/>
            <w:vAlign w:val="center"/>
          </w:tcPr>
          <w:p>
            <w:pPr>
              <w:spacing w:line="700" w:lineRule="exact"/>
              <w:jc w:val="right"/>
              <w:rPr>
                <w:rFonts w:ascii="方正书宋_GBK" w:eastAsia="方正书宋_GBK"/>
                <w:b/>
              </w:rPr>
            </w:pPr>
          </w:p>
        </w:tc>
        <w:tc>
          <w:tcPr>
            <w:tcW w:w="850" w:type="dxa"/>
            <w:vAlign w:val="center"/>
          </w:tcPr>
          <w:p>
            <w:pPr>
              <w:spacing w:line="700" w:lineRule="exact"/>
              <w:jc w:val="right"/>
              <w:rPr>
                <w:rFonts w:ascii="方正书宋_GBK" w:eastAsia="方正书宋_GBK"/>
                <w:b/>
              </w:rPr>
            </w:pPr>
          </w:p>
        </w:tc>
        <w:tc>
          <w:tcPr>
            <w:tcW w:w="851" w:type="dxa"/>
            <w:vAlign w:val="center"/>
          </w:tcPr>
          <w:p>
            <w:pPr>
              <w:spacing w:line="700" w:lineRule="exact"/>
              <w:jc w:val="right"/>
              <w:rPr>
                <w:rFonts w:ascii="方正书宋_GBK" w:eastAsia="方正书宋_GBK"/>
                <w:b/>
              </w:rPr>
            </w:pPr>
          </w:p>
        </w:tc>
        <w:tc>
          <w:tcPr>
            <w:tcW w:w="850" w:type="dxa"/>
            <w:vAlign w:val="center"/>
          </w:tcPr>
          <w:p>
            <w:pPr>
              <w:spacing w:line="7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39" w:hRule="atLeast"/>
          <w:jc w:val="center"/>
        </w:trPr>
        <w:tc>
          <w:tcPr>
            <w:tcW w:w="1221" w:type="dxa"/>
            <w:vAlign w:val="center"/>
          </w:tcPr>
          <w:p>
            <w:pPr>
              <w:spacing w:line="700" w:lineRule="exact"/>
              <w:jc w:val="left"/>
              <w:rPr>
                <w:rFonts w:ascii="方正书宋_GBK" w:eastAsia="方正书宋_GBK"/>
              </w:rPr>
            </w:pPr>
          </w:p>
        </w:tc>
        <w:tc>
          <w:tcPr>
            <w:tcW w:w="764" w:type="dxa"/>
            <w:vAlign w:val="center"/>
          </w:tcPr>
          <w:p>
            <w:pPr>
              <w:spacing w:line="700" w:lineRule="exact"/>
              <w:jc w:val="right"/>
              <w:rPr>
                <w:rFonts w:ascii="方正书宋_GBK" w:eastAsia="方正书宋_GBK"/>
              </w:rPr>
            </w:pPr>
          </w:p>
        </w:tc>
        <w:tc>
          <w:tcPr>
            <w:tcW w:w="1134" w:type="dxa"/>
            <w:vAlign w:val="center"/>
          </w:tcPr>
          <w:p>
            <w:pPr>
              <w:spacing w:line="700" w:lineRule="exact"/>
              <w:jc w:val="left"/>
              <w:rPr>
                <w:rFonts w:ascii="方正书宋_GBK" w:eastAsia="方正书宋_GBK"/>
              </w:rPr>
            </w:pPr>
          </w:p>
        </w:tc>
        <w:tc>
          <w:tcPr>
            <w:tcW w:w="1134" w:type="dxa"/>
            <w:vAlign w:val="center"/>
          </w:tcPr>
          <w:p>
            <w:pPr>
              <w:spacing w:line="700" w:lineRule="exact"/>
              <w:jc w:val="left"/>
              <w:rPr>
                <w:rFonts w:ascii="方正书宋_GBK" w:eastAsia="方正书宋_GBK"/>
              </w:rPr>
            </w:pPr>
          </w:p>
        </w:tc>
        <w:tc>
          <w:tcPr>
            <w:tcW w:w="992" w:type="dxa"/>
            <w:vAlign w:val="center"/>
          </w:tcPr>
          <w:p>
            <w:pPr>
              <w:spacing w:line="700" w:lineRule="exact"/>
              <w:jc w:val="left"/>
              <w:rPr>
                <w:rFonts w:ascii="方正书宋_GBK" w:eastAsia="方正书宋_GBK"/>
              </w:rPr>
            </w:pPr>
          </w:p>
        </w:tc>
        <w:tc>
          <w:tcPr>
            <w:tcW w:w="851" w:type="dxa"/>
            <w:vAlign w:val="center"/>
          </w:tcPr>
          <w:p>
            <w:pPr>
              <w:spacing w:line="700" w:lineRule="exact"/>
              <w:jc w:val="right"/>
              <w:rPr>
                <w:rFonts w:ascii="方正书宋_GBK" w:eastAsia="方正书宋_GBK"/>
              </w:rPr>
            </w:pPr>
          </w:p>
        </w:tc>
        <w:tc>
          <w:tcPr>
            <w:tcW w:w="834" w:type="dxa"/>
            <w:vAlign w:val="center"/>
          </w:tcPr>
          <w:p>
            <w:pPr>
              <w:spacing w:line="700" w:lineRule="exact"/>
              <w:jc w:val="right"/>
              <w:rPr>
                <w:rFonts w:ascii="方正书宋_GBK" w:eastAsia="方正书宋_GBK"/>
              </w:rPr>
            </w:pPr>
          </w:p>
        </w:tc>
        <w:tc>
          <w:tcPr>
            <w:tcW w:w="709" w:type="dxa"/>
            <w:vAlign w:val="center"/>
          </w:tcPr>
          <w:p>
            <w:pPr>
              <w:spacing w:line="700" w:lineRule="exact"/>
              <w:jc w:val="right"/>
              <w:rPr>
                <w:rFonts w:ascii="方正书宋_GBK" w:eastAsia="方正书宋_GBK"/>
              </w:rPr>
            </w:pPr>
          </w:p>
        </w:tc>
        <w:tc>
          <w:tcPr>
            <w:tcW w:w="992" w:type="dxa"/>
            <w:vAlign w:val="center"/>
          </w:tcPr>
          <w:p>
            <w:pPr>
              <w:spacing w:line="700" w:lineRule="exact"/>
              <w:jc w:val="right"/>
              <w:rPr>
                <w:rFonts w:ascii="方正书宋_GBK" w:eastAsia="方正书宋_GBK"/>
              </w:rPr>
            </w:pPr>
          </w:p>
        </w:tc>
        <w:tc>
          <w:tcPr>
            <w:tcW w:w="1134" w:type="dxa"/>
            <w:vAlign w:val="center"/>
          </w:tcPr>
          <w:p>
            <w:pPr>
              <w:spacing w:line="700" w:lineRule="exact"/>
              <w:jc w:val="right"/>
              <w:rPr>
                <w:rFonts w:ascii="方正书宋_GBK" w:eastAsia="方正书宋_GBK"/>
              </w:rPr>
            </w:pPr>
          </w:p>
        </w:tc>
        <w:tc>
          <w:tcPr>
            <w:tcW w:w="851" w:type="dxa"/>
            <w:vAlign w:val="center"/>
          </w:tcPr>
          <w:p>
            <w:pPr>
              <w:spacing w:line="700" w:lineRule="exact"/>
              <w:jc w:val="right"/>
              <w:rPr>
                <w:rFonts w:ascii="方正书宋_GBK" w:eastAsia="方正书宋_GBK"/>
              </w:rPr>
            </w:pPr>
          </w:p>
        </w:tc>
        <w:tc>
          <w:tcPr>
            <w:tcW w:w="850" w:type="dxa"/>
            <w:vAlign w:val="center"/>
          </w:tcPr>
          <w:p>
            <w:pPr>
              <w:spacing w:line="700" w:lineRule="exact"/>
              <w:jc w:val="right"/>
              <w:rPr>
                <w:rFonts w:ascii="方正书宋_GBK" w:eastAsia="方正书宋_GBK"/>
              </w:rPr>
            </w:pPr>
          </w:p>
        </w:tc>
        <w:tc>
          <w:tcPr>
            <w:tcW w:w="851" w:type="dxa"/>
            <w:vAlign w:val="center"/>
          </w:tcPr>
          <w:p>
            <w:pPr>
              <w:spacing w:line="700" w:lineRule="exact"/>
              <w:jc w:val="right"/>
              <w:rPr>
                <w:rFonts w:ascii="方正书宋_GBK" w:eastAsia="方正书宋_GBK"/>
              </w:rPr>
            </w:pPr>
          </w:p>
        </w:tc>
        <w:tc>
          <w:tcPr>
            <w:tcW w:w="850" w:type="dxa"/>
            <w:vAlign w:val="center"/>
          </w:tcPr>
          <w:p>
            <w:pPr>
              <w:spacing w:line="700" w:lineRule="exact"/>
              <w:jc w:val="right"/>
              <w:rPr>
                <w:rFonts w:ascii="方正书宋_GBK" w:eastAsia="方正书宋_GBK"/>
              </w:rPr>
            </w:pPr>
          </w:p>
        </w:tc>
      </w:tr>
    </w:tbl>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上年末我单位固定资产总金额0万元（详见下表）。</w:t>
      </w:r>
      <w:r>
        <w:rPr>
          <w:rFonts w:ascii="仿宋" w:hAnsi="仿宋" w:eastAsia="仿宋"/>
          <w:sz w:val="32"/>
          <w:szCs w:val="32"/>
        </w:rPr>
        <w:t>本年度拟购置固定资产总额为</w:t>
      </w:r>
      <w:r>
        <w:rPr>
          <w:rFonts w:hint="eastAsia" w:ascii="仿宋" w:hAnsi="仿宋" w:eastAsia="仿宋"/>
          <w:sz w:val="32"/>
          <w:szCs w:val="32"/>
        </w:rPr>
        <w:t>0</w:t>
      </w:r>
      <w:r>
        <w:rPr>
          <w:rFonts w:ascii="仿宋" w:hAnsi="仿宋" w:eastAsia="仿宋"/>
          <w:sz w:val="32"/>
          <w:szCs w:val="32"/>
        </w:rPr>
        <w:t>万元</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10"/>
        <w:tblW w:w="10084" w:type="dxa"/>
        <w:jc w:val="center"/>
        <w:tblInd w:w="0" w:type="dxa"/>
        <w:tblLayout w:type="fixed"/>
        <w:tblCellMar>
          <w:top w:w="0" w:type="dxa"/>
          <w:left w:w="108" w:type="dxa"/>
          <w:bottom w:w="0" w:type="dxa"/>
          <w:right w:w="108" w:type="dxa"/>
        </w:tblCellMar>
      </w:tblPr>
      <w:tblGrid>
        <w:gridCol w:w="4788"/>
        <w:gridCol w:w="1035"/>
        <w:gridCol w:w="4261"/>
      </w:tblGrid>
      <w:tr>
        <w:tblPrEx>
          <w:tblLayout w:type="fixed"/>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Layout w:type="fixed"/>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0</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Layout w:type="fixed"/>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Layout w:type="fixed"/>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书宋_GBK">
    <w:altName w:val="宋体"/>
    <w:panose1 w:val="00000000000000000000"/>
    <w:charset w:val="86"/>
    <w:family w:val="roman"/>
    <w:pitch w:val="default"/>
    <w:sig w:usb0="00000000" w:usb1="00000000" w:usb2="00000000" w:usb3="00000000" w:csb0="00000000" w:csb1="00000000"/>
  </w:font>
  <w:font w:name="等线 Light">
    <w:panose1 w:val="02010600030101010101"/>
    <w:charset w:val="86"/>
    <w:family w:val="roman"/>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04059"/>
    <w:rsid w:val="00013B8A"/>
    <w:rsid w:val="00016725"/>
    <w:rsid w:val="00044FBC"/>
    <w:rsid w:val="00046D81"/>
    <w:rsid w:val="00055F1F"/>
    <w:rsid w:val="000577EF"/>
    <w:rsid w:val="00057F18"/>
    <w:rsid w:val="00070EBE"/>
    <w:rsid w:val="000A445D"/>
    <w:rsid w:val="000C178B"/>
    <w:rsid w:val="000C7BE6"/>
    <w:rsid w:val="00115C60"/>
    <w:rsid w:val="00131DEC"/>
    <w:rsid w:val="00136AB3"/>
    <w:rsid w:val="00146277"/>
    <w:rsid w:val="001462BD"/>
    <w:rsid w:val="00152380"/>
    <w:rsid w:val="00155720"/>
    <w:rsid w:val="001638BE"/>
    <w:rsid w:val="00163DF6"/>
    <w:rsid w:val="00164810"/>
    <w:rsid w:val="00172C7A"/>
    <w:rsid w:val="00181777"/>
    <w:rsid w:val="001B4688"/>
    <w:rsid w:val="001B6235"/>
    <w:rsid w:val="001C13B2"/>
    <w:rsid w:val="001C2890"/>
    <w:rsid w:val="001F4875"/>
    <w:rsid w:val="00201E04"/>
    <w:rsid w:val="00212335"/>
    <w:rsid w:val="002918C6"/>
    <w:rsid w:val="00291EF3"/>
    <w:rsid w:val="00296524"/>
    <w:rsid w:val="002B28EA"/>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C7D10"/>
    <w:rsid w:val="003D1092"/>
    <w:rsid w:val="003D37CD"/>
    <w:rsid w:val="003E5531"/>
    <w:rsid w:val="003E555C"/>
    <w:rsid w:val="003E6AF3"/>
    <w:rsid w:val="0040243C"/>
    <w:rsid w:val="00406BD1"/>
    <w:rsid w:val="0040714F"/>
    <w:rsid w:val="00426C19"/>
    <w:rsid w:val="00450FD9"/>
    <w:rsid w:val="00453CE0"/>
    <w:rsid w:val="00470736"/>
    <w:rsid w:val="00470BBB"/>
    <w:rsid w:val="00475E62"/>
    <w:rsid w:val="0048611E"/>
    <w:rsid w:val="004A39AC"/>
    <w:rsid w:val="004B6929"/>
    <w:rsid w:val="004E2F43"/>
    <w:rsid w:val="004E3572"/>
    <w:rsid w:val="004F3C52"/>
    <w:rsid w:val="00510A1E"/>
    <w:rsid w:val="005158E2"/>
    <w:rsid w:val="00522F16"/>
    <w:rsid w:val="00524204"/>
    <w:rsid w:val="005416AD"/>
    <w:rsid w:val="00550049"/>
    <w:rsid w:val="00553F7E"/>
    <w:rsid w:val="00570142"/>
    <w:rsid w:val="00586C35"/>
    <w:rsid w:val="005B1B6F"/>
    <w:rsid w:val="005B6CCB"/>
    <w:rsid w:val="005C54AA"/>
    <w:rsid w:val="005C7B89"/>
    <w:rsid w:val="006269FD"/>
    <w:rsid w:val="0062788A"/>
    <w:rsid w:val="00641F8A"/>
    <w:rsid w:val="0066383B"/>
    <w:rsid w:val="006A6FA2"/>
    <w:rsid w:val="006B5117"/>
    <w:rsid w:val="006C62DF"/>
    <w:rsid w:val="006F5104"/>
    <w:rsid w:val="006F6549"/>
    <w:rsid w:val="006F6E44"/>
    <w:rsid w:val="00735B02"/>
    <w:rsid w:val="00754F38"/>
    <w:rsid w:val="007657C8"/>
    <w:rsid w:val="00767A77"/>
    <w:rsid w:val="00771E49"/>
    <w:rsid w:val="00782208"/>
    <w:rsid w:val="00791938"/>
    <w:rsid w:val="007A5999"/>
    <w:rsid w:val="007C7FD7"/>
    <w:rsid w:val="007F3746"/>
    <w:rsid w:val="0080340E"/>
    <w:rsid w:val="00833132"/>
    <w:rsid w:val="00845C67"/>
    <w:rsid w:val="00861CB5"/>
    <w:rsid w:val="0086454E"/>
    <w:rsid w:val="008672EA"/>
    <w:rsid w:val="00891680"/>
    <w:rsid w:val="008A0099"/>
    <w:rsid w:val="008A0B5F"/>
    <w:rsid w:val="008A4DAC"/>
    <w:rsid w:val="008B2954"/>
    <w:rsid w:val="008B5402"/>
    <w:rsid w:val="008D11BC"/>
    <w:rsid w:val="0090527E"/>
    <w:rsid w:val="00905BB7"/>
    <w:rsid w:val="0090620C"/>
    <w:rsid w:val="00912DA4"/>
    <w:rsid w:val="00916B98"/>
    <w:rsid w:val="009302B8"/>
    <w:rsid w:val="00930431"/>
    <w:rsid w:val="009305C6"/>
    <w:rsid w:val="00957C03"/>
    <w:rsid w:val="009752AE"/>
    <w:rsid w:val="00982F3D"/>
    <w:rsid w:val="00983232"/>
    <w:rsid w:val="009A278A"/>
    <w:rsid w:val="009B0E17"/>
    <w:rsid w:val="009B6368"/>
    <w:rsid w:val="009F63C4"/>
    <w:rsid w:val="00A16957"/>
    <w:rsid w:val="00A52947"/>
    <w:rsid w:val="00A6155C"/>
    <w:rsid w:val="00A6716A"/>
    <w:rsid w:val="00A8079E"/>
    <w:rsid w:val="00A90328"/>
    <w:rsid w:val="00A92D66"/>
    <w:rsid w:val="00AA4262"/>
    <w:rsid w:val="00AB5A90"/>
    <w:rsid w:val="00AB7449"/>
    <w:rsid w:val="00AD0028"/>
    <w:rsid w:val="00AE4AA5"/>
    <w:rsid w:val="00AE7FA9"/>
    <w:rsid w:val="00AF3895"/>
    <w:rsid w:val="00B147EB"/>
    <w:rsid w:val="00B22155"/>
    <w:rsid w:val="00B76AA9"/>
    <w:rsid w:val="00B80FAB"/>
    <w:rsid w:val="00B81C88"/>
    <w:rsid w:val="00BA5C83"/>
    <w:rsid w:val="00BB1EF8"/>
    <w:rsid w:val="00BC3428"/>
    <w:rsid w:val="00BC6A7D"/>
    <w:rsid w:val="00BD4829"/>
    <w:rsid w:val="00BD6002"/>
    <w:rsid w:val="00BD719F"/>
    <w:rsid w:val="00BF5442"/>
    <w:rsid w:val="00C177A5"/>
    <w:rsid w:val="00C27EB4"/>
    <w:rsid w:val="00C35FEE"/>
    <w:rsid w:val="00C50535"/>
    <w:rsid w:val="00C52D50"/>
    <w:rsid w:val="00C6153C"/>
    <w:rsid w:val="00C906EF"/>
    <w:rsid w:val="00CC7D74"/>
    <w:rsid w:val="00D02F97"/>
    <w:rsid w:val="00D45530"/>
    <w:rsid w:val="00D45A0E"/>
    <w:rsid w:val="00D45D23"/>
    <w:rsid w:val="00D723D1"/>
    <w:rsid w:val="00D80C60"/>
    <w:rsid w:val="00D8525F"/>
    <w:rsid w:val="00D973F4"/>
    <w:rsid w:val="00DA0C4D"/>
    <w:rsid w:val="00DA5DA7"/>
    <w:rsid w:val="00DE3935"/>
    <w:rsid w:val="00DE45F7"/>
    <w:rsid w:val="00DE6B32"/>
    <w:rsid w:val="00DF26B8"/>
    <w:rsid w:val="00E12C68"/>
    <w:rsid w:val="00E2325B"/>
    <w:rsid w:val="00E24075"/>
    <w:rsid w:val="00E270C9"/>
    <w:rsid w:val="00E35F38"/>
    <w:rsid w:val="00E46F27"/>
    <w:rsid w:val="00E509CC"/>
    <w:rsid w:val="00E56DC0"/>
    <w:rsid w:val="00E71A04"/>
    <w:rsid w:val="00E90DA6"/>
    <w:rsid w:val="00E96342"/>
    <w:rsid w:val="00EA0352"/>
    <w:rsid w:val="00EA2FEA"/>
    <w:rsid w:val="00EA56CB"/>
    <w:rsid w:val="00EA7853"/>
    <w:rsid w:val="00EF2724"/>
    <w:rsid w:val="00F000B1"/>
    <w:rsid w:val="00F012D3"/>
    <w:rsid w:val="00F044C3"/>
    <w:rsid w:val="00F10D04"/>
    <w:rsid w:val="00F169E3"/>
    <w:rsid w:val="00F35D4B"/>
    <w:rsid w:val="00F3746B"/>
    <w:rsid w:val="00F572CB"/>
    <w:rsid w:val="00F621AF"/>
    <w:rsid w:val="00F8024E"/>
    <w:rsid w:val="00F82447"/>
    <w:rsid w:val="00F868E5"/>
    <w:rsid w:val="00FA47EC"/>
    <w:rsid w:val="00FB2F32"/>
    <w:rsid w:val="00FC3191"/>
    <w:rsid w:val="00FD08C0"/>
    <w:rsid w:val="00FE0F1F"/>
    <w:rsid w:val="00FF61F3"/>
    <w:rsid w:val="0A214432"/>
    <w:rsid w:val="27733670"/>
    <w:rsid w:val="5D506E2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uiPriority w:val="39"/>
    <w:pPr>
      <w:ind w:left="1260" w:leftChars="600"/>
    </w:pPr>
    <w:rPr>
      <w:rFonts w:ascii="等线" w:hAnsi="等线" w:eastAsia="等线" w:cs="Times New Roman"/>
    </w:rPr>
  </w:style>
  <w:style w:type="paragraph" w:styleId="6">
    <w:name w:val="toc 2"/>
    <w:basedOn w:val="1"/>
    <w:next w:val="1"/>
    <w:unhideWhenUsed/>
    <w:uiPriority w:val="39"/>
    <w:pPr>
      <w:ind w:left="420" w:leftChars="200"/>
    </w:pPr>
    <w:rPr>
      <w:rFonts w:ascii="等线" w:hAnsi="等线" w:eastAsia="等线" w:cs="Times New Roman"/>
    </w:rPr>
  </w:style>
  <w:style w:type="character" w:styleId="8">
    <w:name w:val="page number"/>
    <w:unhideWhenUsed/>
    <w:qFormat/>
    <w:uiPriority w:val="99"/>
  </w:style>
  <w:style w:type="character" w:styleId="9">
    <w:name w:val="Hyperlink"/>
    <w:unhideWhenUsed/>
    <w:qFormat/>
    <w:uiPriority w:val="99"/>
    <w:rPr>
      <w:color w:val="0563C1"/>
      <w:u w:val="singl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ABAD0-CB97-473A-A42C-7DAA8AF78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377</Words>
  <Characters>2152</Characters>
  <Lines>17</Lines>
  <Paragraphs>5</Paragraphs>
  <TotalTime>0</TotalTime>
  <ScaleCrop>false</ScaleCrop>
  <LinksUpToDate>false</LinksUpToDate>
  <CharactersWithSpaces>2524</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lenovo</cp:lastModifiedBy>
  <cp:lastPrinted>2021-04-14T02:06:00Z</cp:lastPrinted>
  <dcterms:modified xsi:type="dcterms:W3CDTF">2024-03-15T03:56:16Z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y fmtid="{D5CDD505-2E9C-101B-9397-08002B2CF9AE}" pid="3" name="ICV">
    <vt:lpwstr>76EAFEA3433E47EF9BBEB116C4FC5C2C</vt:lpwstr>
  </property>
</Properties>
</file>