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w:t>
      </w:r>
      <w:bookmarkStart w:id="29" w:name="_GoBack"/>
      <w:bookmarkEnd w:id="29"/>
      <w:r>
        <w:rPr>
          <w:rFonts w:ascii="仿宋" w:hAnsi="仿宋" w:eastAsia="仿宋"/>
          <w:sz w:val="32"/>
          <w:szCs w:val="32"/>
        </w:rPr>
        <w:t>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综合</w:t>
            </w:r>
            <w:r>
              <w:rPr>
                <w:rFonts w:ascii="仿宋_GB2312" w:hAnsi="仿宋" w:eastAsia="仿宋_GB2312"/>
                <w:bCs/>
                <w:sz w:val="24"/>
                <w:szCs w:val="24"/>
              </w:rPr>
              <w:t>行政执法工作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农业</w:t>
            </w:r>
            <w:r>
              <w:rPr>
                <w:rFonts w:ascii="仿宋_GB2312" w:hAnsi="仿宋" w:eastAsia="仿宋_GB2312"/>
                <w:bCs/>
                <w:sz w:val="24"/>
                <w:szCs w:val="24"/>
              </w:rPr>
              <w:t>综合服务中心</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退役</w:t>
            </w:r>
            <w:r>
              <w:rPr>
                <w:rFonts w:ascii="仿宋_GB2312" w:hAnsi="仿宋" w:eastAsia="仿宋_GB2312"/>
                <w:bCs/>
                <w:sz w:val="24"/>
                <w:szCs w:val="24"/>
              </w:rPr>
              <w:t>军人服务站</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2021年预算收入为1667.</w:t>
      </w:r>
      <w:r>
        <w:rPr>
          <w:rFonts w:hint="eastAsia" w:ascii="仿宋" w:hAnsi="仿宋" w:eastAsia="仿宋"/>
          <w:sz w:val="32"/>
          <w:szCs w:val="32"/>
        </w:rPr>
        <w:t>1</w:t>
      </w:r>
      <w:r>
        <w:rPr>
          <w:rFonts w:ascii="仿宋" w:hAnsi="仿宋" w:eastAsia="仿宋"/>
          <w:sz w:val="32"/>
          <w:szCs w:val="32"/>
        </w:rPr>
        <w:t>万元,其中：一般公共预算收入1631.6万元，基金预算收入35.5万元，财政专户收入0万元，其他来源收入0万元。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2021年部门支出预算：1667.1万元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1174.34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其中：人员经费1077.04万元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日常公用经费97.3万元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492.76万元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其中：本级支出492.76万元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667.1</w:t>
      </w:r>
      <w:r>
        <w:rPr>
          <w:rFonts w:hint="eastAsia" w:ascii="仿宋" w:hAnsi="仿宋" w:eastAsia="仿宋"/>
          <w:sz w:val="32"/>
          <w:szCs w:val="32"/>
        </w:rPr>
        <w:t>万元，较上年增加</w:t>
      </w:r>
      <w:r>
        <w:rPr>
          <w:rFonts w:ascii="仿宋" w:hAnsi="仿宋" w:eastAsia="仿宋"/>
          <w:sz w:val="32"/>
          <w:szCs w:val="32"/>
        </w:rPr>
        <w:t>32.43万元。其中:基本支出增加73.83万元，主要原因是</w:t>
      </w:r>
      <w:r>
        <w:rPr>
          <w:rFonts w:hint="eastAsia" w:ascii="仿宋" w:hAnsi="仿宋" w:eastAsia="仿宋"/>
          <w:sz w:val="32"/>
          <w:szCs w:val="32"/>
        </w:rPr>
        <w:t>公务</w:t>
      </w:r>
      <w:r>
        <w:rPr>
          <w:rFonts w:ascii="仿宋" w:hAnsi="仿宋" w:eastAsia="仿宋"/>
          <w:sz w:val="32"/>
          <w:szCs w:val="32"/>
        </w:rPr>
        <w:t>员增加</w:t>
      </w:r>
      <w:r>
        <w:rPr>
          <w:rFonts w:hint="eastAsia" w:ascii="仿宋" w:hAnsi="仿宋" w:eastAsia="仿宋"/>
          <w:sz w:val="32"/>
          <w:szCs w:val="32"/>
        </w:rPr>
        <w:t>与</w:t>
      </w:r>
      <w:r>
        <w:rPr>
          <w:rFonts w:ascii="仿宋" w:hAnsi="仿宋" w:eastAsia="仿宋"/>
          <w:sz w:val="32"/>
          <w:szCs w:val="32"/>
        </w:rPr>
        <w:t>调入；项目支出减少41.4万元，主要原因是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97.3</w:t>
      </w:r>
      <w:r>
        <w:rPr>
          <w:rFonts w:ascii="仿宋" w:hAnsi="仿宋" w:eastAsia="仿宋"/>
          <w:sz w:val="32"/>
          <w:szCs w:val="32"/>
        </w:rPr>
        <w:t>万元，其中办公费</w:t>
      </w:r>
      <w:r>
        <w:rPr>
          <w:rFonts w:hint="eastAsia" w:ascii="仿宋" w:hAnsi="仿宋" w:eastAsia="仿宋"/>
          <w:sz w:val="32"/>
          <w:szCs w:val="32"/>
        </w:rPr>
        <w:t>27.4</w:t>
      </w:r>
      <w:r>
        <w:rPr>
          <w:rFonts w:ascii="仿宋" w:hAnsi="仿宋" w:eastAsia="仿宋"/>
          <w:sz w:val="32"/>
          <w:szCs w:val="32"/>
        </w:rPr>
        <w:t>万元，邮电费13.48万元，工会经费、福利费</w:t>
      </w:r>
      <w:r>
        <w:rPr>
          <w:rFonts w:hint="eastAsia" w:ascii="仿宋" w:hAnsi="仿宋" w:eastAsia="仿宋"/>
          <w:sz w:val="32"/>
          <w:szCs w:val="32"/>
        </w:rPr>
        <w:t>19.5</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，其他支出26.12万元</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6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bookmarkStart w:id="0" w:name="_Toc66978214"/>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部门整体绩效目标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1" w:name="_Toc6697821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w:t>
      </w:r>
      <w:r>
        <w:rPr>
          <w:rFonts w:ascii="Times New Roman" w:eastAsia="方正仿宋_GBK"/>
          <w:sz w:val="28"/>
        </w:rPr>
        <w:t>2020</w:t>
      </w:r>
      <w:r>
        <w:rPr>
          <w:rFonts w:hint="eastAsia" w:ascii="Times New Roman" w:hAnsi="微软雅黑" w:eastAsia="方正仿宋_GBK" w:cs="微软雅黑"/>
          <w:sz w:val="28"/>
        </w:rPr>
        <w:t>年扶贫公益岗位补助及购置保险的实施工作，重点加强地震群测群防岗位津贴、京原工役制人员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2" w:name="_Toc6697821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rPr>
          <w:rFonts w:ascii="Times New Roman" w:hAnsi="宋体" w:eastAsia="宋体"/>
          <w:sz w:val="52"/>
        </w:rPr>
      </w:pPr>
    </w:p>
    <w:p>
      <w:pPr>
        <w:rPr>
          <w:rFonts w:ascii="Times New Roman" w:hAnsi="宋体" w:eastAsia="宋体"/>
          <w:sz w:val="52"/>
        </w:rPr>
      </w:pPr>
    </w:p>
    <w:p>
      <w:pPr>
        <w:jc w:val="center"/>
        <w:rPr>
          <w:rFonts w:ascii="Times New Roman" w:hAnsi="宋体" w:eastAsia="宋体"/>
          <w:sz w:val="44"/>
        </w:rPr>
      </w:pPr>
      <w:r>
        <w:rPr>
          <w:rFonts w:hint="eastAsia" w:ascii="方正小标宋_GBK" w:eastAsia="方正小标宋_GBK"/>
          <w:sz w:val="44"/>
        </w:rPr>
        <w:t>第二部分</w:t>
      </w:r>
    </w:p>
    <w:p>
      <w:pPr>
        <w:jc w:val="center"/>
        <w:rPr>
          <w:rFonts w:ascii="Times New Roman" w:hAnsi="宋体" w:eastAsia="宋体"/>
          <w:sz w:val="44"/>
        </w:rPr>
      </w:pPr>
    </w:p>
    <w:p>
      <w:pPr>
        <w:jc w:val="center"/>
        <w:outlineLvl w:val="0"/>
        <w:rPr>
          <w:rFonts w:ascii="Times New Roman" w:hAnsi="宋体" w:eastAsia="宋体"/>
          <w:sz w:val="44"/>
        </w:rPr>
      </w:pPr>
      <w:r>
        <w:rPr>
          <w:rFonts w:hint="eastAsia" w:ascii="方正小标宋_GBK" w:eastAsia="方正小标宋_GBK"/>
          <w:sz w:val="44"/>
        </w:rPr>
        <w:t>预算项目绩效目标</w:t>
      </w:r>
    </w:p>
    <w:p>
      <w:pPr>
        <w:jc w:val="center"/>
        <w:rPr>
          <w:rFonts w:ascii="Times New Roman" w:hAnsi="宋体" w:eastAsia="宋体"/>
        </w:rPr>
      </w:pP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eastAsia="宋体"/>
          <w:b/>
          <w:sz w:val="28"/>
        </w:rPr>
      </w:pPr>
      <w:bookmarkStart w:id="3" w:name="_Toc66978217"/>
      <w:r>
        <w:rPr>
          <w:rFonts w:ascii="方正仿宋_GBK" w:eastAsia="方正仿宋_GBK"/>
          <w:b/>
          <w:sz w:val="28"/>
        </w:rPr>
        <w:t>1.纪检保障经费绩效目标表</w:t>
      </w:r>
      <w:bookmarkEnd w:id="3"/>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78218"/>
      <w:r>
        <w:rPr>
          <w:rFonts w:ascii="方正仿宋_GBK" w:eastAsia="方正仿宋_GBK"/>
          <w:b/>
          <w:sz w:val="28"/>
        </w:rPr>
        <w:t>2.乡村服务岗位补贴及保险绩效目标表</w:t>
      </w:r>
      <w:bookmarkEnd w:id="4"/>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19"/>
      <w:r>
        <w:rPr>
          <w:rFonts w:ascii="方正仿宋_GBK" w:eastAsia="方正仿宋_GBK"/>
          <w:b/>
          <w:sz w:val="28"/>
        </w:rPr>
        <w:t>3.大气污染防治经费绩效目标表</w:t>
      </w:r>
      <w:bookmarkEnd w:id="5"/>
      <w:r>
        <w:rPr>
          <w:rFonts w:ascii="方正仿宋_GBK" w:eastAsia="方正仿宋_GBK"/>
          <w:b/>
          <w:sz w:val="28"/>
        </w:rPr>
        <w:fldChar w:fldCharType="begin"/>
      </w:r>
      <w:r>
        <w:rPr>
          <w:rFonts w:ascii="方正仿宋_GBK" w:eastAsia="方正仿宋_GBK"/>
          <w:b/>
          <w:sz w:val="28"/>
        </w:rPr>
        <w:instrText xml:space="preserve"> TC 3、大气污染防治经费绩效目标表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130625218WXCVOCO3CM1P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预算项目资金56600元主要用于秸秆禁烧，垃圾清理等大气污染防治，计划2021年1-12月实施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p>
            <w:pPr>
              <w:spacing w:line="300" w:lineRule="exact"/>
              <w:jc w:val="left"/>
              <w:rPr>
                <w:rFonts w:ascii="方正书宋_GBK" w:eastAsia="方正书宋_GBK"/>
              </w:rPr>
            </w:pPr>
            <w:r>
              <w:rPr>
                <w:rFonts w:ascii="方正书宋_GBK" w:eastAsia="方正书宋_GBK"/>
              </w:rPr>
              <w:t>3.改善空气质量</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0"/>
      <w:r>
        <w:rPr>
          <w:rFonts w:ascii="方正仿宋_GBK" w:eastAsia="方正仿宋_GBK"/>
          <w:b/>
          <w:sz w:val="28"/>
        </w:rPr>
        <w:t>4.大黄公路占地补偿绩效目标表</w:t>
      </w:r>
      <w:bookmarkEnd w:id="6"/>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1"/>
      <w:r>
        <w:rPr>
          <w:rFonts w:ascii="方正仿宋_GBK" w:eastAsia="方正仿宋_GBK"/>
          <w:b/>
          <w:sz w:val="28"/>
        </w:rPr>
        <w:t>5.人大经费绩效目标表</w:t>
      </w:r>
      <w:bookmarkEnd w:id="7"/>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2"/>
      <w:r>
        <w:rPr>
          <w:rFonts w:ascii="方正仿宋_GBK" w:eastAsia="方正仿宋_GBK"/>
          <w:b/>
          <w:sz w:val="28"/>
        </w:rPr>
        <w:t>6.地震群测群防岗位津贴绩效目标表</w:t>
      </w:r>
      <w:bookmarkEnd w:id="8"/>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3"/>
      <w:r>
        <w:rPr>
          <w:rFonts w:ascii="方正仿宋_GBK" w:eastAsia="方正仿宋_GBK"/>
          <w:b/>
          <w:sz w:val="28"/>
        </w:rPr>
        <w:t>7.安全生产信息员经费绩效目标表</w:t>
      </w:r>
      <w:bookmarkEnd w:id="9"/>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78224"/>
      <w:r>
        <w:rPr>
          <w:rFonts w:ascii="方正仿宋_GBK" w:eastAsia="方正仿宋_GBK"/>
          <w:b/>
          <w:sz w:val="28"/>
        </w:rPr>
        <w:t>8.高户公路占地补偿绩效目标表</w:t>
      </w:r>
      <w:bookmarkEnd w:id="10"/>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5"/>
      <w:r>
        <w:rPr>
          <w:rFonts w:ascii="方正仿宋_GBK" w:eastAsia="方正仿宋_GBK"/>
          <w:b/>
          <w:sz w:val="28"/>
        </w:rPr>
        <w:t>9.选任专职人民调解员经费绩效目标表</w:t>
      </w:r>
      <w:bookmarkEnd w:id="11"/>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7822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13062521IZ8UQPUWD31PI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27"/>
      <w:r>
        <w:rPr>
          <w:rFonts w:ascii="方正仿宋_GBK" w:eastAsia="方正仿宋_GBK"/>
          <w:b/>
          <w:sz w:val="28"/>
        </w:rPr>
        <w:t>11.防火护林员补助经费绩效目标表</w:t>
      </w:r>
      <w:bookmarkEnd w:id="13"/>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28"/>
      <w:r>
        <w:rPr>
          <w:rFonts w:ascii="方正仿宋_GBK" w:eastAsia="方正仿宋_GBK"/>
          <w:b/>
          <w:sz w:val="28"/>
        </w:rPr>
        <w:t>12.瀑河水库除险加固工程善后工作扶持资金绩效目标表</w:t>
      </w:r>
      <w:bookmarkEnd w:id="14"/>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29"/>
      <w:r>
        <w:rPr>
          <w:rFonts w:ascii="方正仿宋_GBK" w:eastAsia="方正仿宋_GBK"/>
          <w:b/>
          <w:sz w:val="28"/>
        </w:rPr>
        <w:t>13.政府机关运转经费绩效目标表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13、政府机关运转经费绩效目标表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13062521MOACV5A283ZMZ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p>
            <w:pPr>
              <w:spacing w:line="300" w:lineRule="exact"/>
              <w:jc w:val="left"/>
              <w:rPr>
                <w:rFonts w:ascii="方正书宋_GBK" w:eastAsia="方正书宋_GBK"/>
              </w:rPr>
            </w:pPr>
            <w:r>
              <w:rPr>
                <w:rFonts w:ascii="方正书宋_GBK" w:eastAsia="方正书宋_GBK"/>
              </w:rPr>
              <w:t>3.保障政府机构履职尽责，正常运转</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78230"/>
      <w:r>
        <w:rPr>
          <w:rFonts w:ascii="方正仿宋_GBK" w:eastAsia="方正仿宋_GBK"/>
          <w:b/>
          <w:sz w:val="28"/>
        </w:rPr>
        <w:t>14.村党组织活动经费绩效目标表</w:t>
      </w:r>
      <w:bookmarkEnd w:id="16"/>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1"/>
      <w:r>
        <w:rPr>
          <w:rFonts w:ascii="方正仿宋_GBK" w:eastAsia="方正仿宋_GBK"/>
          <w:b/>
          <w:sz w:val="28"/>
        </w:rPr>
        <w:t>15.原京原公路工役制人员待遇金绩效目标表</w:t>
      </w:r>
      <w:bookmarkEnd w:id="17"/>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2"/>
      <w:r>
        <w:rPr>
          <w:rFonts w:ascii="方正仿宋_GBK" w:eastAsia="方正仿宋_GBK"/>
          <w:b/>
          <w:sz w:val="28"/>
        </w:rPr>
        <w:t>16.服务群众专项经费绩效目标表</w:t>
      </w:r>
      <w:bookmarkEnd w:id="18"/>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78233"/>
      <w:r>
        <w:rPr>
          <w:rFonts w:ascii="方正仿宋_GBK" w:eastAsia="方正仿宋_GBK"/>
          <w:b/>
          <w:sz w:val="28"/>
        </w:rPr>
        <w:t>17.团委综合事务管理经费绩效目标表</w:t>
      </w:r>
      <w:bookmarkEnd w:id="19"/>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34"/>
      <w:r>
        <w:rPr>
          <w:rFonts w:ascii="方正仿宋_GBK" w:eastAsia="方正仿宋_GBK"/>
          <w:b/>
          <w:sz w:val="28"/>
        </w:rPr>
        <w:t>18.党建经费绩效目标表</w:t>
      </w:r>
      <w:bookmarkEnd w:id="20"/>
      <w:r>
        <w:rPr>
          <w:rFonts w:ascii="方正仿宋_GBK" w:eastAsia="方正仿宋_GBK"/>
          <w:b/>
          <w:sz w:val="28"/>
        </w:rPr>
        <w:fldChar w:fldCharType="begin"/>
      </w:r>
      <w:r>
        <w:rPr>
          <w:rFonts w:ascii="方正仿宋_GBK" w:eastAsia="方正仿宋_GBK"/>
          <w:b/>
          <w:sz w:val="28"/>
        </w:rPr>
        <w:instrText xml:space="preserve"> TC 18、党建经费绩效目标表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13062521U5IHD0I3F4USE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p>
            <w:pPr>
              <w:spacing w:line="300" w:lineRule="exact"/>
              <w:jc w:val="left"/>
              <w:rPr>
                <w:rFonts w:ascii="方正书宋_GBK" w:eastAsia="方正书宋_GBK"/>
              </w:rPr>
            </w:pPr>
            <w:r>
              <w:rPr>
                <w:rFonts w:ascii="方正书宋_GBK" w:eastAsia="方正书宋_GBK"/>
              </w:rPr>
              <w:t>3.党的政治建设、思想建设、组织建社、作风建设提高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78235"/>
      <w:r>
        <w:rPr>
          <w:rFonts w:ascii="方正仿宋_GBK" w:eastAsia="方正仿宋_GBK"/>
          <w:b/>
          <w:sz w:val="28"/>
        </w:rPr>
        <w:t>19.扶贫公益岗补贴及保险绩效目标表</w:t>
      </w:r>
      <w:bookmarkEnd w:id="21"/>
      <w:r>
        <w:rPr>
          <w:rFonts w:ascii="方正仿宋_GBK" w:eastAsia="方正仿宋_GBK"/>
          <w:b/>
          <w:sz w:val="28"/>
        </w:rPr>
        <w:fldChar w:fldCharType="begin"/>
      </w:r>
      <w:r>
        <w:rPr>
          <w:rFonts w:ascii="方正仿宋_GBK" w:eastAsia="方正仿宋_GBK"/>
          <w:b/>
          <w:sz w:val="28"/>
        </w:rPr>
        <w:instrText xml:space="preserve"> TC 19、扶贫公益岗补贴及保险绩效目标表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13062521UA23S4DW83M55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扶贫公益岗位生活补贴及保险购置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78236"/>
      <w:r>
        <w:rPr>
          <w:rFonts w:ascii="方正仿宋_GBK" w:eastAsia="方正仿宋_GBK"/>
          <w:b/>
          <w:sz w:val="28"/>
        </w:rPr>
        <w:t>20.乡镇武装工作经费绩效目标表</w:t>
      </w:r>
      <w:bookmarkEnd w:id="22"/>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78237"/>
      <w:r>
        <w:rPr>
          <w:rFonts w:ascii="方正仿宋_GBK" w:eastAsia="方正仿宋_GBK"/>
          <w:b/>
          <w:sz w:val="28"/>
        </w:rPr>
        <w:t>21.村级组织办公经费绩效目标表</w:t>
      </w:r>
      <w:bookmarkEnd w:id="23"/>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78238"/>
      <w:r>
        <w:rPr>
          <w:rFonts w:ascii="方正仿宋_GBK" w:eastAsia="方正仿宋_GBK"/>
          <w:b/>
          <w:sz w:val="28"/>
        </w:rPr>
        <w:t>22.全区绿化土地流转金绩效目标表</w:t>
      </w:r>
      <w:bookmarkEnd w:id="24"/>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78239"/>
      <w:r>
        <w:rPr>
          <w:rFonts w:ascii="方正仿宋_GBK" w:eastAsia="方正仿宋_GBK"/>
          <w:b/>
          <w:sz w:val="28"/>
        </w:rPr>
        <w:t>23.维稳经费绩效目标表</w:t>
      </w:r>
      <w:bookmarkEnd w:id="25"/>
      <w:r>
        <w:rPr>
          <w:rFonts w:ascii="方正仿宋_GBK" w:eastAsia="方正仿宋_GBK"/>
          <w:b/>
          <w:sz w:val="28"/>
        </w:rPr>
        <w:fldChar w:fldCharType="begin"/>
      </w:r>
      <w:r>
        <w:rPr>
          <w:rFonts w:ascii="方正仿宋_GBK" w:eastAsia="方正仿宋_GBK"/>
          <w:b/>
          <w:sz w:val="28"/>
        </w:rPr>
        <w:instrText xml:space="preserve"> TC 23、维稳经费绩效目标表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13062521XVPVZYYEDGPT0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p>
            <w:pPr>
              <w:spacing w:line="300" w:lineRule="exact"/>
              <w:jc w:val="left"/>
              <w:rPr>
                <w:rFonts w:ascii="方正书宋_GBK" w:eastAsia="方正书宋_GBK"/>
              </w:rPr>
            </w:pPr>
            <w:r>
              <w:rPr>
                <w:rFonts w:ascii="方正书宋_GBK" w:eastAsia="方正书宋_GBK"/>
              </w:rPr>
              <w:t>3.保障该项工作正常开展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宗教维稳工作正常运转情况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6978240"/>
      <w:r>
        <w:rPr>
          <w:rFonts w:ascii="方正仿宋_GBK" w:eastAsia="方正仿宋_GBK"/>
          <w:b/>
          <w:sz w:val="28"/>
        </w:rPr>
        <w:t>24.徐水区退役军人公益岗岗位人员工资绩效目标表</w:t>
      </w:r>
      <w:bookmarkEnd w:id="26"/>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66978241"/>
      <w:r>
        <w:rPr>
          <w:rFonts w:ascii="方正仿宋_GBK" w:eastAsia="方正仿宋_GBK"/>
          <w:b/>
          <w:sz w:val="28"/>
        </w:rPr>
        <w:t>25.村级退役军人服务站吸收参战（进藏）退役军人补贴绩效目标表</w:t>
      </w:r>
      <w:bookmarkEnd w:id="27"/>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ascii="仿宋" w:hAnsi="仿宋" w:eastAsia="仿宋"/>
          <w:sz w:val="32"/>
          <w:szCs w:val="32"/>
        </w:rPr>
        <w:tab/>
      </w: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附部门政府采购预算表空表。</w:t>
      </w:r>
    </w:p>
    <w:p>
      <w:pPr>
        <w:jc w:val="center"/>
        <w:outlineLvl w:val="1"/>
        <w:rPr>
          <w:rFonts w:ascii="Times New Roman" w:hAnsi="宋体" w:eastAsia="宋体"/>
          <w:sz w:val="32"/>
        </w:rPr>
      </w:pPr>
      <w:bookmarkStart w:id="28" w:name="_Toc69809617"/>
      <w:r>
        <w:rPr>
          <w:rFonts w:ascii="方正小标宋_GBK" w:eastAsia="方正小标宋_GBK"/>
          <w:sz w:val="32"/>
        </w:rPr>
        <w:t>部门政府采购预算</w:t>
      </w:r>
      <w:bookmarkEnd w:id="28"/>
    </w:p>
    <w:p>
      <w:pPr>
        <w:spacing w:line="360" w:lineRule="auto"/>
        <w:ind w:firstLine="360" w:firstLineChars="150"/>
        <w:rPr>
          <w:rFonts w:ascii="仿宋" w:hAnsi="仿宋" w:eastAsia="仿宋"/>
          <w:sz w:val="32"/>
          <w:szCs w:val="32"/>
        </w:rPr>
      </w:pPr>
      <w:r>
        <w:rPr>
          <w:rFonts w:hint="eastAsia" w:ascii="方正小标宋_GBK" w:eastAsia="方正小标宋_GBK"/>
          <w:sz w:val="24"/>
        </w:rPr>
        <w:t>保定市徐水区户木乡人民政府</w:t>
      </w:r>
    </w:p>
    <w:tbl>
      <w:tblPr>
        <w:tblStyle w:val="10"/>
        <w:tblW w:w="13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778"/>
        <w:gridCol w:w="1155"/>
        <w:gridCol w:w="1155"/>
        <w:gridCol w:w="1010"/>
        <w:gridCol w:w="867"/>
        <w:gridCol w:w="849"/>
        <w:gridCol w:w="722"/>
        <w:gridCol w:w="1010"/>
        <w:gridCol w:w="1155"/>
        <w:gridCol w:w="867"/>
        <w:gridCol w:w="866"/>
        <w:gridCol w:w="867"/>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tblHeader/>
          <w:jc w:val="center"/>
        </w:trPr>
        <w:tc>
          <w:tcPr>
            <w:tcW w:w="2021"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1010"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67"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49"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353"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8" w:hRule="atLeast"/>
          <w:tblHeader/>
          <w:jc w:val="center"/>
        </w:trPr>
        <w:tc>
          <w:tcPr>
            <w:tcW w:w="1243"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78"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765"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66"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 w:hRule="atLeast"/>
          <w:tblHeader/>
          <w:jc w:val="center"/>
        </w:trPr>
        <w:tc>
          <w:tcPr>
            <w:tcW w:w="1243" w:type="dxa"/>
            <w:vMerge w:val="continue"/>
            <w:vAlign w:val="center"/>
          </w:tcPr>
          <w:p>
            <w:pPr>
              <w:spacing w:line="700" w:lineRule="exact"/>
              <w:jc w:val="left"/>
              <w:outlineLvl w:val="0"/>
            </w:pPr>
          </w:p>
        </w:tc>
        <w:tc>
          <w:tcPr>
            <w:tcW w:w="778"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continue"/>
            <w:vAlign w:val="center"/>
          </w:tcPr>
          <w:p>
            <w:pPr>
              <w:spacing w:line="700" w:lineRule="exact"/>
              <w:jc w:val="left"/>
              <w:outlineLvl w:val="0"/>
            </w:pPr>
          </w:p>
        </w:tc>
        <w:tc>
          <w:tcPr>
            <w:tcW w:w="1010"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55"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67"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66"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67"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66"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243" w:type="dxa"/>
            <w:vAlign w:val="center"/>
          </w:tcPr>
          <w:p>
            <w:pPr>
              <w:spacing w:line="700" w:lineRule="exact"/>
              <w:jc w:val="center"/>
              <w:rPr>
                <w:rFonts w:ascii="方正书宋_GBK" w:eastAsia="方正书宋_GBK"/>
                <w:b/>
              </w:rPr>
            </w:pPr>
          </w:p>
        </w:tc>
        <w:tc>
          <w:tcPr>
            <w:tcW w:w="778" w:type="dxa"/>
            <w:vAlign w:val="center"/>
          </w:tcPr>
          <w:p>
            <w:pPr>
              <w:spacing w:line="700" w:lineRule="exact"/>
              <w:jc w:val="righ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010" w:type="dxa"/>
            <w:vAlign w:val="center"/>
          </w:tcPr>
          <w:p>
            <w:pPr>
              <w:spacing w:line="700" w:lineRule="exact"/>
              <w:jc w:val="lef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49" w:type="dxa"/>
            <w:vAlign w:val="center"/>
          </w:tcPr>
          <w:p/>
        </w:tc>
        <w:tc>
          <w:tcPr>
            <w:tcW w:w="722" w:type="dxa"/>
            <w:vAlign w:val="center"/>
          </w:tcPr>
          <w:p>
            <w:pPr>
              <w:spacing w:line="700" w:lineRule="exact"/>
              <w:jc w:val="right"/>
              <w:rPr>
                <w:rFonts w:ascii="方正书宋_GBK" w:eastAsia="方正书宋_GBK"/>
                <w:b/>
              </w:rPr>
            </w:pPr>
          </w:p>
        </w:tc>
        <w:tc>
          <w:tcPr>
            <w:tcW w:w="1010" w:type="dxa"/>
            <w:vAlign w:val="center"/>
          </w:tcPr>
          <w:p>
            <w:pPr>
              <w:spacing w:line="700" w:lineRule="exact"/>
              <w:jc w:val="right"/>
              <w:rPr>
                <w:rFonts w:ascii="方正书宋_GBK" w:eastAsia="方正书宋_GBK"/>
                <w:b/>
              </w:rPr>
            </w:pPr>
          </w:p>
        </w:tc>
        <w:tc>
          <w:tcPr>
            <w:tcW w:w="1155"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1" w:hRule="atLeast"/>
          <w:jc w:val="center"/>
        </w:trPr>
        <w:tc>
          <w:tcPr>
            <w:tcW w:w="1243" w:type="dxa"/>
            <w:vAlign w:val="center"/>
          </w:tcPr>
          <w:p>
            <w:pPr>
              <w:spacing w:line="700" w:lineRule="exact"/>
              <w:jc w:val="left"/>
              <w:rPr>
                <w:rFonts w:ascii="方正书宋_GBK" w:eastAsia="方正书宋_GBK"/>
              </w:rPr>
            </w:pPr>
          </w:p>
        </w:tc>
        <w:tc>
          <w:tcPr>
            <w:tcW w:w="778" w:type="dxa"/>
            <w:vAlign w:val="center"/>
          </w:tcPr>
          <w:p>
            <w:pPr>
              <w:spacing w:line="700" w:lineRule="exact"/>
              <w:jc w:val="righ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010" w:type="dxa"/>
            <w:vAlign w:val="center"/>
          </w:tcPr>
          <w:p>
            <w:pPr>
              <w:spacing w:line="700" w:lineRule="exact"/>
              <w:jc w:val="lef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49" w:type="dxa"/>
            <w:vAlign w:val="center"/>
          </w:tcPr>
          <w:p>
            <w:pPr>
              <w:spacing w:line="700" w:lineRule="exact"/>
              <w:jc w:val="right"/>
              <w:rPr>
                <w:rFonts w:ascii="方正书宋_GBK" w:eastAsia="方正书宋_GBK"/>
              </w:rPr>
            </w:pPr>
          </w:p>
        </w:tc>
        <w:tc>
          <w:tcPr>
            <w:tcW w:w="722" w:type="dxa"/>
            <w:vAlign w:val="center"/>
          </w:tcPr>
          <w:p>
            <w:pPr>
              <w:spacing w:line="700" w:lineRule="exact"/>
              <w:jc w:val="right"/>
              <w:rPr>
                <w:rFonts w:ascii="方正书宋_GBK" w:eastAsia="方正书宋_GBK"/>
              </w:rPr>
            </w:pPr>
          </w:p>
        </w:tc>
        <w:tc>
          <w:tcPr>
            <w:tcW w:w="1010" w:type="dxa"/>
            <w:vAlign w:val="center"/>
          </w:tcPr>
          <w:p>
            <w:pPr>
              <w:spacing w:line="700" w:lineRule="exact"/>
              <w:jc w:val="right"/>
              <w:rPr>
                <w:rFonts w:ascii="方正书宋_GBK" w:eastAsia="方正书宋_GBK"/>
              </w:rPr>
            </w:pPr>
          </w:p>
        </w:tc>
        <w:tc>
          <w:tcPr>
            <w:tcW w:w="1155"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r>
    </w:tbl>
    <w:p>
      <w:pPr>
        <w:tabs>
          <w:tab w:val="left" w:pos="2520"/>
        </w:tabs>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ab/>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w:t>
      </w:r>
      <w:r>
        <w:rPr>
          <w:rFonts w:ascii="仿宋" w:hAnsi="仿宋" w:eastAsia="仿宋"/>
          <w:sz w:val="32"/>
          <w:szCs w:val="32"/>
        </w:rPr>
        <w:t>17.04</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w:t>
            </w:r>
            <w:r>
              <w:rPr>
                <w:rFonts w:ascii="仿宋_GB2312" w:hAnsi="仿宋" w:eastAsia="仿宋_GB2312" w:cs="宋体"/>
                <w:kern w:val="0"/>
                <w:sz w:val="24"/>
                <w:szCs w:val="24"/>
              </w:rPr>
              <w:t>49</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175.49</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32.68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108.87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45B38"/>
    <w:rsid w:val="00055F1F"/>
    <w:rsid w:val="000577EF"/>
    <w:rsid w:val="00057F18"/>
    <w:rsid w:val="000A445D"/>
    <w:rsid w:val="000C178B"/>
    <w:rsid w:val="001223B6"/>
    <w:rsid w:val="00131DEC"/>
    <w:rsid w:val="00136AB3"/>
    <w:rsid w:val="001462BD"/>
    <w:rsid w:val="00152380"/>
    <w:rsid w:val="001638BE"/>
    <w:rsid w:val="00172C7A"/>
    <w:rsid w:val="00181777"/>
    <w:rsid w:val="001B4688"/>
    <w:rsid w:val="001B6235"/>
    <w:rsid w:val="001F4875"/>
    <w:rsid w:val="00212335"/>
    <w:rsid w:val="002918C6"/>
    <w:rsid w:val="00296524"/>
    <w:rsid w:val="002B13F8"/>
    <w:rsid w:val="002B6C33"/>
    <w:rsid w:val="002E01F6"/>
    <w:rsid w:val="002F10CC"/>
    <w:rsid w:val="002F1ACB"/>
    <w:rsid w:val="002F530F"/>
    <w:rsid w:val="00305E97"/>
    <w:rsid w:val="00310532"/>
    <w:rsid w:val="0032782B"/>
    <w:rsid w:val="00340B3D"/>
    <w:rsid w:val="0034253A"/>
    <w:rsid w:val="003669CF"/>
    <w:rsid w:val="00367A30"/>
    <w:rsid w:val="00390EF2"/>
    <w:rsid w:val="003A06D2"/>
    <w:rsid w:val="003A4557"/>
    <w:rsid w:val="003A6366"/>
    <w:rsid w:val="003C15B6"/>
    <w:rsid w:val="003C2317"/>
    <w:rsid w:val="003C442E"/>
    <w:rsid w:val="003D1092"/>
    <w:rsid w:val="003D37CD"/>
    <w:rsid w:val="003E5531"/>
    <w:rsid w:val="003E6AF3"/>
    <w:rsid w:val="0040243C"/>
    <w:rsid w:val="00406BD1"/>
    <w:rsid w:val="00426C19"/>
    <w:rsid w:val="00431A40"/>
    <w:rsid w:val="004477FC"/>
    <w:rsid w:val="00450FD9"/>
    <w:rsid w:val="00453CE0"/>
    <w:rsid w:val="00470736"/>
    <w:rsid w:val="00470BBB"/>
    <w:rsid w:val="0048611E"/>
    <w:rsid w:val="004B6929"/>
    <w:rsid w:val="004E2F43"/>
    <w:rsid w:val="004E3572"/>
    <w:rsid w:val="004F3C52"/>
    <w:rsid w:val="00510A1E"/>
    <w:rsid w:val="00514DD8"/>
    <w:rsid w:val="005158E2"/>
    <w:rsid w:val="00524204"/>
    <w:rsid w:val="005363BF"/>
    <w:rsid w:val="00541F5C"/>
    <w:rsid w:val="00550049"/>
    <w:rsid w:val="00553F7E"/>
    <w:rsid w:val="00570142"/>
    <w:rsid w:val="00586C35"/>
    <w:rsid w:val="00593D17"/>
    <w:rsid w:val="005B1B6F"/>
    <w:rsid w:val="005B6CCB"/>
    <w:rsid w:val="005C54AA"/>
    <w:rsid w:val="005C7B89"/>
    <w:rsid w:val="005F2C85"/>
    <w:rsid w:val="00625F02"/>
    <w:rsid w:val="0062788A"/>
    <w:rsid w:val="006335DD"/>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85AAE"/>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E77B8"/>
    <w:rsid w:val="009F63C4"/>
    <w:rsid w:val="00A0427C"/>
    <w:rsid w:val="00A16957"/>
    <w:rsid w:val="00A6155C"/>
    <w:rsid w:val="00A8079E"/>
    <w:rsid w:val="00A86518"/>
    <w:rsid w:val="00A90328"/>
    <w:rsid w:val="00A92D66"/>
    <w:rsid w:val="00AA4262"/>
    <w:rsid w:val="00AB5A90"/>
    <w:rsid w:val="00AB7449"/>
    <w:rsid w:val="00AE4AA5"/>
    <w:rsid w:val="00AE7FA9"/>
    <w:rsid w:val="00B147EB"/>
    <w:rsid w:val="00B20939"/>
    <w:rsid w:val="00B22155"/>
    <w:rsid w:val="00B44BEE"/>
    <w:rsid w:val="00B76AA9"/>
    <w:rsid w:val="00B80FAB"/>
    <w:rsid w:val="00B81C88"/>
    <w:rsid w:val="00BA5C83"/>
    <w:rsid w:val="00BB4E2D"/>
    <w:rsid w:val="00BB50A6"/>
    <w:rsid w:val="00BC52C9"/>
    <w:rsid w:val="00BC6A7D"/>
    <w:rsid w:val="00BD4829"/>
    <w:rsid w:val="00BD6002"/>
    <w:rsid w:val="00BD719F"/>
    <w:rsid w:val="00BD7F44"/>
    <w:rsid w:val="00BF5442"/>
    <w:rsid w:val="00C125BD"/>
    <w:rsid w:val="00C177A5"/>
    <w:rsid w:val="00C35FEE"/>
    <w:rsid w:val="00C50535"/>
    <w:rsid w:val="00C6153C"/>
    <w:rsid w:val="00C906EF"/>
    <w:rsid w:val="00CC7D74"/>
    <w:rsid w:val="00D02F97"/>
    <w:rsid w:val="00D42D72"/>
    <w:rsid w:val="00D45530"/>
    <w:rsid w:val="00D45A0E"/>
    <w:rsid w:val="00D45D23"/>
    <w:rsid w:val="00D723D1"/>
    <w:rsid w:val="00D80C60"/>
    <w:rsid w:val="00D8525F"/>
    <w:rsid w:val="00DA0C4D"/>
    <w:rsid w:val="00DA5DA7"/>
    <w:rsid w:val="00DB51B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9572E"/>
    <w:rsid w:val="00FB2F32"/>
    <w:rsid w:val="00FC3191"/>
    <w:rsid w:val="00FE0F1F"/>
    <w:rsid w:val="00FF61F3"/>
    <w:rsid w:val="71AB7B8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8">
    <w:name w:val="page number"/>
    <w:unhideWhenUsed/>
    <w:qFormat/>
    <w:uiPriority w:val="99"/>
  </w:style>
  <w:style w:type="character" w:styleId="9">
    <w:name w:val="Hyperlink"/>
    <w:unhideWhenUsed/>
    <w:uiPriority w:val="99"/>
    <w:rPr>
      <w:color w:val="0563C1"/>
      <w:u w:val="single"/>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2BF5-811F-4068-98E9-B3908FD7155B}">
  <ds:schemaRefs/>
</ds:datastoreItem>
</file>

<file path=docProps/app.xml><?xml version="1.0" encoding="utf-8"?>
<Properties xmlns="http://schemas.openxmlformats.org/officeDocument/2006/extended-properties" xmlns:vt="http://schemas.openxmlformats.org/officeDocument/2006/docPropsVTypes">
  <Template>Normal</Template>
  <Pages>37</Pages>
  <Words>3084</Words>
  <Characters>17579</Characters>
  <Lines>146</Lines>
  <Paragraphs>41</Paragraphs>
  <TotalTime>0</TotalTime>
  <ScaleCrop>false</ScaleCrop>
  <LinksUpToDate>false</LinksUpToDate>
  <CharactersWithSpaces>20622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2024-03-15T03:29:48Z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