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保定市徐水区西漕店</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根据中共徐水县委办公室、徐水县人民政府办公室关于印发《徐水县漕河镇职能配置、内设机构和人员编制方案》的通知（徐办发[2008]24号），现将我部门概况说明如下：</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（一）负责党委、人大、政府交办的各项日常工作和纪检监察、组织、宣传、统一战线、人事编制、工青妇及各部门、各方面的综合协调工作，督促检查有关工作的落实。</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（三）负责民政优抚、扶贫开发、民族宗教、劳动和社会保障、科教文卫、安全生产等工作。协调与社会事务相关的其他工作。</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（四）负责来信来访、协调法庭、公安等部门工作，负责辖区内社会治安综合治理和法制宣传等工作，调解民事纠纷，维护社会稳定。</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（五）负责落实人口计划，开展和推动人口和计划生育各项工作，贯彻实施计划生育条例和法规。指导计划生育服务中心工作。</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（六）负责本镇农村社会化发展；负责村镇基础设施、交通等规划、建设、管理工作，负责国土资源、环境保护等工作。</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（七）负责计划生育技术服务；负责生育指导和避孕咨询；负责婚前咨询和新婚保健；负责计划生育技术人员与婚前保健服务人员培训；负责计划生育科学研究等。</w:t>
      </w:r>
    </w:p>
    <w:p>
      <w:pPr>
        <w:spacing w:line="520" w:lineRule="exact"/>
        <w:ind w:firstLine="640" w:firstLineChars="200"/>
        <w:jc w:val="left"/>
        <w:rPr>
          <w:rFonts w:ascii="仿宋" w:hAnsi="仿宋" w:eastAsia="仿宋"/>
          <w:sz w:val="32"/>
          <w:szCs w:val="32"/>
        </w:rPr>
      </w:pPr>
      <w:r>
        <w:rPr>
          <w:rFonts w:hint="eastAsia" w:ascii="仿宋_GB2312" w:hAnsi="仿宋" w:eastAsia="仿宋_GB2312" w:cs="仿宋_GB2312"/>
          <w:sz w:val="32"/>
          <w:szCs w:val="32"/>
        </w:rPr>
        <w:t>（八）开展科技宣传等各种形式的文体活动，推动健康向上的农村文化，发展广播电影电视事业，进一步丰富农村业余文化生活，建设好农村社会主义文化阵地，在建设农村物质文明的同时，建设好农村精神文明 。</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spacing w:line="300" w:lineRule="exact"/>
              <w:jc w:val="center"/>
              <w:rPr>
                <w:rFonts w:ascii="仿宋_GB2312" w:hAnsi="仿宋" w:eastAsia="仿宋_GB2312"/>
                <w:bCs/>
                <w:sz w:val="24"/>
                <w:szCs w:val="24"/>
              </w:rPr>
            </w:pPr>
            <w:r>
              <w:rPr>
                <w:rFonts w:hint="eastAsia" w:ascii="仿宋" w:hAnsi="仿宋" w:eastAsia="仿宋" w:cs="宋体"/>
                <w:color w:val="000000"/>
                <w:kern w:val="0"/>
                <w:sz w:val="24"/>
                <w:szCs w:val="24"/>
              </w:rPr>
              <w:t>漕河镇（行政）</w:t>
            </w:r>
          </w:p>
        </w:tc>
        <w:tc>
          <w:tcPr>
            <w:tcW w:w="1701" w:type="dxa"/>
            <w:vAlign w:val="center"/>
          </w:tcPr>
          <w:p>
            <w:pPr>
              <w:spacing w:line="300" w:lineRule="exact"/>
              <w:jc w:val="center"/>
              <w:rPr>
                <w:rFonts w:ascii="仿宋_GB2312" w:hAnsi="仿宋" w:eastAsia="仿宋_GB2312"/>
                <w:bCs/>
                <w:sz w:val="24"/>
                <w:szCs w:val="24"/>
              </w:rPr>
            </w:pPr>
            <w:r>
              <w:rPr>
                <w:rFonts w:hint="eastAsia" w:ascii="仿宋" w:hAnsi="仿宋" w:eastAsia="仿宋" w:cs="宋体"/>
                <w:color w:val="000000"/>
                <w:kern w:val="0"/>
                <w:sz w:val="24"/>
                <w:szCs w:val="24"/>
              </w:rPr>
              <w:t>行政</w:t>
            </w:r>
          </w:p>
        </w:tc>
        <w:tc>
          <w:tcPr>
            <w:tcW w:w="1418" w:type="dxa"/>
            <w:vAlign w:val="center"/>
          </w:tcPr>
          <w:p>
            <w:pPr>
              <w:spacing w:line="300" w:lineRule="exact"/>
              <w:jc w:val="center"/>
              <w:rPr>
                <w:rFonts w:ascii="仿宋_GB2312" w:hAnsi="仿宋" w:eastAsia="仿宋_GB2312"/>
                <w:bCs/>
                <w:sz w:val="24"/>
                <w:szCs w:val="24"/>
              </w:rPr>
            </w:pPr>
            <w:r>
              <w:rPr>
                <w:rFonts w:hint="eastAsia" w:ascii="仿宋" w:hAnsi="仿宋" w:eastAsia="仿宋" w:cs="宋体"/>
                <w:color w:val="000000"/>
                <w:kern w:val="0"/>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spacing w:line="300" w:lineRule="exact"/>
              <w:jc w:val="center"/>
              <w:rPr>
                <w:rFonts w:ascii="仿宋_GB2312" w:hAnsi="仿宋" w:eastAsia="仿宋_GB2312"/>
                <w:bCs/>
                <w:sz w:val="24"/>
                <w:szCs w:val="24"/>
              </w:rPr>
            </w:pPr>
            <w:r>
              <w:rPr>
                <w:rFonts w:hint="eastAsia" w:ascii="仿宋" w:hAnsi="仿宋" w:eastAsia="仿宋" w:cs="宋体"/>
                <w:color w:val="000000"/>
                <w:kern w:val="0"/>
                <w:sz w:val="24"/>
                <w:szCs w:val="24"/>
              </w:rPr>
              <w:t>漕河镇（事业）</w:t>
            </w:r>
          </w:p>
        </w:tc>
        <w:tc>
          <w:tcPr>
            <w:tcW w:w="1701" w:type="dxa"/>
            <w:vAlign w:val="center"/>
          </w:tcPr>
          <w:p>
            <w:pPr>
              <w:spacing w:line="300" w:lineRule="exact"/>
              <w:jc w:val="center"/>
              <w:rPr>
                <w:rFonts w:ascii="仿宋_GB2312" w:hAnsi="仿宋" w:eastAsia="仿宋_GB2312"/>
                <w:bCs/>
                <w:sz w:val="24"/>
                <w:szCs w:val="24"/>
              </w:rPr>
            </w:pPr>
            <w:r>
              <w:rPr>
                <w:rFonts w:hint="eastAsia" w:ascii="仿宋" w:hAnsi="仿宋" w:eastAsia="仿宋" w:cs="宋体"/>
                <w:color w:val="000000"/>
                <w:kern w:val="0"/>
                <w:sz w:val="24"/>
                <w:szCs w:val="24"/>
              </w:rPr>
              <w:t>事业</w:t>
            </w:r>
          </w:p>
        </w:tc>
        <w:tc>
          <w:tcPr>
            <w:tcW w:w="1418" w:type="dxa"/>
            <w:vAlign w:val="center"/>
          </w:tcPr>
          <w:p>
            <w:pPr>
              <w:spacing w:line="300" w:lineRule="exact"/>
              <w:jc w:val="center"/>
              <w:rPr>
                <w:rFonts w:ascii="仿宋_GB2312" w:hAnsi="仿宋" w:eastAsia="仿宋_GB2312"/>
                <w:bCs/>
                <w:sz w:val="24"/>
                <w:szCs w:val="24"/>
              </w:rPr>
            </w:pPr>
            <w:r>
              <w:rPr>
                <w:rFonts w:hint="eastAsia" w:ascii="仿宋" w:hAnsi="仿宋" w:eastAsia="仿宋" w:cs="宋体"/>
                <w:color w:val="000000"/>
                <w:kern w:val="0"/>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w:t>
      </w:r>
      <w:r>
        <w:rPr>
          <w:rFonts w:hint="eastAsia" w:ascii="仿宋" w:hAnsi="仿宋" w:eastAsia="仿宋"/>
          <w:sz w:val="32"/>
          <w:szCs w:val="32"/>
        </w:rPr>
        <w:t>1656.49</w:t>
      </w:r>
      <w:r>
        <w:rPr>
          <w:rFonts w:ascii="仿宋" w:hAnsi="仿宋" w:eastAsia="仿宋"/>
          <w:sz w:val="32"/>
          <w:szCs w:val="32"/>
        </w:rPr>
        <w:t>万元,其中：一般公共预算收入</w:t>
      </w:r>
      <w:r>
        <w:rPr>
          <w:rFonts w:hint="eastAsia" w:ascii="仿宋" w:hAnsi="仿宋" w:eastAsia="仿宋"/>
          <w:sz w:val="32"/>
          <w:szCs w:val="32"/>
        </w:rPr>
        <w:t>1656.49</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w:t>
      </w:r>
      <w:r>
        <w:rPr>
          <w:rFonts w:hint="eastAsia" w:ascii="仿宋" w:hAnsi="仿宋" w:eastAsia="仿宋"/>
          <w:sz w:val="32"/>
          <w:szCs w:val="32"/>
        </w:rPr>
        <w:t>1656.49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基本支出1259.17万元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1149.05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110.12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397.32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397.32</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本年度预算收支安排1656.49万元，较上年</w:t>
      </w:r>
      <w:r>
        <w:rPr>
          <w:rFonts w:ascii="仿宋" w:hAnsi="仿宋" w:eastAsia="仿宋"/>
          <w:sz w:val="32"/>
          <w:szCs w:val="32"/>
        </w:rPr>
        <w:t>减少</w:t>
      </w:r>
      <w:r>
        <w:rPr>
          <w:rFonts w:hint="eastAsia" w:ascii="仿宋" w:hAnsi="仿宋" w:eastAsia="仿宋"/>
          <w:sz w:val="32"/>
          <w:szCs w:val="32"/>
        </w:rPr>
        <w:t>90.72</w:t>
      </w:r>
      <w:r>
        <w:rPr>
          <w:rFonts w:ascii="仿宋" w:hAnsi="仿宋" w:eastAsia="仿宋"/>
          <w:sz w:val="32"/>
          <w:szCs w:val="32"/>
        </w:rPr>
        <w:t>万元。其中:基本支出减少</w:t>
      </w:r>
      <w:r>
        <w:rPr>
          <w:rFonts w:hint="eastAsia" w:ascii="仿宋" w:hAnsi="仿宋" w:eastAsia="仿宋"/>
          <w:sz w:val="32"/>
          <w:szCs w:val="32"/>
        </w:rPr>
        <w:t>123.41</w:t>
      </w:r>
      <w:r>
        <w:rPr>
          <w:rFonts w:ascii="仿宋" w:hAnsi="仿宋" w:eastAsia="仿宋"/>
          <w:sz w:val="32"/>
          <w:szCs w:val="32"/>
        </w:rPr>
        <w:t>万元，主要原因是</w:t>
      </w:r>
      <w:r>
        <w:rPr>
          <w:rFonts w:hint="eastAsia" w:ascii="仿宋" w:hAnsi="仿宋" w:eastAsia="仿宋"/>
          <w:sz w:val="32"/>
          <w:szCs w:val="32"/>
        </w:rPr>
        <w:t>人员减少</w:t>
      </w:r>
      <w:r>
        <w:rPr>
          <w:rFonts w:ascii="仿宋" w:hAnsi="仿宋" w:eastAsia="仿宋"/>
          <w:sz w:val="32"/>
          <w:szCs w:val="32"/>
        </w:rPr>
        <w:t>；项目支出增加</w:t>
      </w:r>
      <w:r>
        <w:rPr>
          <w:rFonts w:hint="eastAsia" w:ascii="仿宋" w:hAnsi="仿宋" w:eastAsia="仿宋"/>
          <w:sz w:val="32"/>
          <w:szCs w:val="32"/>
        </w:rPr>
        <w:t>32.69</w:t>
      </w:r>
      <w:r>
        <w:rPr>
          <w:rFonts w:ascii="仿宋" w:hAnsi="仿宋" w:eastAsia="仿宋"/>
          <w:sz w:val="32"/>
          <w:szCs w:val="32"/>
        </w:rPr>
        <w:t>万元，主要原因是</w:t>
      </w:r>
      <w:r>
        <w:rPr>
          <w:rFonts w:hint="eastAsia" w:ascii="仿宋" w:hAnsi="仿宋" w:eastAsia="仿宋"/>
          <w:sz w:val="32"/>
          <w:szCs w:val="32"/>
        </w:rPr>
        <w:t>政府机关运行，大气污染防治经费增加</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w:t>
      </w:r>
      <w:r>
        <w:rPr>
          <w:rFonts w:hint="eastAsia" w:ascii="仿宋" w:hAnsi="仿宋" w:eastAsia="仿宋"/>
          <w:sz w:val="32"/>
          <w:szCs w:val="32"/>
        </w:rPr>
        <w:t>110.12</w:t>
      </w:r>
      <w:r>
        <w:rPr>
          <w:rFonts w:ascii="仿宋" w:hAnsi="仿宋" w:eastAsia="仿宋"/>
          <w:sz w:val="32"/>
          <w:szCs w:val="32"/>
        </w:rPr>
        <w:t>万元，其中办公费</w:t>
      </w:r>
      <w:r>
        <w:rPr>
          <w:rFonts w:hint="eastAsia" w:ascii="仿宋" w:hAnsi="仿宋" w:eastAsia="仿宋"/>
          <w:sz w:val="32"/>
          <w:szCs w:val="32"/>
        </w:rPr>
        <w:t>10.07</w:t>
      </w:r>
      <w:r>
        <w:rPr>
          <w:rFonts w:ascii="仿宋" w:hAnsi="仿宋" w:eastAsia="仿宋"/>
          <w:sz w:val="32"/>
          <w:szCs w:val="32"/>
        </w:rPr>
        <w:t>万元，邮电费</w:t>
      </w:r>
      <w:r>
        <w:rPr>
          <w:rFonts w:hint="eastAsia" w:ascii="仿宋" w:hAnsi="仿宋" w:eastAsia="仿宋"/>
          <w:sz w:val="32"/>
          <w:szCs w:val="32"/>
        </w:rPr>
        <w:t>13.44</w:t>
      </w:r>
      <w:r>
        <w:rPr>
          <w:rFonts w:ascii="仿宋" w:hAnsi="仿宋" w:eastAsia="仿宋"/>
          <w:sz w:val="32"/>
          <w:szCs w:val="32"/>
        </w:rPr>
        <w:t>万元，</w:t>
      </w:r>
      <w:r>
        <w:rPr>
          <w:rFonts w:hint="eastAsia" w:ascii="仿宋" w:hAnsi="仿宋" w:eastAsia="仿宋"/>
          <w:sz w:val="32"/>
          <w:szCs w:val="32"/>
        </w:rPr>
        <w:t>办公取暖费8.78万，离退休干部经费3.79万，公务交通补贴12.96万，</w:t>
      </w:r>
      <w:r>
        <w:rPr>
          <w:rFonts w:ascii="仿宋" w:hAnsi="仿宋" w:eastAsia="仿宋"/>
          <w:sz w:val="32"/>
          <w:szCs w:val="32"/>
        </w:rPr>
        <w:t>工会经费、福利费</w:t>
      </w:r>
      <w:r>
        <w:rPr>
          <w:rFonts w:hint="eastAsia" w:ascii="仿宋" w:hAnsi="仿宋" w:eastAsia="仿宋"/>
          <w:sz w:val="32"/>
          <w:szCs w:val="32"/>
        </w:rPr>
        <w:t>17.99</w:t>
      </w:r>
      <w:r>
        <w:rPr>
          <w:rFonts w:ascii="仿宋" w:hAnsi="仿宋" w:eastAsia="仿宋"/>
          <w:sz w:val="32"/>
          <w:szCs w:val="32"/>
        </w:rPr>
        <w:t>万元，公务用车运行维护费</w:t>
      </w:r>
      <w:r>
        <w:rPr>
          <w:rFonts w:hint="eastAsia" w:ascii="仿宋" w:hAnsi="仿宋" w:eastAsia="仿宋"/>
          <w:sz w:val="32"/>
          <w:szCs w:val="32"/>
        </w:rPr>
        <w:t>12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20.09</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公务用车改革核减公务用车。</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执行中央八项规定，厉行节约。</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年，我部门针对三公经费支出制定了严格的管理制度，认真执行中央八项规定，厉行节约，杜绝浪费。从总量来讲，我部门的三公经费与上年相比减少了0万元。</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outlineLvl w:val="0"/>
        <w:rPr>
          <w:rFonts w:ascii="方正小标宋_GBK" w:eastAsia="方正小标宋_GBK"/>
          <w:sz w:val="44"/>
        </w:rPr>
      </w:pPr>
      <w:r>
        <w:rPr>
          <w:rFonts w:hint="eastAsia" w:ascii="方正小标宋_GBK" w:eastAsia="方正小标宋_GBK"/>
          <w:sz w:val="44"/>
        </w:rPr>
        <w:t>一、部门整体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紧紧围绕全区工作和区委重要部署，深入贯彻落实党的十九届四中全会精神和习近平新时代中国特色社会主义思想，结合漕河镇实际情况抓班子、带队伍、保稳定、促发展、惠民生，加压奋进。解放思想，推进惩防体系建设和落实党风廉政建设；进一步优化发展环境，确保经济指标稳步增长，生态农业健康发展；加强农村基层组织建设，巩固镇域稳定局面；深入开展镇村综合环境治理，建设文明新农村；全面落实各项惠民、惠农政策，民生项目顺利推进，社会保障工作扎实开展；扎实推进大气污染防治工作，统筹安排扬尘治理、</w:t>
      </w:r>
      <w:bookmarkStart w:id="21" w:name="_GoBack"/>
      <w:bookmarkEnd w:id="21"/>
      <w:r>
        <w:rPr>
          <w:rFonts w:hint="eastAsia" w:ascii="仿宋" w:hAnsi="仿宋" w:eastAsia="仿宋"/>
          <w:sz w:val="32"/>
          <w:szCs w:val="32"/>
          <w:lang w:eastAsia="zh-CN"/>
        </w:rPr>
        <w:t>秸秆</w:t>
      </w:r>
      <w:r>
        <w:rPr>
          <w:rFonts w:hint="eastAsia" w:ascii="仿宋" w:hAnsi="仿宋" w:eastAsia="仿宋"/>
          <w:sz w:val="32"/>
          <w:szCs w:val="32"/>
        </w:rPr>
        <w:t>焚烧，排查污染企业，加强管控与治理，改</w:t>
      </w:r>
      <w:r>
        <w:rPr>
          <w:rFonts w:ascii="仿宋" w:hAnsi="仿宋" w:eastAsia="仿宋"/>
          <w:sz w:val="32"/>
          <w:szCs w:val="32"/>
        </w:rPr>
        <w:t>善人居</w:t>
      </w:r>
      <w:r>
        <w:rPr>
          <w:rFonts w:hint="eastAsia" w:ascii="仿宋" w:hAnsi="仿宋" w:eastAsia="仿宋"/>
          <w:sz w:val="32"/>
          <w:szCs w:val="32"/>
        </w:rPr>
        <w:t>环境。加强对企业和社会安全的管理，确保辖区内生产安全、社会和谐统筹安排</w:t>
      </w:r>
      <w:r>
        <w:rPr>
          <w:rFonts w:ascii="仿宋" w:hAnsi="仿宋" w:eastAsia="仿宋"/>
          <w:sz w:val="32"/>
          <w:szCs w:val="32"/>
        </w:rPr>
        <w:t>; 扎</w:t>
      </w:r>
      <w:r>
        <w:rPr>
          <w:rFonts w:hint="eastAsia" w:ascii="仿宋" w:hAnsi="仿宋" w:eastAsia="仿宋"/>
          <w:sz w:val="32"/>
          <w:szCs w:val="32"/>
        </w:rPr>
        <w:t>实推动建档立卡扶贫工作，保证建档立卡户脱贫不脱政策，防止返贫。扎实做好人大、政协、工会、共青团、武装、环保、土地、教育、卫生等各项工作，努力实现全乡各项事业持续发展。</w:t>
      </w:r>
    </w:p>
    <w:p>
      <w:pPr>
        <w:spacing w:line="360" w:lineRule="auto"/>
        <w:ind w:firstLine="640" w:firstLineChars="200"/>
        <w:rPr>
          <w:rFonts w:ascii="仿宋" w:hAnsi="仿宋" w:eastAsia="仿宋"/>
          <w:sz w:val="32"/>
          <w:szCs w:val="32"/>
        </w:rPr>
      </w:pPr>
    </w:p>
    <w:p>
      <w:pPr>
        <w:outlineLvl w:val="0"/>
        <w:rPr>
          <w:rFonts w:ascii="方正小标宋_GBK" w:eastAsia="方正小标宋_GBK"/>
          <w:sz w:val="44"/>
        </w:rPr>
      </w:pPr>
      <w:r>
        <w:rPr>
          <w:rFonts w:hint="eastAsia" w:ascii="方正小标宋_GBK" w:eastAsia="方正小标宋_GBK"/>
          <w:sz w:val="44"/>
        </w:rPr>
        <w:t>二、分项</w:t>
      </w:r>
      <w:r>
        <w:rPr>
          <w:rFonts w:ascii="方正小标宋_GBK" w:eastAsia="方正小标宋_GBK"/>
          <w:sz w:val="44"/>
        </w:rPr>
        <w:t>绩效目标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（一）减少社会矛盾，维护镇村稳定</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绩效目标：协调维护社会稳定和国家安全，以创建和谐稳定的社会环境为目标。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绩效指标：矛盾纠纷调处率达到85%以上；协调督导事项化解率85%以上；稳定水平提高。</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（二）维持村级组织正常运转，促进乡村发展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绩效目标：维持村级组织正常运转，搞好服务保障，保障村级组织及村党组织正常运转，促进乡村社会和经济发展。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绩效指标：村级各项经费资金支付及时率达到90%以上；群众满意率达到90%以上。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（三）农村文化建设实现共享</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绩效目标：宣传党的路线、方针、政策和上级工作部署，坚持正确舆论导向，发挥主流媒体作用。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 实现文化资源共享；群众满意度达到90%以上。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（四）乡镇综合事务管理，保障正常运转</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绩效目标：扎实做好人大、党建、纪检、团委等各项工作，保障机关工作正常运转，财政资金使用效益。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绩效指标：保障工作明显提升；综合事务管理工作完成率达到90%以上；受益对象满意度达到90%以上。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（五）改善农村环境</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绩效目标：做好全年大气污染防治工作，把大气污染防治工作作为一项重要内容常态化。</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绩效指标：秸秆还田率及秸秆清运率达到85%以上；污染物排放总量同期下降达15%以上。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（六）武装阵地达标建设</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绩效目标：贯彻“严格训练、严格要求”的方针，坚持规范训练，因地制宜地抓好专业人才培训，充分发挥其战备效益和社会效益。按标准搞好武装阵地达标建设。</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绩效指标：民兵应急训练次数最少2次；武装阵地建设达标；应急装备保障率90%以上。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（七）落实安全生产管理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绩效指标：安全生产信息员设置覆盖镇所有村；安全生产信息员补助发放完成率达到90%以上；享受安全生产信息员补助人员对补助发放情况的满意程度达到90%以上。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（八）实现镇村地震安全建设常态化</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绩效目标：实现城乡地震安全建设常态化，提高防震减灾宣传效果，提升社会公众防震避险意识和技能。</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绩效指标：地震群测群防队伍覆盖全镇各村；地震群测群防岗位津贴发放完成率达到90%以上享受地震群测群防岗位津贴人员对津贴发放情况的满意程度达到90%以上。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（九）改善农村环境面貌</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绩效目标：计划利用上级专项资金对南青公村太阳能路灯进行安装，改善农村环境面貌，提升农民生产生活条件。</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绩效指标：保障项目按质、按量完成，群众满意度达90%以上，大力推进美丽乡村建设。</w:t>
      </w:r>
    </w:p>
    <w:p>
      <w:pPr>
        <w:spacing w:line="500" w:lineRule="exact"/>
        <w:ind w:firstLine="640" w:firstLineChars="200"/>
        <w:jc w:val="left"/>
        <w:rPr>
          <w:rFonts w:ascii="仿宋" w:hAnsi="仿宋" w:eastAsia="仿宋"/>
          <w:sz w:val="32"/>
          <w:szCs w:val="32"/>
        </w:rPr>
      </w:pPr>
    </w:p>
    <w:p>
      <w:pPr>
        <w:outlineLvl w:val="0"/>
        <w:rPr>
          <w:rFonts w:ascii="方正小标宋_GBK" w:eastAsia="方正小标宋_GBK"/>
          <w:sz w:val="44"/>
        </w:rPr>
      </w:pPr>
      <w:r>
        <w:rPr>
          <w:rFonts w:hint="eastAsia" w:ascii="方正小标宋_GBK" w:eastAsia="方正小标宋_GBK"/>
          <w:sz w:val="44"/>
        </w:rPr>
        <w:t>三、工作保障措施</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（一）强化政治理论武装，健全完善制度机制</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（二）加强预算支出管理，确保支出进度达标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（三）加强内部监督管理，确保资金安全有效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乡物资采购、工程项目等大额资金使用招投标的全过程监督，确保财政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（四）加强宣传培训调研，确保绩效目标实现</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00" w:lineRule="exact"/>
        <w:ind w:firstLine="640" w:firstLineChars="200"/>
        <w:jc w:val="left"/>
        <w:rPr>
          <w:rFonts w:ascii="仿宋" w:hAnsi="仿宋" w:eastAsia="仿宋"/>
          <w:sz w:val="32"/>
          <w:szCs w:val="32"/>
        </w:rPr>
      </w:pPr>
    </w:p>
    <w:p>
      <w:pPr>
        <w:outlineLvl w:val="0"/>
        <w:rPr>
          <w:rFonts w:ascii="方正书宋_GBK" w:eastAsia="方正书宋_GBK"/>
        </w:rPr>
      </w:pPr>
      <w:r>
        <w:rPr>
          <w:rFonts w:hint="eastAsia" w:ascii="方正小标宋_GBK" w:eastAsia="方正小标宋_GBK"/>
          <w:sz w:val="44"/>
        </w:rPr>
        <w:t>四．预算项目绩效目标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ind w:firstLine="562" w:firstLineChars="200"/>
        <w:jc w:val="left"/>
        <w:outlineLvl w:val="1"/>
        <w:rPr>
          <w:rFonts w:ascii="Times New Roman" w:hAnsi="宋体" w:eastAsia="宋体"/>
          <w:b/>
          <w:sz w:val="28"/>
        </w:rPr>
      </w:pPr>
      <w:r>
        <w:rPr>
          <w:rFonts w:ascii="方正仿宋_GBK" w:eastAsia="方正仿宋_GBK"/>
          <w:b/>
          <w:sz w:val="28"/>
        </w:rPr>
        <w:t>1、2020年扶贫公益岗位补助及购置保险绩效目标表</w:t>
      </w:r>
      <w:r>
        <w:fldChar w:fldCharType="begin"/>
      </w:r>
      <w:r>
        <w:rPr>
          <w:rFonts w:ascii="方正仿宋_GBK" w:eastAsia="方正仿宋_GBK"/>
          <w:b/>
          <w:sz w:val="28"/>
        </w:rPr>
        <w:instrText xml:space="preserve"> TC </w:instrText>
      </w:r>
      <w:bookmarkStart w:id="0" w:name="_Toc31371014"/>
      <w:r>
        <w:rPr>
          <w:rFonts w:ascii="方正仿宋_GBK" w:eastAsia="方正仿宋_GBK"/>
          <w:b/>
          <w:sz w:val="28"/>
        </w:rPr>
        <w:instrText xml:space="preserve">1、2020年扶贫公益岗位补助及购置保险绩效目标表</w:instrText>
      </w:r>
      <w:bookmarkEnd w:id="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912-1701-YBN-CNXX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2020年扶贫公益岗位补助及购置保险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2.67</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设置扶贫公益岗位，每人每月补助500元，为每人购置人身意外保险667元，2020年1-12月实施，全年共需2.6668万元。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1、以扶贫公益岗位为抓手，解决建档立卡贫困户中弱劳动能力人员就业问题。</w:t>
            </w:r>
          </w:p>
          <w:p>
            <w:pPr>
              <w:spacing w:line="300" w:lineRule="exact"/>
              <w:jc w:val="left"/>
              <w:rPr>
                <w:rFonts w:ascii="方正书宋_GBK" w:eastAsia="方正书宋_GBK"/>
              </w:rPr>
            </w:pPr>
            <w:r>
              <w:rPr>
                <w:rFonts w:ascii="方正书宋_GBK" w:eastAsia="方正书宋_GBK"/>
              </w:rPr>
              <w:t>2、给于一定的岗位补助，促进建档立卡贫困户增收脱贫。</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带动建档立卡贫困户增收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带动建档立卡贫困户增价收入（万元）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保障建档立卡贫困户人身安全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购置建档立卡贫困户人身意外保险费用（万元）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≥0.26万元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2、安全生产信息员经费绩效目标表</w:t>
      </w:r>
      <w:r>
        <w:fldChar w:fldCharType="begin"/>
      </w:r>
      <w:r>
        <w:rPr>
          <w:rFonts w:ascii="方正仿宋_GBK" w:eastAsia="方正仿宋_GBK"/>
          <w:b/>
          <w:sz w:val="28"/>
        </w:rPr>
        <w:instrText xml:space="preserve"> TC </w:instrText>
      </w:r>
      <w:bookmarkStart w:id="1" w:name="_Toc31371015"/>
      <w:r>
        <w:rPr>
          <w:rFonts w:ascii="方正仿宋_GBK" w:eastAsia="方正仿宋_GBK"/>
          <w:b/>
          <w:sz w:val="28"/>
        </w:rPr>
        <w:instrText xml:space="preserve">2、安全生产信息员经费绩效目标表</w:instrText>
      </w:r>
      <w:bookmarkEnd w:id="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912-2401-JXN-158Y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用于全区各乡镇（城区办）安全生产信息员补助，计划2020年1-12月实施。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2、有效减少安全生产事故的发生，维护安全生产形势稳中向好。</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覆盖乡镇（办事处）数量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安全生产信息员设置覆盖乡镇（办事处）数量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发放原乡镇办事处补贴发放完成率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享受安全生产信息员补助人员对补助发放情况的满意程度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3、拨付原京原公路工役制人员落实待遇资金绩效目标表</w:t>
      </w:r>
      <w:r>
        <w:fldChar w:fldCharType="begin"/>
      </w:r>
      <w:r>
        <w:rPr>
          <w:rFonts w:ascii="方正仿宋_GBK" w:eastAsia="方正仿宋_GBK"/>
          <w:b/>
          <w:sz w:val="28"/>
        </w:rPr>
        <w:instrText xml:space="preserve"> TC </w:instrText>
      </w:r>
      <w:bookmarkStart w:id="2" w:name="_Toc31371016"/>
      <w:r>
        <w:rPr>
          <w:rFonts w:ascii="方正仿宋_GBK" w:eastAsia="方正仿宋_GBK"/>
          <w:b/>
          <w:sz w:val="28"/>
        </w:rPr>
        <w:instrText xml:space="preserve">3、拨付原京原公路工役制人员落实待遇资金绩效目标表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912-1201-JXN-I2BE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拨付原京原公路工役制人员落实待遇资金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12.42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12.42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每月按时为原京原公路工役制人员发放落实待遇资金。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1、通过此项目的实施，保障原京原公路工役制人员待遇落实，维护民心安定，社会稳定。</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已补助人数占应补助人数的比例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发放原京原公路工役制人员待遇资金发放完成率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4、村党组织活动经费绩效目标表</w:t>
      </w:r>
      <w:r>
        <w:fldChar w:fldCharType="begin"/>
      </w:r>
      <w:r>
        <w:rPr>
          <w:rFonts w:ascii="方正仿宋_GBK" w:eastAsia="方正仿宋_GBK"/>
          <w:b/>
          <w:sz w:val="28"/>
        </w:rPr>
        <w:instrText xml:space="preserve"> TC </w:instrText>
      </w:r>
      <w:bookmarkStart w:id="3" w:name="_Toc31371017"/>
      <w:r>
        <w:rPr>
          <w:rFonts w:ascii="方正仿宋_GBK" w:eastAsia="方正仿宋_GBK"/>
          <w:b/>
          <w:sz w:val="28"/>
        </w:rPr>
        <w:instrText xml:space="preserve">4、村党组织活动经费绩效目标表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912-0701-JSN-WO5B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34.14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34.14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2、由村党组织活动经费定期集中培训，提高农村党员的综合素质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组织参观学习人次（人）</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参加党组织活动的党员对此项服务的满意程度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5、村级组织办公经费绩效目标表</w:t>
      </w:r>
      <w:r>
        <w:fldChar w:fldCharType="begin"/>
      </w:r>
      <w:r>
        <w:rPr>
          <w:rFonts w:ascii="方正仿宋_GBK" w:eastAsia="方正仿宋_GBK"/>
          <w:b/>
          <w:sz w:val="28"/>
        </w:rPr>
        <w:instrText xml:space="preserve"> TC </w:instrText>
      </w:r>
      <w:bookmarkStart w:id="4" w:name="_Toc31371018"/>
      <w:r>
        <w:rPr>
          <w:rFonts w:ascii="方正仿宋_GBK" w:eastAsia="方正仿宋_GBK"/>
          <w:b/>
          <w:sz w:val="28"/>
        </w:rPr>
        <w:instrText xml:space="preserve">5、村级组织办公经费绩效目标表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912-2703-JBN-9KTP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52.20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52.20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用于我镇27个行政村，保障村级正常运行经费及其他支出。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1、通过此项目的实施，保障村级经费正常运转，维护农村基层组织政权稳定，确保各项农村工作良好完成，支持新农村建设，促进农村经济良好发展。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资金惠及村的数量（个）</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资金惠及村的数量（个）</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6、大气污染防治经费绩效目标表</w:t>
      </w:r>
      <w:r>
        <w:fldChar w:fldCharType="begin"/>
      </w:r>
      <w:r>
        <w:rPr>
          <w:rFonts w:ascii="方正仿宋_GBK" w:eastAsia="方正仿宋_GBK"/>
          <w:b/>
          <w:sz w:val="28"/>
        </w:rPr>
        <w:instrText xml:space="preserve"> TC </w:instrText>
      </w:r>
      <w:bookmarkStart w:id="5" w:name="_Toc31371019"/>
      <w:r>
        <w:rPr>
          <w:rFonts w:ascii="方正仿宋_GBK" w:eastAsia="方正仿宋_GBK"/>
          <w:b/>
          <w:sz w:val="28"/>
        </w:rPr>
        <w:instrText xml:space="preserve">6、大气污染防治经费绩效目标表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912-1801-JBN-X5OR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用于散乱污治理、禁烧等工作产生的劳务费、办公费、及公车加油费。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1、此项目用于保证2020年27个村禁烧工作完成，维护大气环境不受污染，保障辖区居民良好生产、生活环境。</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辐射环境自动监测站点良好运行率（%）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保证辐射环境自动监测站点的良好运行时间占自动监测站点的全年运行时间的比率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禁烧监控点设置数量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禁烧监控点设置数量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全年空气优良天数增长率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全年空气优良天数同比增长率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7、地震群测群防岗位津贴绩效目标表</w:t>
      </w:r>
      <w:r>
        <w:fldChar w:fldCharType="begin"/>
      </w:r>
      <w:r>
        <w:rPr>
          <w:rFonts w:ascii="方正仿宋_GBK" w:eastAsia="方正仿宋_GBK"/>
          <w:b/>
          <w:sz w:val="28"/>
        </w:rPr>
        <w:instrText xml:space="preserve"> TC </w:instrText>
      </w:r>
      <w:bookmarkStart w:id="6" w:name="_Toc31371020"/>
      <w:r>
        <w:rPr>
          <w:rFonts w:ascii="方正仿宋_GBK" w:eastAsia="方正仿宋_GBK"/>
          <w:b/>
          <w:sz w:val="28"/>
        </w:rPr>
        <w:instrText xml:space="preserve">7、地震群测群防岗位津贴绩效目标表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912-2501-JXN-342H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0.53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0.53</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用于全区地震群测群防系统人员津贴发放，2020年1-12月实施。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发放乡镇地震群测群防岗位津贴发放完成率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8、服务群众专项经费绩效目标表</w:t>
      </w:r>
      <w:r>
        <w:fldChar w:fldCharType="begin"/>
      </w:r>
      <w:r>
        <w:rPr>
          <w:rFonts w:ascii="方正仿宋_GBK" w:eastAsia="方正仿宋_GBK"/>
          <w:b/>
          <w:sz w:val="28"/>
        </w:rPr>
        <w:instrText xml:space="preserve"> TC </w:instrText>
      </w:r>
      <w:bookmarkStart w:id="7" w:name="_Toc31371021"/>
      <w:r>
        <w:rPr>
          <w:rFonts w:ascii="方正仿宋_GBK" w:eastAsia="方正仿宋_GBK"/>
          <w:b/>
          <w:sz w:val="28"/>
        </w:rPr>
        <w:instrText xml:space="preserve">8、服务群众专项经费绩效目标表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912-0701-JSN-U415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用于村内日常开支工作支出,2020年实施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1、运用服务群众专项经费，保障村内组织日常活动，</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通过实施此项目促进社会稳定水平逐步提高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9、护路经费绩效目标表</w:t>
      </w:r>
      <w:r>
        <w:fldChar w:fldCharType="begin"/>
      </w:r>
      <w:r>
        <w:rPr>
          <w:rFonts w:ascii="方正仿宋_GBK" w:eastAsia="方正仿宋_GBK"/>
          <w:b/>
          <w:sz w:val="28"/>
        </w:rPr>
        <w:instrText xml:space="preserve"> TC </w:instrText>
      </w:r>
      <w:bookmarkStart w:id="8" w:name="_Toc31371022"/>
      <w:r>
        <w:rPr>
          <w:rFonts w:ascii="方正仿宋_GBK" w:eastAsia="方正仿宋_GBK"/>
          <w:b/>
          <w:sz w:val="28"/>
        </w:rPr>
        <w:instrText xml:space="preserve">9、护路经费绩效目标表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912-0604-JBN-0V67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护路经费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用于每年两会期间和国家有其他重大会议时，我镇安排护路人员对重点地带进行24小时看护巡逻劳务费。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1、通过此项目落实，净化铁路外部环境，排除防范安全隐患，保障公路、铁路运输安全，维护道路沿线治安持续稳定。</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护路任务较好完成率(%)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较好完成的护路任务占任务总数的比例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完成护路任务量（次）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重要时期完成专项护路任务的次数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公众安全感指数(%)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对道路治安管理满意的人数査调查总人数的比率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10、纪检保障经费绩效目标表</w:t>
      </w:r>
      <w:r>
        <w:fldChar w:fldCharType="begin"/>
      </w:r>
      <w:r>
        <w:rPr>
          <w:rFonts w:ascii="方正仿宋_GBK" w:eastAsia="方正仿宋_GBK"/>
          <w:b/>
          <w:sz w:val="28"/>
        </w:rPr>
        <w:instrText xml:space="preserve"> TC </w:instrText>
      </w:r>
      <w:bookmarkStart w:id="9" w:name="_Toc31371023"/>
      <w:r>
        <w:rPr>
          <w:rFonts w:ascii="方正仿宋_GBK" w:eastAsia="方正仿宋_GBK"/>
          <w:b/>
          <w:sz w:val="28"/>
        </w:rPr>
        <w:instrText xml:space="preserve">10、纪检保障经费绩效目标表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912-1701-YBN-FF63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用于纪检部门购置办公用品，发放纪检干部补贴。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1、落实党风廉政建设监督责任，加强调查研究帮助解决实际困难和问题，推动党风廉政建设监督责任落实，确保纪检工作顺利开展。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纪检部门运转费用保障率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乡镇纪检部门正常运转保障程度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纪检经费保障及时率(已按计划拨付到位的资金/应按计划拨付到位的资金)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执法办案行为投诉率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被投诉案件占办案总量的比例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接受基本公共卫生服务的重点人群对基层医疗卫生机构所提供服务的满意程度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11、农村环境治理经费绩效目标表</w:t>
      </w:r>
      <w:r>
        <w:fldChar w:fldCharType="begin"/>
      </w:r>
      <w:r>
        <w:rPr>
          <w:rFonts w:ascii="方正仿宋_GBK" w:eastAsia="方正仿宋_GBK"/>
          <w:b/>
          <w:sz w:val="28"/>
        </w:rPr>
        <w:instrText xml:space="preserve"> TC </w:instrText>
      </w:r>
      <w:bookmarkStart w:id="10" w:name="_Toc31371024"/>
      <w:r>
        <w:rPr>
          <w:rFonts w:ascii="方正仿宋_GBK" w:eastAsia="方正仿宋_GBK"/>
          <w:b/>
          <w:sz w:val="28"/>
        </w:rPr>
        <w:instrText xml:space="preserve">11、农村环境治理经费绩效目标表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912-1901-JBN-N0W2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农村环境治理经费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7.68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7.68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用于拨付27个村清理垃圾等工作机械租赁费及人工劳务费。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1、通过此项目的落实，解决农村脏乱问题，改善居住环境，提升乡村风貌，打造整洁宜居的乡村环境。</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生活垃圾定点存放清运率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生活垃圾定点存放清运率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当年完成率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受益人口数量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受益人口数量占总人口的比率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农村环卫机制建设情况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是否建立了农村环卫长效机制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已建立</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12、其他两委干部绩效补贴绩效目标表</w:t>
      </w:r>
      <w:r>
        <w:fldChar w:fldCharType="begin"/>
      </w:r>
      <w:r>
        <w:rPr>
          <w:rFonts w:ascii="方正仿宋_GBK" w:eastAsia="方正仿宋_GBK"/>
          <w:b/>
          <w:sz w:val="28"/>
        </w:rPr>
        <w:instrText xml:space="preserve"> TC </w:instrText>
      </w:r>
      <w:bookmarkStart w:id="11" w:name="_Toc31371025"/>
      <w:r>
        <w:rPr>
          <w:rFonts w:ascii="方正仿宋_GBK" w:eastAsia="方正仿宋_GBK"/>
          <w:b/>
          <w:sz w:val="28"/>
        </w:rPr>
        <w:instrText xml:space="preserve">12、其他两委干部绩效补贴绩效目标表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912-2703-JSN-KA6P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其他两委干部绩效补贴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42.48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42.48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认真落实习近平总书记关于高度重视基层基础、切实关心基层干部的指标精神，进一步提高农村干部基础职务补贴标准,除村党组织书记、村委会主任之外其他“两委”干部，由镇党委结合实际制定考核办法，根据日常工作完成情况发放绩效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1、为农村支书、主任及其他“两委”干部发放工资，进一步强化党在农村执政的保障基础，充分调动农村干部的工作热情。</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已补助人数占应补助人群的比率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发放两委干部绩效补贴发放完成率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13、人大工作经费绩效目标表</w:t>
      </w:r>
      <w:r>
        <w:fldChar w:fldCharType="begin"/>
      </w:r>
      <w:r>
        <w:rPr>
          <w:rFonts w:ascii="方正仿宋_GBK" w:eastAsia="方正仿宋_GBK"/>
          <w:b/>
          <w:sz w:val="28"/>
        </w:rPr>
        <w:instrText xml:space="preserve"> TC </w:instrText>
      </w:r>
      <w:bookmarkStart w:id="12" w:name="_Toc31371026"/>
      <w:r>
        <w:rPr>
          <w:rFonts w:ascii="方正仿宋_GBK" w:eastAsia="方正仿宋_GBK"/>
          <w:b/>
          <w:sz w:val="28"/>
        </w:rPr>
        <w:instrText xml:space="preserve">13、人大工作经费绩效目标表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912-1701-YBN-COTZ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用于人大依法开展工作，履行各项职能活动中产生的各项费用。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1、加强乡镇人大履行职能，保障乡镇人大工作及时开展。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人大日常工作经费保障及时性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保障人大日常工作及时性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非常及时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人大集中性工作完成率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人大选举、人大会议等集中向工作完成率（实际完成工作/计划完成工作）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人大代表及相关人员满意度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人大代表、相关群众对人大工作的满意度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14、团委综合事务管理经费绩效目标表</w:t>
      </w:r>
      <w:r>
        <w:fldChar w:fldCharType="begin"/>
      </w:r>
      <w:r>
        <w:rPr>
          <w:rFonts w:ascii="方正仿宋_GBK" w:eastAsia="方正仿宋_GBK"/>
          <w:b/>
          <w:sz w:val="28"/>
        </w:rPr>
        <w:instrText xml:space="preserve"> TC </w:instrText>
      </w:r>
      <w:bookmarkStart w:id="13" w:name="_Toc31371027"/>
      <w:r>
        <w:rPr>
          <w:rFonts w:ascii="方正仿宋_GBK" w:eastAsia="方正仿宋_GBK"/>
          <w:b/>
          <w:sz w:val="28"/>
        </w:rPr>
        <w:instrText xml:space="preserve">14、团委综合事务管理经费绩效目标表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912-1701-YBN-YBU2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用于团委组织宣传活动及培训工作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1、通过改革团员发展制度，构建青年活动组织、培训青年教育等形式，加强对青年的思想政治引领，完善青年的领导机制。</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开展外宣活动数量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反映开展外宣活动情况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团员培训出勤率（%）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实际出勤学员数量占参加培训学员数量的比率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受训学员满意度（%）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调查中满意和较满意的受训学员数量占调查总人数的比率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15、退役军人公益性岗位人员工资绩效目标表</w:t>
      </w:r>
      <w:r>
        <w:fldChar w:fldCharType="begin"/>
      </w:r>
      <w:r>
        <w:rPr>
          <w:rFonts w:ascii="方正仿宋_GBK" w:eastAsia="方正仿宋_GBK"/>
          <w:b/>
          <w:sz w:val="28"/>
        </w:rPr>
        <w:instrText xml:space="preserve"> TC </w:instrText>
      </w:r>
      <w:bookmarkStart w:id="14" w:name="_Toc31371028"/>
      <w:r>
        <w:rPr>
          <w:rFonts w:ascii="方正仿宋_GBK" w:eastAsia="方正仿宋_GBK"/>
          <w:b/>
          <w:sz w:val="28"/>
        </w:rPr>
        <w:instrText xml:space="preserve">15、退役军人公益性岗位人员工资绩效目标表</w:instrText>
      </w:r>
      <w:bookmarkEnd w:id="1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912-0601-JXN-8E02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21.34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21.34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每月为退役军人公益性岗位人员按时发放工资。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1、通过此项目的落实，解决退役军人就业问题，保障公益性岗位人员权益，促进社会和谐稳定。</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人员工资到位率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实际发放的工资占应发放工资的比例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工资发放数量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工资发放人数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发放公益性岗位人员工资发放完成率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16、维稳经费绩效目标表</w:t>
      </w:r>
      <w:r>
        <w:fldChar w:fldCharType="begin"/>
      </w:r>
      <w:r>
        <w:rPr>
          <w:rFonts w:ascii="方正仿宋_GBK" w:eastAsia="方正仿宋_GBK"/>
          <w:b/>
          <w:sz w:val="28"/>
        </w:rPr>
        <w:instrText xml:space="preserve"> TC </w:instrText>
      </w:r>
      <w:bookmarkStart w:id="15" w:name="_Toc31371029"/>
      <w:r>
        <w:rPr>
          <w:rFonts w:ascii="方正仿宋_GBK" w:eastAsia="方正仿宋_GBK"/>
          <w:b/>
          <w:sz w:val="28"/>
        </w:rPr>
        <w:instrText xml:space="preserve">16、维稳经费绩效目标表</w:instrText>
      </w:r>
      <w:bookmarkEnd w:id="1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912-0601-JBN-64KI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用于解决上访问题及维稳办公费，其中维稳差旅费5万，办公费5万，特殊家庭或人员补助2万。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1、有效化解矛盾纠纷，消除各种不稳定、不和谐因素，切实维护社会秩序，创造平安稳定的社会环境，增强群众对党和政府的信任，促进社会全面发展。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重大安保任务完成率(%)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完成的安保任务占任务总数的比率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矛盾纠纷调处率(%)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调处矛盾纠纷数量占排查矛盾纠纷总数的比率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人民调解案件数（件）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人民调解案件数量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17、选任专职人民调解员经费绩效目标表</w:t>
      </w:r>
      <w:r>
        <w:fldChar w:fldCharType="begin"/>
      </w:r>
      <w:r>
        <w:rPr>
          <w:rFonts w:ascii="方正仿宋_GBK" w:eastAsia="方正仿宋_GBK"/>
          <w:b/>
          <w:sz w:val="28"/>
        </w:rPr>
        <w:instrText xml:space="preserve"> TC </w:instrText>
      </w:r>
      <w:bookmarkStart w:id="16" w:name="_Toc31371030"/>
      <w:r>
        <w:rPr>
          <w:rFonts w:ascii="方正仿宋_GBK" w:eastAsia="方正仿宋_GBK"/>
          <w:b/>
          <w:sz w:val="28"/>
        </w:rPr>
        <w:instrText xml:space="preserve">17、选任专职人民调解员经费绩效目标表</w:instrText>
      </w:r>
      <w:bookmarkEnd w:id="1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912-0603-JBN-6GSO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8.55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为进一步做好人民调解工作，依据上级文件精神，为区司法局招录3名专职人民调解员，便于更好、更快调解诉前案件和信访案件，减少社会矛盾，化解社会纠纷。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1、做好人民调解工作，更好、更快调解诉前案件和信访案件。</w:t>
            </w:r>
          </w:p>
          <w:p>
            <w:pPr>
              <w:spacing w:line="300" w:lineRule="exact"/>
              <w:jc w:val="left"/>
              <w:rPr>
                <w:rFonts w:ascii="方正书宋_GBK" w:eastAsia="方正书宋_GBK"/>
              </w:rPr>
            </w:pPr>
            <w:r>
              <w:rPr>
                <w:rFonts w:ascii="方正书宋_GBK" w:eastAsia="方正书宋_GBK"/>
              </w:rPr>
              <w:t>2、减少社会矛盾，化解社会纠纷。</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通过实施专职调解员工作促进社会稳定水平逐步提高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专职调解员工作促进社会稳定水平逐步提升。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接受人民调解服务的重点人群对专职调解员提供服务的满意程度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18、征兵经费绩效目标表</w:t>
      </w:r>
      <w:r>
        <w:fldChar w:fldCharType="begin"/>
      </w:r>
      <w:r>
        <w:rPr>
          <w:rFonts w:ascii="方正仿宋_GBK" w:eastAsia="方正仿宋_GBK"/>
          <w:b/>
          <w:sz w:val="28"/>
        </w:rPr>
        <w:instrText xml:space="preserve"> TC </w:instrText>
      </w:r>
      <w:bookmarkStart w:id="17" w:name="_Toc31371031"/>
      <w:r>
        <w:rPr>
          <w:rFonts w:ascii="方正仿宋_GBK" w:eastAsia="方正仿宋_GBK"/>
          <w:b/>
          <w:sz w:val="28"/>
        </w:rPr>
        <w:instrText xml:space="preserve">18、征兵经费绩效目标表</w:instrText>
      </w:r>
      <w:bookmarkEnd w:id="1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912-2101-JBN-YN14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征兵经费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用于2020年征兵时期条幅、标语等宣传用品定制费用。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1、涉密</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涉密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涉密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很好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涉密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涉密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很好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涉密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涉密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19、政府机关运行经费绩效目标表</w:t>
      </w:r>
      <w:r>
        <w:fldChar w:fldCharType="begin"/>
      </w:r>
      <w:r>
        <w:rPr>
          <w:rFonts w:ascii="方正仿宋_GBK" w:eastAsia="方正仿宋_GBK"/>
          <w:b/>
          <w:sz w:val="28"/>
        </w:rPr>
        <w:instrText xml:space="preserve"> TC </w:instrText>
      </w:r>
      <w:bookmarkStart w:id="18" w:name="_Toc31371032"/>
      <w:r>
        <w:rPr>
          <w:rFonts w:ascii="方正仿宋_GBK" w:eastAsia="方正仿宋_GBK"/>
          <w:b/>
          <w:sz w:val="28"/>
        </w:rPr>
        <w:instrText xml:space="preserve">19、政府机关运行经费绩效目标表</w:instrText>
      </w:r>
      <w:bookmarkEnd w:id="1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912-1701-YBN-7HZ6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政府机关运行经费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37.30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37.30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用于保证机关政府运转，其中保安、保洁、厨师劳务费14万元，机关维修维护费16.3万元，政府办公经费7万元。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1、通过落实此项目，维护机关秩序，优化工作环境，改善办公条件，确保机关运转，提升服务水平。</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综合事务保障率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反应保障机关运转情况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完成率工作任务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年度计划及上级交付任务完成率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厨师、保安、保洁劳务费发放率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厨师、保安、保洁劳务费发放完成率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修缮项目资金拨付率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政府机关修缮项目资金拨付完成率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20、中央补助地方美术馆、公共图书馆、文化馆（站）免费开放专项资金绩效目标表</w:t>
      </w:r>
      <w:r>
        <w:fldChar w:fldCharType="begin"/>
      </w:r>
      <w:r>
        <w:rPr>
          <w:rFonts w:ascii="方正仿宋_GBK" w:eastAsia="方正仿宋_GBK"/>
          <w:b/>
          <w:sz w:val="28"/>
        </w:rPr>
        <w:instrText xml:space="preserve"> TC </w:instrText>
      </w:r>
      <w:bookmarkStart w:id="19" w:name="_Toc31371033"/>
      <w:r>
        <w:rPr>
          <w:rFonts w:ascii="方正仿宋_GBK" w:eastAsia="方正仿宋_GBK"/>
          <w:b/>
          <w:sz w:val="28"/>
        </w:rPr>
        <w:instrText xml:space="preserve">20、中央补助地方美术馆、公共图书馆、文化馆（站）免费开放专项资金绩效目标表</w:instrText>
      </w:r>
      <w:bookmarkEnd w:id="1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912-1401-JSN-DTGV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中央补助地方美术馆、公共图书馆、文化馆（站）免费开放专项资金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保障乡镇综合文化站的运转，丰富群众文化生活，主要用于组织公益性群众文化活动，村级文化骨干辅导，文化站设备运行维护等。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1、加强农村基层文化站建设、丰富农民群众文化生活等</w:t>
            </w:r>
          </w:p>
          <w:p>
            <w:pPr>
              <w:spacing w:line="300" w:lineRule="exact"/>
              <w:jc w:val="left"/>
              <w:rPr>
                <w:rFonts w:ascii="方正书宋_GBK" w:eastAsia="方正书宋_GBK"/>
              </w:rPr>
            </w:pPr>
            <w:r>
              <w:rPr>
                <w:rFonts w:ascii="方正书宋_GBK" w:eastAsia="方正书宋_GBK"/>
              </w:rPr>
              <w:t>2、公共文化设施达标，机构和队伍健全，实现公共文化资源共享，形成城乡一体公共文化服务网络；公共文化产品生产和服务能力提高，基本公共文化服务标准化、均等化水平不断提高</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保障日常运转经费完成率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免费开展基层文化活动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2019年中央补助地方美术馆、公共图书馆、文化馆（站）免费开放专项资金   【保财教【2018】71号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组织公益性活动完成率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举办公益性讲座和展览宣传</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2019年中央补助地方美术馆、公共图书馆、文化馆（站）免费开放专项资金   【保财教【2018】71号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2019年中央补助地方美术馆、公共图书馆、文化馆（站）免费开放专项资金   【保财教【2018】71号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21、中央补助地方农村文化建设区级配套资金绩效目标表</w:t>
      </w:r>
      <w:r>
        <w:fldChar w:fldCharType="begin"/>
      </w:r>
      <w:r>
        <w:rPr>
          <w:rFonts w:ascii="方正仿宋_GBK" w:eastAsia="方正仿宋_GBK"/>
          <w:b/>
          <w:sz w:val="28"/>
        </w:rPr>
        <w:instrText xml:space="preserve"> TC </w:instrText>
      </w:r>
      <w:bookmarkStart w:id="20" w:name="_Toc31371034"/>
      <w:r>
        <w:rPr>
          <w:rFonts w:ascii="方正仿宋_GBK" w:eastAsia="方正仿宋_GBK"/>
          <w:b/>
          <w:sz w:val="28"/>
        </w:rPr>
        <w:instrText xml:space="preserve">21、中央补助地方农村文化建设区级配套资金绩效目标表</w:instrText>
      </w:r>
      <w:bookmarkEnd w:id="2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912002漕河镇（行政）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912-1401-JSN-LFT2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中央补助地方农村文化建设区级配套资金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补助行政村文化设施维护和开展文化活动等支出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1、鼓励地方开展农村特色文育活动</w:t>
            </w:r>
          </w:p>
          <w:p>
            <w:pPr>
              <w:spacing w:line="300" w:lineRule="exact"/>
              <w:jc w:val="left"/>
              <w:rPr>
                <w:rFonts w:ascii="方正书宋_GBK" w:eastAsia="方正书宋_GBK"/>
              </w:rPr>
            </w:pPr>
            <w:r>
              <w:rPr>
                <w:rFonts w:ascii="方正书宋_GBK" w:eastAsia="方正书宋_GBK"/>
              </w:rPr>
              <w:t>2、加强农村基层文化人才队伍建设、丰富农民群众文化生活等</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仓储设施设备及环境完好率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设施设备软硬件运行使用的良好的数量占总数量的百分比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文化设施、机构、队伍健全率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按国家要求，实际建有相应文化设施，设有相应文化机构并配备专业人才队伍的覆盖率。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p>
            <w:pPr>
              <w:spacing w:line="300" w:lineRule="exact"/>
              <w:jc w:val="left"/>
              <w:rPr>
                <w:rFonts w:ascii="方正书宋_GBK" w:eastAsia="方正书宋_GBK"/>
              </w:rPr>
            </w:pPr>
          </w:p>
        </w:tc>
      </w:tr>
    </w:tbl>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2020年，我部门无政府采购预算，空表列示。</w:t>
      </w:r>
    </w:p>
    <w:p>
      <w:pPr>
        <w:spacing w:line="360" w:lineRule="auto"/>
        <w:ind w:firstLine="640" w:firstLineChars="200"/>
        <w:rPr>
          <w:rFonts w:ascii="仿宋" w:hAnsi="仿宋" w:eastAsia="仿宋"/>
          <w:sz w:val="32"/>
          <w:szCs w:val="32"/>
        </w:rPr>
      </w:pPr>
    </w:p>
    <w:tbl>
      <w:tblPr>
        <w:tblStyle w:val="5"/>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宋体" w:hAnsi="宋体" w:eastAsia="宋体"/>
                <w:sz w:val="24"/>
              </w:rPr>
            </w:pPr>
            <w:r>
              <w:rPr>
                <w:rFonts w:hint="eastAsia" w:ascii="宋体" w:hAnsi="宋体" w:eastAsia="宋体" w:cs="方正小标宋_GBK"/>
                <w:sz w:val="24"/>
              </w:rPr>
              <w:t>©</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宋体" w:hAnsi="宋体" w:eastAsia="宋体"/>
                <w:sz w:val="24"/>
              </w:rPr>
            </w:pPr>
            <w:r>
              <w:rPr>
                <w:rFonts w:hint="eastAsia" w:ascii="宋体" w:hAnsi="宋体" w:eastAsia="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宋体" w:hAnsi="宋体" w:eastAsia="宋体"/>
                <w:b/>
              </w:rPr>
            </w:pPr>
            <w:r>
              <w:rPr>
                <w:rFonts w:hint="eastAsia" w:ascii="宋体" w:hAnsi="宋体" w:eastAsia="宋体" w:cs="宋体"/>
                <w:b/>
              </w:rPr>
              <w:t>政府采购项目来源</w:t>
            </w:r>
          </w:p>
        </w:tc>
        <w:tc>
          <w:tcPr>
            <w:tcW w:w="1134" w:type="dxa"/>
            <w:vMerge w:val="restart"/>
            <w:vAlign w:val="center"/>
          </w:tcPr>
          <w:p>
            <w:pPr>
              <w:spacing w:line="700" w:lineRule="exact"/>
              <w:jc w:val="center"/>
              <w:rPr>
                <w:rFonts w:ascii="宋体" w:hAnsi="宋体" w:eastAsia="宋体"/>
                <w:b/>
              </w:rPr>
            </w:pPr>
            <w:r>
              <w:rPr>
                <w:rFonts w:hint="eastAsia" w:ascii="宋体" w:hAnsi="宋体" w:eastAsia="宋体" w:cs="宋体"/>
                <w:b/>
              </w:rPr>
              <w:t>采购物品名称</w:t>
            </w:r>
          </w:p>
        </w:tc>
        <w:tc>
          <w:tcPr>
            <w:tcW w:w="1134" w:type="dxa"/>
            <w:vMerge w:val="restart"/>
            <w:vAlign w:val="center"/>
          </w:tcPr>
          <w:p>
            <w:pPr>
              <w:spacing w:line="700" w:lineRule="exact"/>
              <w:jc w:val="center"/>
              <w:rPr>
                <w:rFonts w:ascii="宋体" w:hAnsi="宋体" w:eastAsia="宋体"/>
                <w:b/>
              </w:rPr>
            </w:pPr>
            <w:r>
              <w:rPr>
                <w:rFonts w:hint="eastAsia" w:ascii="宋体" w:hAnsi="宋体" w:eastAsia="宋体" w:cs="宋体"/>
                <w:b/>
              </w:rPr>
              <w:t>政府采购目录序号</w:t>
            </w:r>
          </w:p>
        </w:tc>
        <w:tc>
          <w:tcPr>
            <w:tcW w:w="992" w:type="dxa"/>
            <w:vMerge w:val="restart"/>
            <w:vAlign w:val="center"/>
          </w:tcPr>
          <w:p>
            <w:pPr>
              <w:spacing w:line="700" w:lineRule="exact"/>
              <w:jc w:val="center"/>
              <w:rPr>
                <w:rFonts w:ascii="宋体" w:hAnsi="宋体" w:eastAsia="宋体"/>
                <w:b/>
              </w:rPr>
            </w:pPr>
            <w:r>
              <w:rPr>
                <w:rFonts w:hint="eastAsia" w:ascii="宋体" w:hAnsi="宋体" w:eastAsia="宋体" w:cs="宋体"/>
                <w:b/>
              </w:rPr>
              <w:t>数量</w:t>
            </w:r>
            <w:r>
              <w:rPr>
                <w:rFonts w:ascii="宋体" w:hAnsi="宋体" w:eastAsia="宋体"/>
                <w:b/>
              </w:rPr>
              <w:t xml:space="preserve">  </w:t>
            </w:r>
            <w:r>
              <w:rPr>
                <w:rFonts w:hint="eastAsia" w:ascii="宋体" w:hAnsi="宋体" w:eastAsia="宋体" w:cs="宋体"/>
                <w:b/>
              </w:rPr>
              <w:t>单位</w:t>
            </w:r>
          </w:p>
        </w:tc>
        <w:tc>
          <w:tcPr>
            <w:tcW w:w="851" w:type="dxa"/>
            <w:vMerge w:val="restart"/>
            <w:vAlign w:val="center"/>
          </w:tcPr>
          <w:p>
            <w:pPr>
              <w:spacing w:line="700" w:lineRule="exact"/>
              <w:jc w:val="center"/>
              <w:rPr>
                <w:rFonts w:ascii="宋体" w:hAnsi="宋体" w:eastAsia="宋体"/>
                <w:b/>
              </w:rPr>
            </w:pPr>
            <w:r>
              <w:rPr>
                <w:rFonts w:hint="eastAsia" w:ascii="宋体" w:hAnsi="宋体" w:eastAsia="宋体" w:cs="宋体"/>
                <w:b/>
              </w:rPr>
              <w:t>数量</w:t>
            </w:r>
          </w:p>
        </w:tc>
        <w:tc>
          <w:tcPr>
            <w:tcW w:w="834" w:type="dxa"/>
            <w:vMerge w:val="restart"/>
            <w:vAlign w:val="center"/>
          </w:tcPr>
          <w:p>
            <w:pPr>
              <w:spacing w:line="700" w:lineRule="exact"/>
              <w:jc w:val="center"/>
              <w:rPr>
                <w:rFonts w:ascii="宋体" w:hAnsi="宋体" w:eastAsia="宋体"/>
                <w:b/>
              </w:rPr>
            </w:pPr>
            <w:r>
              <w:rPr>
                <w:rFonts w:hint="eastAsia" w:ascii="宋体" w:hAnsi="宋体" w:eastAsia="宋体" w:cs="宋体"/>
                <w:b/>
              </w:rPr>
              <w:t>单价</w:t>
            </w:r>
          </w:p>
        </w:tc>
        <w:tc>
          <w:tcPr>
            <w:tcW w:w="6237" w:type="dxa"/>
            <w:gridSpan w:val="7"/>
            <w:vAlign w:val="center"/>
          </w:tcPr>
          <w:p>
            <w:pPr>
              <w:spacing w:line="700" w:lineRule="exact"/>
              <w:jc w:val="center"/>
              <w:rPr>
                <w:rFonts w:ascii="宋体" w:hAnsi="宋体" w:eastAsia="宋体"/>
                <w:b/>
              </w:rPr>
            </w:pPr>
            <w:r>
              <w:rPr>
                <w:rFonts w:hint="eastAsia" w:ascii="宋体" w:hAnsi="宋体" w:eastAsia="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宋体" w:hAnsi="宋体" w:eastAsia="宋体"/>
                <w:b/>
              </w:rPr>
            </w:pPr>
            <w:r>
              <w:rPr>
                <w:rFonts w:hint="eastAsia" w:ascii="宋体" w:hAnsi="宋体" w:eastAsia="宋体" w:cs="宋体"/>
                <w:b/>
              </w:rPr>
              <w:t>项目名称</w:t>
            </w:r>
          </w:p>
        </w:tc>
        <w:tc>
          <w:tcPr>
            <w:tcW w:w="764" w:type="dxa"/>
            <w:vMerge w:val="restart"/>
            <w:vAlign w:val="center"/>
          </w:tcPr>
          <w:p>
            <w:pPr>
              <w:spacing w:line="700" w:lineRule="exact"/>
              <w:jc w:val="center"/>
              <w:rPr>
                <w:rFonts w:ascii="宋体" w:hAnsi="宋体" w:eastAsia="宋体"/>
                <w:b/>
              </w:rPr>
            </w:pPr>
            <w:r>
              <w:rPr>
                <w:rFonts w:hint="eastAsia" w:ascii="宋体" w:hAnsi="宋体" w:eastAsia="宋体" w:cs="宋体"/>
                <w:b/>
              </w:rPr>
              <w:t>预算资金</w:t>
            </w:r>
          </w:p>
        </w:tc>
        <w:tc>
          <w:tcPr>
            <w:tcW w:w="1134" w:type="dxa"/>
            <w:vMerge w:val="continue"/>
            <w:vAlign w:val="center"/>
          </w:tcPr>
          <w:p>
            <w:pPr>
              <w:spacing w:line="700" w:lineRule="exact"/>
              <w:jc w:val="left"/>
              <w:outlineLvl w:val="0"/>
              <w:rPr>
                <w:rFonts w:ascii="宋体" w:hAnsi="宋体" w:eastAsia="宋体"/>
              </w:rPr>
            </w:pPr>
          </w:p>
        </w:tc>
        <w:tc>
          <w:tcPr>
            <w:tcW w:w="1134" w:type="dxa"/>
            <w:vMerge w:val="continue"/>
            <w:vAlign w:val="center"/>
          </w:tcPr>
          <w:p>
            <w:pPr>
              <w:spacing w:line="700" w:lineRule="exact"/>
              <w:jc w:val="left"/>
              <w:outlineLvl w:val="0"/>
              <w:rPr>
                <w:rFonts w:ascii="宋体" w:hAnsi="宋体" w:eastAsia="宋体"/>
              </w:rPr>
            </w:pPr>
          </w:p>
        </w:tc>
        <w:tc>
          <w:tcPr>
            <w:tcW w:w="992" w:type="dxa"/>
            <w:vMerge w:val="continue"/>
            <w:vAlign w:val="center"/>
          </w:tcPr>
          <w:p>
            <w:pPr>
              <w:spacing w:line="700" w:lineRule="exact"/>
              <w:jc w:val="left"/>
              <w:outlineLvl w:val="0"/>
              <w:rPr>
                <w:rFonts w:ascii="宋体" w:hAnsi="宋体" w:eastAsia="宋体"/>
              </w:rPr>
            </w:pPr>
          </w:p>
        </w:tc>
        <w:tc>
          <w:tcPr>
            <w:tcW w:w="851" w:type="dxa"/>
            <w:vMerge w:val="continue"/>
            <w:vAlign w:val="center"/>
          </w:tcPr>
          <w:p>
            <w:pPr>
              <w:spacing w:line="700" w:lineRule="exact"/>
              <w:jc w:val="left"/>
              <w:outlineLvl w:val="0"/>
              <w:rPr>
                <w:rFonts w:ascii="宋体" w:hAnsi="宋体" w:eastAsia="宋体"/>
              </w:rPr>
            </w:pPr>
          </w:p>
        </w:tc>
        <w:tc>
          <w:tcPr>
            <w:tcW w:w="834" w:type="dxa"/>
            <w:vMerge w:val="continue"/>
            <w:vAlign w:val="center"/>
          </w:tcPr>
          <w:p>
            <w:pPr>
              <w:spacing w:line="700" w:lineRule="exact"/>
              <w:jc w:val="left"/>
              <w:outlineLvl w:val="0"/>
              <w:rPr>
                <w:rFonts w:ascii="宋体" w:hAnsi="宋体" w:eastAsia="宋体"/>
              </w:rPr>
            </w:pPr>
          </w:p>
        </w:tc>
        <w:tc>
          <w:tcPr>
            <w:tcW w:w="709" w:type="dxa"/>
            <w:vMerge w:val="restart"/>
            <w:vAlign w:val="center"/>
          </w:tcPr>
          <w:p>
            <w:pPr>
              <w:spacing w:line="700" w:lineRule="exact"/>
              <w:jc w:val="center"/>
              <w:rPr>
                <w:rFonts w:ascii="宋体" w:hAnsi="宋体" w:eastAsia="宋体"/>
                <w:b/>
              </w:rPr>
            </w:pPr>
            <w:r>
              <w:rPr>
                <w:rFonts w:hint="eastAsia" w:ascii="宋体" w:hAnsi="宋体" w:eastAsia="宋体" w:cs="宋体"/>
                <w:b/>
              </w:rPr>
              <w:t>总计</w:t>
            </w:r>
          </w:p>
        </w:tc>
        <w:tc>
          <w:tcPr>
            <w:tcW w:w="4678" w:type="dxa"/>
            <w:gridSpan w:val="5"/>
            <w:vAlign w:val="center"/>
          </w:tcPr>
          <w:p>
            <w:pPr>
              <w:spacing w:line="700" w:lineRule="exact"/>
              <w:jc w:val="center"/>
              <w:rPr>
                <w:rFonts w:ascii="宋体" w:hAnsi="宋体" w:eastAsia="宋体"/>
                <w:b/>
              </w:rPr>
            </w:pPr>
            <w:r>
              <w:rPr>
                <w:rFonts w:hint="eastAsia" w:ascii="宋体" w:hAnsi="宋体" w:eastAsia="宋体" w:cs="宋体"/>
                <w:b/>
              </w:rPr>
              <w:t>当年部门预算安排资金</w:t>
            </w:r>
          </w:p>
        </w:tc>
        <w:tc>
          <w:tcPr>
            <w:tcW w:w="850" w:type="dxa"/>
            <w:vMerge w:val="restart"/>
            <w:vAlign w:val="center"/>
          </w:tcPr>
          <w:p>
            <w:pPr>
              <w:spacing w:line="700" w:lineRule="exact"/>
              <w:jc w:val="center"/>
              <w:rPr>
                <w:rFonts w:ascii="宋体" w:hAnsi="宋体" w:eastAsia="宋体"/>
                <w:b/>
              </w:rPr>
            </w:pPr>
            <w:r>
              <w:rPr>
                <w:rFonts w:hint="eastAsia" w:ascii="宋体" w:hAnsi="宋体" w:eastAsia="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rPr>
                <w:rFonts w:ascii="宋体" w:hAnsi="宋体" w:eastAsia="宋体"/>
              </w:rPr>
            </w:pPr>
          </w:p>
        </w:tc>
        <w:tc>
          <w:tcPr>
            <w:tcW w:w="764" w:type="dxa"/>
            <w:vMerge w:val="continue"/>
            <w:vAlign w:val="center"/>
          </w:tcPr>
          <w:p>
            <w:pPr>
              <w:spacing w:line="700" w:lineRule="exact"/>
              <w:jc w:val="left"/>
              <w:outlineLvl w:val="0"/>
              <w:rPr>
                <w:rFonts w:ascii="宋体" w:hAnsi="宋体" w:eastAsia="宋体"/>
              </w:rPr>
            </w:pPr>
          </w:p>
        </w:tc>
        <w:tc>
          <w:tcPr>
            <w:tcW w:w="1134" w:type="dxa"/>
            <w:vMerge w:val="continue"/>
            <w:vAlign w:val="center"/>
          </w:tcPr>
          <w:p>
            <w:pPr>
              <w:spacing w:line="700" w:lineRule="exact"/>
              <w:jc w:val="left"/>
              <w:outlineLvl w:val="0"/>
              <w:rPr>
                <w:rFonts w:ascii="宋体" w:hAnsi="宋体" w:eastAsia="宋体"/>
              </w:rPr>
            </w:pPr>
          </w:p>
        </w:tc>
        <w:tc>
          <w:tcPr>
            <w:tcW w:w="1134" w:type="dxa"/>
            <w:vMerge w:val="continue"/>
            <w:vAlign w:val="center"/>
          </w:tcPr>
          <w:p>
            <w:pPr>
              <w:spacing w:line="700" w:lineRule="exact"/>
              <w:jc w:val="left"/>
              <w:outlineLvl w:val="0"/>
              <w:rPr>
                <w:rFonts w:ascii="宋体" w:hAnsi="宋体" w:eastAsia="宋体"/>
              </w:rPr>
            </w:pPr>
          </w:p>
        </w:tc>
        <w:tc>
          <w:tcPr>
            <w:tcW w:w="992" w:type="dxa"/>
            <w:vMerge w:val="continue"/>
            <w:vAlign w:val="center"/>
          </w:tcPr>
          <w:p>
            <w:pPr>
              <w:spacing w:line="700" w:lineRule="exact"/>
              <w:jc w:val="left"/>
              <w:outlineLvl w:val="0"/>
              <w:rPr>
                <w:rFonts w:ascii="宋体" w:hAnsi="宋体" w:eastAsia="宋体"/>
              </w:rPr>
            </w:pPr>
          </w:p>
        </w:tc>
        <w:tc>
          <w:tcPr>
            <w:tcW w:w="851" w:type="dxa"/>
            <w:vMerge w:val="continue"/>
            <w:vAlign w:val="center"/>
          </w:tcPr>
          <w:p>
            <w:pPr>
              <w:spacing w:line="700" w:lineRule="exact"/>
              <w:jc w:val="left"/>
              <w:outlineLvl w:val="0"/>
              <w:rPr>
                <w:rFonts w:ascii="宋体" w:hAnsi="宋体" w:eastAsia="宋体"/>
              </w:rPr>
            </w:pPr>
          </w:p>
        </w:tc>
        <w:tc>
          <w:tcPr>
            <w:tcW w:w="834" w:type="dxa"/>
            <w:vMerge w:val="continue"/>
            <w:vAlign w:val="center"/>
          </w:tcPr>
          <w:p>
            <w:pPr>
              <w:spacing w:line="700" w:lineRule="exact"/>
              <w:jc w:val="left"/>
              <w:outlineLvl w:val="0"/>
              <w:rPr>
                <w:rFonts w:ascii="宋体" w:hAnsi="宋体" w:eastAsia="宋体"/>
              </w:rPr>
            </w:pPr>
          </w:p>
        </w:tc>
        <w:tc>
          <w:tcPr>
            <w:tcW w:w="709" w:type="dxa"/>
            <w:vMerge w:val="continue"/>
            <w:vAlign w:val="center"/>
          </w:tcPr>
          <w:p>
            <w:pPr>
              <w:spacing w:line="700" w:lineRule="exact"/>
              <w:jc w:val="left"/>
              <w:outlineLvl w:val="0"/>
              <w:rPr>
                <w:rFonts w:ascii="宋体" w:hAnsi="宋体" w:eastAsia="宋体"/>
              </w:rPr>
            </w:pPr>
          </w:p>
        </w:tc>
        <w:tc>
          <w:tcPr>
            <w:tcW w:w="992" w:type="dxa"/>
            <w:vAlign w:val="center"/>
          </w:tcPr>
          <w:p>
            <w:pPr>
              <w:spacing w:line="700" w:lineRule="exact"/>
              <w:jc w:val="center"/>
              <w:rPr>
                <w:rFonts w:ascii="宋体" w:hAnsi="宋体" w:eastAsia="宋体"/>
                <w:b/>
              </w:rPr>
            </w:pPr>
            <w:r>
              <w:rPr>
                <w:rFonts w:hint="eastAsia" w:ascii="宋体" w:hAnsi="宋体" w:eastAsia="宋体" w:cs="宋体"/>
                <w:b/>
              </w:rPr>
              <w:t>合计</w:t>
            </w:r>
          </w:p>
        </w:tc>
        <w:tc>
          <w:tcPr>
            <w:tcW w:w="1134" w:type="dxa"/>
            <w:vAlign w:val="center"/>
          </w:tcPr>
          <w:p>
            <w:pPr>
              <w:spacing w:line="700" w:lineRule="exact"/>
              <w:jc w:val="center"/>
              <w:rPr>
                <w:rFonts w:ascii="宋体" w:hAnsi="宋体" w:eastAsia="宋体"/>
                <w:b/>
              </w:rPr>
            </w:pPr>
            <w:r>
              <w:rPr>
                <w:rFonts w:hint="eastAsia" w:ascii="宋体" w:hAnsi="宋体" w:eastAsia="宋体" w:cs="宋体"/>
                <w:b/>
              </w:rPr>
              <w:t>一般公共预算拨款</w:t>
            </w:r>
          </w:p>
        </w:tc>
        <w:tc>
          <w:tcPr>
            <w:tcW w:w="851" w:type="dxa"/>
            <w:vAlign w:val="center"/>
          </w:tcPr>
          <w:p>
            <w:pPr>
              <w:spacing w:line="700" w:lineRule="exact"/>
              <w:jc w:val="center"/>
              <w:rPr>
                <w:rFonts w:ascii="宋体" w:hAnsi="宋体" w:eastAsia="宋体"/>
                <w:b/>
              </w:rPr>
            </w:pPr>
            <w:r>
              <w:rPr>
                <w:rFonts w:hint="eastAsia" w:ascii="宋体" w:hAnsi="宋体" w:eastAsia="宋体" w:cs="宋体"/>
                <w:b/>
              </w:rPr>
              <w:t>基金预算拨款</w:t>
            </w:r>
          </w:p>
        </w:tc>
        <w:tc>
          <w:tcPr>
            <w:tcW w:w="850" w:type="dxa"/>
            <w:vAlign w:val="center"/>
          </w:tcPr>
          <w:p>
            <w:pPr>
              <w:spacing w:line="700" w:lineRule="exact"/>
              <w:jc w:val="center"/>
              <w:rPr>
                <w:rFonts w:ascii="宋体" w:hAnsi="宋体" w:eastAsia="宋体"/>
                <w:b/>
              </w:rPr>
            </w:pPr>
            <w:r>
              <w:rPr>
                <w:rFonts w:hint="eastAsia" w:ascii="宋体" w:hAnsi="宋体" w:eastAsia="宋体" w:cs="宋体"/>
                <w:b/>
              </w:rPr>
              <w:t>财政专户核拨</w:t>
            </w:r>
          </w:p>
        </w:tc>
        <w:tc>
          <w:tcPr>
            <w:tcW w:w="851" w:type="dxa"/>
            <w:vAlign w:val="center"/>
          </w:tcPr>
          <w:p>
            <w:pPr>
              <w:spacing w:line="700" w:lineRule="exact"/>
              <w:jc w:val="center"/>
              <w:rPr>
                <w:rFonts w:ascii="宋体" w:hAnsi="宋体" w:eastAsia="宋体"/>
                <w:b/>
              </w:rPr>
            </w:pPr>
            <w:r>
              <w:rPr>
                <w:rFonts w:hint="eastAsia" w:ascii="宋体" w:hAnsi="宋体" w:eastAsia="宋体" w:cs="宋体"/>
                <w:b/>
              </w:rPr>
              <w:t>其他来源收入</w:t>
            </w:r>
          </w:p>
        </w:tc>
        <w:tc>
          <w:tcPr>
            <w:tcW w:w="850" w:type="dxa"/>
            <w:vMerge w:val="continue"/>
            <w:vAlign w:val="center"/>
          </w:tcPr>
          <w:p>
            <w:pPr>
              <w:spacing w:line="700" w:lineRule="exact"/>
              <w:jc w:val="left"/>
              <w:outlineLvl w:val="0"/>
              <w:rPr>
                <w:rFonts w:ascii="宋体" w:hAnsi="宋体" w:eastAsia="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宋体" w:hAnsi="宋体" w:eastAsia="宋体"/>
                <w:b/>
              </w:rPr>
            </w:pPr>
          </w:p>
        </w:tc>
        <w:tc>
          <w:tcPr>
            <w:tcW w:w="764" w:type="dxa"/>
            <w:vAlign w:val="center"/>
          </w:tcPr>
          <w:p>
            <w:pPr>
              <w:spacing w:line="700" w:lineRule="exact"/>
              <w:jc w:val="right"/>
              <w:rPr>
                <w:rFonts w:ascii="宋体" w:hAnsi="宋体" w:eastAsia="宋体"/>
                <w:b/>
              </w:rPr>
            </w:pPr>
          </w:p>
        </w:tc>
        <w:tc>
          <w:tcPr>
            <w:tcW w:w="1134" w:type="dxa"/>
            <w:vAlign w:val="center"/>
          </w:tcPr>
          <w:p>
            <w:pPr>
              <w:spacing w:line="700" w:lineRule="exact"/>
              <w:jc w:val="left"/>
              <w:rPr>
                <w:rFonts w:ascii="宋体" w:hAnsi="宋体" w:eastAsia="宋体"/>
                <w:b/>
              </w:rPr>
            </w:pPr>
          </w:p>
        </w:tc>
        <w:tc>
          <w:tcPr>
            <w:tcW w:w="1134" w:type="dxa"/>
            <w:vAlign w:val="center"/>
          </w:tcPr>
          <w:p>
            <w:pPr>
              <w:spacing w:line="700" w:lineRule="exact"/>
              <w:jc w:val="left"/>
              <w:rPr>
                <w:rFonts w:ascii="宋体" w:hAnsi="宋体" w:eastAsia="宋体"/>
                <w:b/>
              </w:rPr>
            </w:pPr>
          </w:p>
        </w:tc>
        <w:tc>
          <w:tcPr>
            <w:tcW w:w="992" w:type="dxa"/>
            <w:vAlign w:val="center"/>
          </w:tcPr>
          <w:p>
            <w:pPr>
              <w:spacing w:line="700" w:lineRule="exact"/>
              <w:jc w:val="left"/>
              <w:rPr>
                <w:rFonts w:ascii="宋体" w:hAnsi="宋体" w:eastAsia="宋体"/>
                <w:b/>
              </w:rPr>
            </w:pPr>
          </w:p>
        </w:tc>
        <w:tc>
          <w:tcPr>
            <w:tcW w:w="851" w:type="dxa"/>
            <w:vAlign w:val="center"/>
          </w:tcPr>
          <w:p>
            <w:pPr>
              <w:spacing w:line="700" w:lineRule="exact"/>
              <w:jc w:val="right"/>
              <w:rPr>
                <w:rFonts w:ascii="宋体" w:hAnsi="宋体" w:eastAsia="宋体"/>
                <w:b/>
              </w:rPr>
            </w:pPr>
          </w:p>
        </w:tc>
        <w:tc>
          <w:tcPr>
            <w:tcW w:w="834" w:type="dxa"/>
            <w:vAlign w:val="center"/>
          </w:tcPr>
          <w:p>
            <w:pPr>
              <w:rPr>
                <w:rFonts w:ascii="宋体" w:hAnsi="宋体" w:eastAsia="宋体"/>
              </w:rPr>
            </w:pPr>
          </w:p>
        </w:tc>
        <w:tc>
          <w:tcPr>
            <w:tcW w:w="709" w:type="dxa"/>
            <w:vAlign w:val="center"/>
          </w:tcPr>
          <w:p>
            <w:pPr>
              <w:spacing w:line="700" w:lineRule="exact"/>
              <w:jc w:val="right"/>
              <w:rPr>
                <w:rFonts w:ascii="宋体" w:hAnsi="宋体" w:eastAsia="宋体"/>
                <w:b/>
              </w:rPr>
            </w:pPr>
          </w:p>
        </w:tc>
        <w:tc>
          <w:tcPr>
            <w:tcW w:w="992" w:type="dxa"/>
            <w:vAlign w:val="center"/>
          </w:tcPr>
          <w:p>
            <w:pPr>
              <w:spacing w:line="700" w:lineRule="exact"/>
              <w:jc w:val="right"/>
              <w:rPr>
                <w:rFonts w:ascii="宋体" w:hAnsi="宋体" w:eastAsia="宋体"/>
                <w:b/>
              </w:rPr>
            </w:pPr>
          </w:p>
        </w:tc>
        <w:tc>
          <w:tcPr>
            <w:tcW w:w="1134" w:type="dxa"/>
            <w:vAlign w:val="center"/>
          </w:tcPr>
          <w:p>
            <w:pPr>
              <w:spacing w:line="700" w:lineRule="exact"/>
              <w:jc w:val="right"/>
              <w:rPr>
                <w:rFonts w:ascii="宋体" w:hAnsi="宋体" w:eastAsia="宋体"/>
                <w:b/>
              </w:rPr>
            </w:pPr>
          </w:p>
        </w:tc>
        <w:tc>
          <w:tcPr>
            <w:tcW w:w="851" w:type="dxa"/>
            <w:vAlign w:val="center"/>
          </w:tcPr>
          <w:p>
            <w:pPr>
              <w:spacing w:line="700" w:lineRule="exact"/>
              <w:jc w:val="right"/>
              <w:rPr>
                <w:rFonts w:ascii="宋体" w:hAnsi="宋体" w:eastAsia="宋体"/>
                <w:b/>
              </w:rPr>
            </w:pPr>
          </w:p>
        </w:tc>
        <w:tc>
          <w:tcPr>
            <w:tcW w:w="850" w:type="dxa"/>
            <w:vAlign w:val="center"/>
          </w:tcPr>
          <w:p>
            <w:pPr>
              <w:spacing w:line="700" w:lineRule="exact"/>
              <w:jc w:val="right"/>
              <w:rPr>
                <w:rFonts w:ascii="宋体" w:hAnsi="宋体" w:eastAsia="宋体"/>
                <w:b/>
              </w:rPr>
            </w:pPr>
          </w:p>
        </w:tc>
        <w:tc>
          <w:tcPr>
            <w:tcW w:w="851" w:type="dxa"/>
            <w:vAlign w:val="center"/>
          </w:tcPr>
          <w:p>
            <w:pPr>
              <w:spacing w:line="700" w:lineRule="exact"/>
              <w:jc w:val="right"/>
              <w:rPr>
                <w:rFonts w:ascii="宋体" w:hAnsi="宋体" w:eastAsia="宋体"/>
                <w:b/>
              </w:rPr>
            </w:pPr>
          </w:p>
        </w:tc>
        <w:tc>
          <w:tcPr>
            <w:tcW w:w="850" w:type="dxa"/>
            <w:vAlign w:val="center"/>
          </w:tcPr>
          <w:p>
            <w:pPr>
              <w:spacing w:line="700" w:lineRule="exact"/>
              <w:jc w:val="right"/>
              <w:rPr>
                <w:rFonts w:ascii="宋体" w:hAnsi="宋体" w:eastAsia="宋体"/>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宋体" w:hAnsi="宋体" w:eastAsia="宋体"/>
              </w:rPr>
            </w:pPr>
          </w:p>
        </w:tc>
        <w:tc>
          <w:tcPr>
            <w:tcW w:w="764" w:type="dxa"/>
            <w:vAlign w:val="center"/>
          </w:tcPr>
          <w:p>
            <w:pPr>
              <w:spacing w:line="700" w:lineRule="exact"/>
              <w:jc w:val="right"/>
              <w:rPr>
                <w:rFonts w:ascii="宋体" w:hAnsi="宋体" w:eastAsia="宋体"/>
              </w:rPr>
            </w:pPr>
          </w:p>
        </w:tc>
        <w:tc>
          <w:tcPr>
            <w:tcW w:w="1134" w:type="dxa"/>
            <w:vAlign w:val="center"/>
          </w:tcPr>
          <w:p>
            <w:pPr>
              <w:spacing w:line="700" w:lineRule="exact"/>
              <w:jc w:val="left"/>
              <w:rPr>
                <w:rFonts w:ascii="宋体" w:hAnsi="宋体" w:eastAsia="宋体"/>
              </w:rPr>
            </w:pPr>
          </w:p>
        </w:tc>
        <w:tc>
          <w:tcPr>
            <w:tcW w:w="1134" w:type="dxa"/>
            <w:vAlign w:val="center"/>
          </w:tcPr>
          <w:p>
            <w:pPr>
              <w:spacing w:line="700" w:lineRule="exact"/>
              <w:jc w:val="left"/>
              <w:rPr>
                <w:rFonts w:ascii="宋体" w:hAnsi="宋体" w:eastAsia="宋体"/>
              </w:rPr>
            </w:pPr>
          </w:p>
        </w:tc>
        <w:tc>
          <w:tcPr>
            <w:tcW w:w="992" w:type="dxa"/>
            <w:vAlign w:val="center"/>
          </w:tcPr>
          <w:p>
            <w:pPr>
              <w:spacing w:line="700" w:lineRule="exact"/>
              <w:jc w:val="left"/>
              <w:rPr>
                <w:rFonts w:ascii="宋体" w:hAnsi="宋体" w:eastAsia="宋体"/>
              </w:rPr>
            </w:pPr>
          </w:p>
        </w:tc>
        <w:tc>
          <w:tcPr>
            <w:tcW w:w="851" w:type="dxa"/>
            <w:vAlign w:val="center"/>
          </w:tcPr>
          <w:p>
            <w:pPr>
              <w:spacing w:line="700" w:lineRule="exact"/>
              <w:jc w:val="right"/>
              <w:rPr>
                <w:rFonts w:ascii="宋体" w:hAnsi="宋体" w:eastAsia="宋体"/>
              </w:rPr>
            </w:pPr>
          </w:p>
        </w:tc>
        <w:tc>
          <w:tcPr>
            <w:tcW w:w="834" w:type="dxa"/>
            <w:vAlign w:val="center"/>
          </w:tcPr>
          <w:p>
            <w:pPr>
              <w:spacing w:line="700" w:lineRule="exact"/>
              <w:jc w:val="right"/>
              <w:rPr>
                <w:rFonts w:ascii="宋体" w:hAnsi="宋体" w:eastAsia="宋体"/>
              </w:rPr>
            </w:pPr>
          </w:p>
        </w:tc>
        <w:tc>
          <w:tcPr>
            <w:tcW w:w="709" w:type="dxa"/>
            <w:vAlign w:val="center"/>
          </w:tcPr>
          <w:p>
            <w:pPr>
              <w:spacing w:line="700" w:lineRule="exact"/>
              <w:jc w:val="right"/>
              <w:rPr>
                <w:rFonts w:ascii="宋体" w:hAnsi="宋体" w:eastAsia="宋体"/>
              </w:rPr>
            </w:pPr>
          </w:p>
        </w:tc>
        <w:tc>
          <w:tcPr>
            <w:tcW w:w="992" w:type="dxa"/>
            <w:vAlign w:val="center"/>
          </w:tcPr>
          <w:p>
            <w:pPr>
              <w:spacing w:line="700" w:lineRule="exact"/>
              <w:jc w:val="right"/>
              <w:rPr>
                <w:rFonts w:ascii="宋体" w:hAnsi="宋体" w:eastAsia="宋体"/>
              </w:rPr>
            </w:pPr>
          </w:p>
        </w:tc>
        <w:tc>
          <w:tcPr>
            <w:tcW w:w="1134" w:type="dxa"/>
            <w:vAlign w:val="center"/>
          </w:tcPr>
          <w:p>
            <w:pPr>
              <w:spacing w:line="700" w:lineRule="exact"/>
              <w:jc w:val="right"/>
              <w:rPr>
                <w:rFonts w:ascii="宋体" w:hAnsi="宋体" w:eastAsia="宋体"/>
              </w:rPr>
            </w:pPr>
          </w:p>
        </w:tc>
        <w:tc>
          <w:tcPr>
            <w:tcW w:w="851" w:type="dxa"/>
            <w:vAlign w:val="center"/>
          </w:tcPr>
          <w:p>
            <w:pPr>
              <w:spacing w:line="700" w:lineRule="exact"/>
              <w:jc w:val="right"/>
              <w:rPr>
                <w:rFonts w:ascii="宋体" w:hAnsi="宋体" w:eastAsia="宋体"/>
              </w:rPr>
            </w:pPr>
          </w:p>
        </w:tc>
        <w:tc>
          <w:tcPr>
            <w:tcW w:w="850" w:type="dxa"/>
            <w:vAlign w:val="center"/>
          </w:tcPr>
          <w:p>
            <w:pPr>
              <w:spacing w:line="700" w:lineRule="exact"/>
              <w:jc w:val="right"/>
              <w:rPr>
                <w:rFonts w:ascii="宋体" w:hAnsi="宋体" w:eastAsia="宋体"/>
              </w:rPr>
            </w:pPr>
          </w:p>
        </w:tc>
        <w:tc>
          <w:tcPr>
            <w:tcW w:w="851" w:type="dxa"/>
            <w:vAlign w:val="center"/>
          </w:tcPr>
          <w:p>
            <w:pPr>
              <w:spacing w:line="700" w:lineRule="exact"/>
              <w:jc w:val="right"/>
              <w:rPr>
                <w:rFonts w:ascii="宋体" w:hAnsi="宋体" w:eastAsia="宋体"/>
              </w:rPr>
            </w:pPr>
          </w:p>
        </w:tc>
        <w:tc>
          <w:tcPr>
            <w:tcW w:w="850" w:type="dxa"/>
            <w:vAlign w:val="center"/>
          </w:tcPr>
          <w:p>
            <w:pPr>
              <w:spacing w:line="700" w:lineRule="exact"/>
              <w:jc w:val="right"/>
              <w:rPr>
                <w:rFonts w:ascii="宋体" w:hAnsi="宋体" w:eastAsia="宋体"/>
              </w:rPr>
            </w:pPr>
          </w:p>
        </w:tc>
      </w:tr>
    </w:tbl>
    <w:p>
      <w:pPr>
        <w:spacing w:line="360" w:lineRule="auto"/>
        <w:ind w:firstLine="640" w:firstLineChars="200"/>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上年末我部门固定资产总金额为391.16万元（详见下表）。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391.16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3136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185</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555</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32.74</w:t>
            </w:r>
          </w:p>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41.53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164.63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lMGY4ZWE2Y2FiM2UyNGIyZDk2OWY3MzNiNzU4Y2E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72C7A"/>
    <w:rsid w:val="00181777"/>
    <w:rsid w:val="001B4688"/>
    <w:rsid w:val="001B6235"/>
    <w:rsid w:val="001F4875"/>
    <w:rsid w:val="00212335"/>
    <w:rsid w:val="002918C6"/>
    <w:rsid w:val="00296524"/>
    <w:rsid w:val="002E01F6"/>
    <w:rsid w:val="002F1ACB"/>
    <w:rsid w:val="002F530F"/>
    <w:rsid w:val="00305E97"/>
    <w:rsid w:val="00310532"/>
    <w:rsid w:val="0032782B"/>
    <w:rsid w:val="00340B3D"/>
    <w:rsid w:val="0034253A"/>
    <w:rsid w:val="00367A30"/>
    <w:rsid w:val="0038485B"/>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2091"/>
    <w:rsid w:val="00570142"/>
    <w:rsid w:val="00586C35"/>
    <w:rsid w:val="005B1B6F"/>
    <w:rsid w:val="005B6CCB"/>
    <w:rsid w:val="005C54AA"/>
    <w:rsid w:val="005C7B89"/>
    <w:rsid w:val="00613F2F"/>
    <w:rsid w:val="0062788A"/>
    <w:rsid w:val="00641F8A"/>
    <w:rsid w:val="0066383B"/>
    <w:rsid w:val="006B5117"/>
    <w:rsid w:val="006C62DF"/>
    <w:rsid w:val="006F5104"/>
    <w:rsid w:val="006F6549"/>
    <w:rsid w:val="00735B02"/>
    <w:rsid w:val="007657C8"/>
    <w:rsid w:val="00767A77"/>
    <w:rsid w:val="00771E49"/>
    <w:rsid w:val="00782208"/>
    <w:rsid w:val="00791938"/>
    <w:rsid w:val="007C7FD7"/>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776A6"/>
    <w:rsid w:val="00982F3D"/>
    <w:rsid w:val="009A278A"/>
    <w:rsid w:val="00A16957"/>
    <w:rsid w:val="00A6155C"/>
    <w:rsid w:val="00A775FD"/>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30535"/>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24E9"/>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E0F1F"/>
    <w:rsid w:val="00FF61F3"/>
    <w:rsid w:val="04553618"/>
    <w:rsid w:val="0A1F0C49"/>
    <w:rsid w:val="1A7F228D"/>
    <w:rsid w:val="20391C3E"/>
    <w:rsid w:val="29413847"/>
    <w:rsid w:val="2BB632B2"/>
    <w:rsid w:val="3968034B"/>
    <w:rsid w:val="3E481A3F"/>
    <w:rsid w:val="43AC73F7"/>
    <w:rsid w:val="47257E68"/>
    <w:rsid w:val="4FFD2F3F"/>
    <w:rsid w:val="51135C82"/>
    <w:rsid w:val="5ABF5F70"/>
    <w:rsid w:val="65F86456"/>
    <w:rsid w:val="6A591A97"/>
    <w:rsid w:val="6F023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6F17-C0F1-469D-B245-A7F9E53C1647}">
  <ds:schemaRefs/>
</ds:datastoreItem>
</file>

<file path=docProps/app.xml><?xml version="1.0" encoding="utf-8"?>
<Properties xmlns="http://schemas.openxmlformats.org/officeDocument/2006/extended-properties" xmlns:vt="http://schemas.openxmlformats.org/officeDocument/2006/docPropsVTypes">
  <Template>Normal</Template>
  <Pages>33</Pages>
  <Words>12177</Words>
  <Characters>13588</Characters>
  <Lines>114</Lines>
  <Paragraphs>32</Paragraphs>
  <TotalTime>10</TotalTime>
  <ScaleCrop>false</ScaleCrop>
  <LinksUpToDate>false</LinksUpToDate>
  <CharactersWithSpaces>13690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Freedom</cp:lastModifiedBy>
  <cp:lastPrinted>2019-02-19T07:03:00Z</cp:lastPrinted>
  <dcterms:modified xsi:type="dcterms:W3CDTF">2024-03-14T07:06:45Z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E9741324BF2E4931878A6F7875EFF100_13</vt:lpwstr>
  </property>
</Properties>
</file>