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漕河镇人民政府</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单位（事业）</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单位（事业）</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单位（事业）</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单位（事业）</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根据《保定市徐水区漕河镇人民政府职能配置、内设机构和人员编制规定》，</w:t>
      </w:r>
      <w:r>
        <w:rPr>
          <w:rFonts w:ascii="仿宋" w:hAnsi="仿宋" w:eastAsia="仿宋"/>
          <w:sz w:val="32"/>
          <w:szCs w:val="32"/>
        </w:rPr>
        <w:t xml:space="preserve"> 保定市徐水区漕河镇人民政府的主要职责是：</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依法管理镇财政，执行本级预算；</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管理和发展文化、教育、科学、广播、体育、卫生等事业；</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保护社会主义的全民所有财产和劳动群众的集体所有财产，保护公民个人所有的合法财产，保护公民的人身权利、</w:t>
      </w:r>
      <w:r>
        <w:rPr>
          <w:rFonts w:hint="eastAsia" w:ascii="仿宋" w:hAnsi="仿宋" w:eastAsia="仿宋"/>
          <w:sz w:val="32"/>
          <w:szCs w:val="32"/>
          <w:lang w:eastAsia="zh-CN"/>
        </w:rPr>
        <w:t>民主权利</w:t>
      </w:r>
      <w:r>
        <w:rPr>
          <w:rFonts w:hint="eastAsia" w:ascii="仿宋" w:hAnsi="仿宋" w:eastAsia="仿宋"/>
          <w:sz w:val="32"/>
          <w:szCs w:val="32"/>
        </w:rPr>
        <w:t>和其他权利，保护各种经济的合法权益；</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组织实施社会主义与民主法制教育，协调公安、司法行政工作，调解民事纠纷，维护社会秩序；</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推行计划生育政策，控制人口增长，保护妇女、儿童和老人的合法权益；</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管理民政事务工作，发展社会福利事业，做好社会保障工作，办理兵役事项；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val="en-US" w:eastAsia="zh-CN"/>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保定市徐水区漕河镇人民政府（事业）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单位（事业）</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单位（事业）</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lang w:val="en-US" w:eastAsia="zh-CN"/>
        </w:rPr>
        <w:t>814.92</w:t>
      </w:r>
      <w:r>
        <w:rPr>
          <w:rFonts w:ascii="仿宋" w:hAnsi="仿宋" w:eastAsia="仿宋"/>
          <w:sz w:val="32"/>
          <w:szCs w:val="32"/>
        </w:rPr>
        <w:t>万元,其中：一般公共预算收入</w:t>
      </w:r>
      <w:r>
        <w:rPr>
          <w:rFonts w:hint="eastAsia" w:ascii="仿宋" w:hAnsi="仿宋" w:eastAsia="仿宋"/>
          <w:sz w:val="32"/>
          <w:szCs w:val="32"/>
          <w:lang w:val="en-US" w:eastAsia="zh-CN"/>
        </w:rPr>
        <w:t>814.92</w:t>
      </w:r>
      <w:r>
        <w:rPr>
          <w:rFonts w:ascii="仿宋" w:hAnsi="仿宋" w:eastAsia="仿宋"/>
          <w:sz w:val="32"/>
          <w:szCs w:val="32"/>
        </w:rPr>
        <w:t>万元，基金预算收入</w:t>
      </w:r>
      <w:r>
        <w:rPr>
          <w:rFonts w:hint="eastAsia" w:ascii="仿宋" w:hAnsi="仿宋" w:eastAsia="仿宋"/>
          <w:sz w:val="32"/>
          <w:szCs w:val="32"/>
          <w:lang w:val="en-US" w:eastAsia="zh-CN"/>
        </w:rPr>
        <w:t>0</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单位（事业）</w:t>
      </w:r>
      <w:r>
        <w:rPr>
          <w:rFonts w:ascii="仿宋" w:hAnsi="仿宋" w:eastAsia="仿宋"/>
          <w:sz w:val="32"/>
          <w:szCs w:val="32"/>
        </w:rPr>
        <w:t>支出预算：</w:t>
      </w:r>
      <w:r>
        <w:rPr>
          <w:rFonts w:hint="eastAsia" w:ascii="仿宋" w:hAnsi="仿宋" w:eastAsia="仿宋"/>
          <w:sz w:val="32"/>
          <w:szCs w:val="32"/>
          <w:lang w:val="en-US" w:eastAsia="zh-CN"/>
        </w:rPr>
        <w:t>814.92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814.92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775.21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39.71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814.92</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25.68</w:t>
      </w:r>
      <w:r>
        <w:rPr>
          <w:rFonts w:ascii="仿宋" w:hAnsi="仿宋" w:eastAsia="仿宋"/>
          <w:sz w:val="32"/>
          <w:szCs w:val="32"/>
        </w:rPr>
        <w:t>万元。其中:基本支出增加</w:t>
      </w:r>
      <w:r>
        <w:rPr>
          <w:rFonts w:hint="eastAsia" w:ascii="仿宋" w:hAnsi="仿宋" w:eastAsia="仿宋"/>
          <w:sz w:val="32"/>
          <w:szCs w:val="32"/>
          <w:lang w:val="en-US" w:eastAsia="zh-CN"/>
        </w:rPr>
        <w:t>25.68</w:t>
      </w:r>
      <w:r>
        <w:rPr>
          <w:rFonts w:ascii="仿宋" w:hAnsi="仿宋" w:eastAsia="仿宋"/>
          <w:sz w:val="32"/>
          <w:szCs w:val="32"/>
        </w:rPr>
        <w:t>万元，主要原因是</w:t>
      </w:r>
      <w:r>
        <w:rPr>
          <w:rFonts w:hint="eastAsia" w:ascii="仿宋" w:hAnsi="仿宋" w:eastAsia="仿宋"/>
          <w:sz w:val="32"/>
          <w:szCs w:val="32"/>
          <w:lang w:eastAsia="zh-CN"/>
        </w:rPr>
        <w:t>人员调入，人员经费支出增加</w:t>
      </w:r>
      <w:r>
        <w:rPr>
          <w:rFonts w:ascii="仿宋" w:hAnsi="仿宋" w:eastAsia="仿宋"/>
          <w:sz w:val="32"/>
          <w:szCs w:val="32"/>
        </w:rPr>
        <w:t>；项目支出</w:t>
      </w:r>
      <w:r>
        <w:rPr>
          <w:rFonts w:hint="eastAsia" w:ascii="仿宋" w:hAnsi="仿宋" w:eastAsia="仿宋"/>
          <w:sz w:val="32"/>
          <w:szCs w:val="32"/>
          <w:lang w:eastAsia="zh-CN"/>
        </w:rPr>
        <w:t>无变化</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单位（事业）</w:t>
      </w:r>
      <w:r>
        <w:rPr>
          <w:rFonts w:ascii="仿宋" w:hAnsi="仿宋" w:eastAsia="仿宋"/>
          <w:sz w:val="32"/>
          <w:szCs w:val="32"/>
        </w:rPr>
        <w:t>机关运行经费安排</w:t>
      </w:r>
      <w:r>
        <w:rPr>
          <w:rFonts w:hint="eastAsia" w:ascii="仿宋" w:hAnsi="仿宋" w:eastAsia="仿宋"/>
          <w:sz w:val="32"/>
          <w:szCs w:val="32"/>
          <w:lang w:val="en-US" w:eastAsia="zh-CN"/>
        </w:rPr>
        <w:t>39.71</w:t>
      </w:r>
      <w:r>
        <w:rPr>
          <w:rFonts w:ascii="仿宋" w:hAnsi="仿宋" w:eastAsia="仿宋"/>
          <w:sz w:val="32"/>
          <w:szCs w:val="32"/>
        </w:rPr>
        <w:t>万元，其中办公费</w:t>
      </w:r>
      <w:r>
        <w:rPr>
          <w:rFonts w:hint="eastAsia" w:ascii="仿宋" w:hAnsi="仿宋" w:eastAsia="仿宋"/>
          <w:sz w:val="32"/>
          <w:szCs w:val="32"/>
          <w:lang w:val="en-US" w:eastAsia="zh-CN"/>
        </w:rPr>
        <w:t>17.76</w:t>
      </w:r>
      <w:r>
        <w:rPr>
          <w:rFonts w:ascii="仿宋" w:hAnsi="仿宋" w:eastAsia="仿宋"/>
          <w:sz w:val="32"/>
          <w:szCs w:val="32"/>
        </w:rPr>
        <w:t>万元，邮电费</w:t>
      </w:r>
      <w:r>
        <w:rPr>
          <w:rFonts w:hint="eastAsia" w:ascii="仿宋" w:hAnsi="仿宋" w:eastAsia="仿宋"/>
          <w:sz w:val="32"/>
          <w:szCs w:val="32"/>
          <w:lang w:val="en-US" w:eastAsia="zh-CN"/>
        </w:rPr>
        <w:t>0.64</w:t>
      </w:r>
      <w:r>
        <w:rPr>
          <w:rFonts w:ascii="仿宋" w:hAnsi="仿宋" w:eastAsia="仿宋"/>
          <w:sz w:val="32"/>
          <w:szCs w:val="32"/>
        </w:rPr>
        <w:t>万元，</w:t>
      </w:r>
      <w:r>
        <w:rPr>
          <w:rFonts w:hint="eastAsia" w:ascii="仿宋" w:hAnsi="仿宋" w:eastAsia="仿宋"/>
          <w:sz w:val="32"/>
          <w:szCs w:val="32"/>
          <w:lang w:eastAsia="zh-CN"/>
        </w:rPr>
        <w:t>公务接待费</w:t>
      </w:r>
      <w:r>
        <w:rPr>
          <w:rFonts w:hint="eastAsia" w:ascii="仿宋" w:hAnsi="仿宋" w:eastAsia="仿宋"/>
          <w:sz w:val="32"/>
          <w:szCs w:val="32"/>
          <w:lang w:val="en-US" w:eastAsia="zh-CN"/>
        </w:rPr>
        <w:t>6万元，</w:t>
      </w:r>
      <w:r>
        <w:rPr>
          <w:rFonts w:ascii="仿宋" w:hAnsi="仿宋" w:eastAsia="仿宋"/>
          <w:sz w:val="32"/>
          <w:szCs w:val="32"/>
        </w:rPr>
        <w:t>工会经费</w:t>
      </w:r>
      <w:r>
        <w:rPr>
          <w:rFonts w:hint="eastAsia" w:ascii="仿宋" w:hAnsi="仿宋" w:eastAsia="仿宋"/>
          <w:sz w:val="32"/>
          <w:szCs w:val="32"/>
          <w:lang w:val="en-US" w:eastAsia="zh-CN"/>
        </w:rPr>
        <w:t>8.63万元</w:t>
      </w:r>
      <w:r>
        <w:rPr>
          <w:rFonts w:ascii="仿宋" w:hAnsi="仿宋" w:eastAsia="仿宋"/>
          <w:sz w:val="32"/>
          <w:szCs w:val="32"/>
        </w:rPr>
        <w:t>、福利费</w:t>
      </w:r>
      <w:r>
        <w:rPr>
          <w:rFonts w:hint="eastAsia" w:ascii="仿宋" w:hAnsi="仿宋" w:eastAsia="仿宋"/>
          <w:sz w:val="32"/>
          <w:szCs w:val="32"/>
          <w:lang w:val="en-US" w:eastAsia="zh-CN"/>
        </w:rPr>
        <w:t>5.73</w:t>
      </w:r>
      <w:r>
        <w:rPr>
          <w:rFonts w:ascii="仿宋" w:hAnsi="仿宋" w:eastAsia="仿宋"/>
          <w:sz w:val="32"/>
          <w:szCs w:val="32"/>
        </w:rPr>
        <w:t>万元，其他支出</w:t>
      </w:r>
      <w:r>
        <w:rPr>
          <w:rFonts w:hint="eastAsia" w:ascii="仿宋" w:hAnsi="仿宋" w:eastAsia="仿宋"/>
          <w:sz w:val="32"/>
          <w:szCs w:val="32"/>
          <w:lang w:val="en-US" w:eastAsia="zh-CN"/>
        </w:rPr>
        <w:t>0.95</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299" w:type="dxa"/>
        <w:tblInd w:w="0" w:type="dxa"/>
        <w:tblLayout w:type="fixed"/>
        <w:tblCellMar>
          <w:top w:w="0" w:type="dxa"/>
          <w:left w:w="108" w:type="dxa"/>
          <w:bottom w:w="0" w:type="dxa"/>
          <w:right w:w="108" w:type="dxa"/>
        </w:tblCellMar>
      </w:tblPr>
      <w:tblGrid>
        <w:gridCol w:w="9299"/>
      </w:tblGrid>
      <w:tr>
        <w:tblPrEx>
          <w:tblCellMar>
            <w:top w:w="0" w:type="dxa"/>
            <w:left w:w="108" w:type="dxa"/>
            <w:bottom w:w="0" w:type="dxa"/>
            <w:right w:w="108" w:type="dxa"/>
          </w:tblCellMar>
        </w:tblPrEx>
        <w:trPr>
          <w:trHeight w:val="3221" w:hRule="atLeast"/>
        </w:trPr>
        <w:tc>
          <w:tcPr>
            <w:tcW w:w="9299" w:type="dxa"/>
            <w:tcBorders>
              <w:top w:val="nil"/>
              <w:left w:val="nil"/>
              <w:bottom w:val="nil"/>
              <w:right w:val="nil"/>
            </w:tcBorders>
            <w:shd w:val="clear" w:color="auto" w:fill="auto"/>
            <w:vAlign w:val="center"/>
          </w:tcPr>
          <w:tbl>
            <w:tblPr>
              <w:tblStyle w:val="5"/>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9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11</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2021年做预算编制时把公务接待费按政府单位（本级）和政府单位（事业）分开支出，参考2020年政府单位事业（政府本级2020年无公务接待费预算）实际支出，2021年政府单位（本级）公务接待费预算5万元，政府单位（事业）公务接待费6万元，较2020年无增减变化，详见《保定市徐水区漕河镇人民政府2021年预算公开说明》</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11</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2021年做预算编制时把公务接待费按政府单位（本级）和政府单位（事业）分开支出，参考2020年政府单位事业（政府本级2020年无公务接待费预算）实际支出，2021年政府单位（本级）公务接待费预算5万元，政府单位（事业）公务接待费6万元，较2020年无增减变化，详见《保定市徐水区漕河镇人民政府2021年预算公开说明》</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单位（事业）</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bookmarkStart w:id="0" w:name="_Toc67036794"/>
      <w:r>
        <w:rPr>
          <w:rFonts w:hint="eastAsia" w:ascii="仿宋" w:hAnsi="仿宋" w:eastAsia="仿宋"/>
          <w:sz w:val="32"/>
          <w:szCs w:val="32"/>
        </w:rPr>
        <w:t>一、总体绩效目标</w:t>
      </w:r>
      <w:bookmarkEnd w:id="0"/>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总体绩效目标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工作和区委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bookmarkStart w:id="3" w:name="_GoBack"/>
      <w:bookmarkEnd w:id="3"/>
      <w:r>
        <w:rPr>
          <w:rFonts w:hint="eastAsia" w:ascii="仿宋" w:hAnsi="仿宋" w:eastAsia="仿宋"/>
          <w:sz w:val="32"/>
          <w:szCs w:val="32"/>
          <w:lang w:eastAsia="zh-CN"/>
        </w:rPr>
        <w:t>秸秆</w:t>
      </w:r>
      <w:r>
        <w:rPr>
          <w:rFonts w:hint="eastAsia" w:ascii="仿宋" w:hAnsi="仿宋" w:eastAsia="仿宋"/>
          <w:sz w:val="32"/>
          <w:szCs w:val="32"/>
        </w:rPr>
        <w:t>焚烧，排查污染企业，加强管控与治理，改善人居环境。加强对企业和社会安全的管理，确保辖区内生产安全、社会和谐统筹安排</w:t>
      </w:r>
      <w:r>
        <w:rPr>
          <w:rFonts w:ascii="仿宋" w:hAnsi="仿宋" w:eastAsia="仿宋"/>
          <w:sz w:val="32"/>
          <w:szCs w:val="32"/>
        </w:rPr>
        <w:t xml:space="preserve">; </w:t>
      </w:r>
      <w:r>
        <w:rPr>
          <w:rFonts w:hint="eastAsia" w:ascii="仿宋" w:hAnsi="仿宋" w:eastAsia="仿宋"/>
          <w:sz w:val="32"/>
          <w:szCs w:val="32"/>
        </w:rPr>
        <w:t>扎实推动建档立卡扶贫工作，保证建档立卡户脱贫不脱政策，防止返贫。扎实做好人大、政协、工会、共青团、武装、环保、土地、教育、卫生等各项工作，努力实现全乡各项事业持续发展。</w:t>
      </w:r>
    </w:p>
    <w:p>
      <w:pPr>
        <w:spacing w:line="360" w:lineRule="auto"/>
        <w:ind w:firstLine="640" w:firstLineChars="200"/>
        <w:rPr>
          <w:rFonts w:ascii="仿宋" w:hAnsi="仿宋" w:eastAsia="仿宋"/>
          <w:sz w:val="32"/>
          <w:szCs w:val="32"/>
        </w:rPr>
      </w:pPr>
      <w:bookmarkStart w:id="1" w:name="_Toc67036795"/>
      <w:r>
        <w:rPr>
          <w:rFonts w:ascii="仿宋" w:hAnsi="仿宋" w:eastAsia="仿宋"/>
          <w:sz w:val="32"/>
          <w:szCs w:val="32"/>
        </w:rPr>
        <w:t>二、分项绩效目标</w:t>
      </w:r>
      <w:bookmarkEnd w:id="1"/>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（一）减少社会矛盾，维护镇村稳定</w:t>
      </w:r>
    </w:p>
    <w:p>
      <w:pPr>
        <w:spacing w:line="360" w:lineRule="auto"/>
        <w:ind w:firstLine="640" w:firstLineChars="200"/>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360" w:lineRule="auto"/>
        <w:ind w:firstLine="640" w:firstLineChars="200"/>
        <w:rPr>
          <w:rFonts w:ascii="仿宋" w:hAnsi="仿宋" w:eastAsia="仿宋"/>
          <w:sz w:val="32"/>
          <w:szCs w:val="32"/>
        </w:rPr>
      </w:pPr>
      <w:r>
        <w:rPr>
          <w:rFonts w:ascii="仿宋" w:hAnsi="仿宋" w:eastAsia="仿宋"/>
          <w:sz w:val="32"/>
          <w:szCs w:val="32"/>
        </w:rPr>
        <w:t>绩效指标：矛盾纠纷调处率达到85%以上；协调督导事项化解率85%以上；稳定水平提高。</w:t>
      </w:r>
    </w:p>
    <w:p>
      <w:pPr>
        <w:spacing w:line="360" w:lineRule="auto"/>
        <w:ind w:firstLine="640" w:firstLineChars="200"/>
        <w:rPr>
          <w:rFonts w:ascii="仿宋" w:hAnsi="仿宋" w:eastAsia="仿宋"/>
          <w:sz w:val="32"/>
          <w:szCs w:val="32"/>
        </w:rPr>
      </w:pPr>
      <w:r>
        <w:rPr>
          <w:rFonts w:ascii="仿宋" w:hAnsi="仿宋" w:eastAsia="仿宋"/>
          <w:sz w:val="32"/>
          <w:szCs w:val="32"/>
        </w:rPr>
        <w:t>（二）维持村级组织正常运转，促进乡村发展</w:t>
      </w:r>
    </w:p>
    <w:p>
      <w:pPr>
        <w:spacing w:line="360" w:lineRule="auto"/>
        <w:ind w:firstLine="640" w:firstLineChars="200"/>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360" w:lineRule="auto"/>
        <w:ind w:firstLine="640" w:firstLineChars="200"/>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360" w:lineRule="auto"/>
        <w:ind w:firstLine="640" w:firstLineChars="200"/>
        <w:rPr>
          <w:rFonts w:ascii="仿宋" w:hAnsi="仿宋" w:eastAsia="仿宋"/>
          <w:sz w:val="32"/>
          <w:szCs w:val="32"/>
        </w:rPr>
      </w:pPr>
      <w:r>
        <w:rPr>
          <w:rFonts w:ascii="仿宋" w:hAnsi="仿宋" w:eastAsia="仿宋"/>
          <w:sz w:val="32"/>
          <w:szCs w:val="32"/>
        </w:rPr>
        <w:t>（三）农村文化建设实现共享</w:t>
      </w:r>
    </w:p>
    <w:p>
      <w:pPr>
        <w:spacing w:line="360" w:lineRule="auto"/>
        <w:ind w:firstLine="640" w:firstLineChars="200"/>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360" w:lineRule="auto"/>
        <w:ind w:firstLine="640" w:firstLineChars="200"/>
        <w:rPr>
          <w:rFonts w:ascii="仿宋" w:hAnsi="仿宋" w:eastAsia="仿宋"/>
          <w:sz w:val="32"/>
          <w:szCs w:val="32"/>
        </w:rPr>
      </w:pPr>
      <w:r>
        <w:rPr>
          <w:rFonts w:ascii="仿宋" w:hAnsi="仿宋" w:eastAsia="仿宋"/>
          <w:sz w:val="32"/>
          <w:szCs w:val="32"/>
        </w:rPr>
        <w:t>绩效指标： 实现文化资源共享；群众满意度达到90%以上。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（四）乡镇综合事务管理，保障正常运转</w:t>
      </w:r>
    </w:p>
    <w:p>
      <w:pPr>
        <w:spacing w:line="360" w:lineRule="auto"/>
        <w:ind w:firstLine="640" w:firstLineChars="200"/>
        <w:rPr>
          <w:rFonts w:ascii="仿宋" w:hAnsi="仿宋" w:eastAsia="仿宋"/>
          <w:sz w:val="32"/>
          <w:szCs w:val="32"/>
        </w:rPr>
      </w:pPr>
      <w:r>
        <w:rPr>
          <w:rFonts w:ascii="仿宋" w:hAnsi="仿宋" w:eastAsia="仿宋"/>
          <w:sz w:val="32"/>
          <w:szCs w:val="32"/>
        </w:rPr>
        <w:t>绩效目标：扎实做好人大、党建、纪检、团委等各项工作，保障机关工作正常运转，财政资金使用效益。</w:t>
      </w:r>
    </w:p>
    <w:p>
      <w:pPr>
        <w:spacing w:line="360" w:lineRule="auto"/>
        <w:ind w:firstLine="640" w:firstLineChars="200"/>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（五）改善农村环境</w:t>
      </w:r>
    </w:p>
    <w:p>
      <w:pPr>
        <w:spacing w:line="360" w:lineRule="auto"/>
        <w:ind w:firstLine="640" w:firstLineChars="200"/>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360" w:lineRule="auto"/>
        <w:ind w:firstLine="640" w:firstLineChars="200"/>
        <w:rPr>
          <w:rFonts w:ascii="仿宋" w:hAnsi="仿宋" w:eastAsia="仿宋"/>
          <w:sz w:val="32"/>
          <w:szCs w:val="32"/>
        </w:rPr>
      </w:pPr>
      <w:r>
        <w:rPr>
          <w:rFonts w:ascii="仿宋" w:hAnsi="仿宋" w:eastAsia="仿宋"/>
          <w:sz w:val="32"/>
          <w:szCs w:val="32"/>
        </w:rPr>
        <w:t>绩效指标：秸秆还田率及秸秆清运率达到85%以上；污染物排放总量同期下降达15%以上。</w:t>
      </w:r>
    </w:p>
    <w:p>
      <w:pPr>
        <w:spacing w:line="360" w:lineRule="auto"/>
        <w:ind w:firstLine="640" w:firstLineChars="200"/>
        <w:rPr>
          <w:rFonts w:ascii="仿宋" w:hAnsi="仿宋" w:eastAsia="仿宋"/>
          <w:sz w:val="32"/>
          <w:szCs w:val="32"/>
        </w:rPr>
      </w:pPr>
      <w:r>
        <w:rPr>
          <w:rFonts w:ascii="仿宋" w:hAnsi="仿宋" w:eastAsia="仿宋"/>
          <w:sz w:val="32"/>
          <w:szCs w:val="32"/>
        </w:rPr>
        <w:t>（六）武装阵地达标建设</w:t>
      </w:r>
    </w:p>
    <w:p>
      <w:pPr>
        <w:spacing w:line="360" w:lineRule="auto"/>
        <w:ind w:firstLine="640" w:firstLineChars="200"/>
        <w:rPr>
          <w:rFonts w:ascii="仿宋" w:hAnsi="仿宋" w:eastAsia="仿宋"/>
          <w:sz w:val="32"/>
          <w:szCs w:val="32"/>
        </w:rPr>
      </w:pPr>
      <w:r>
        <w:rPr>
          <w:rFonts w:ascii="仿宋" w:hAnsi="仿宋" w:eastAsia="仿宋"/>
          <w:sz w:val="32"/>
          <w:szCs w:val="32"/>
        </w:rPr>
        <w:t>绩效目标：贯彻“严格训练、严格要求”的方针，坚持规范训练，因地制宜地抓好专业人才培训，充分发挥其战备效益和社会效益。按标准搞好武装阵地达标建设。</w:t>
      </w:r>
    </w:p>
    <w:p>
      <w:pPr>
        <w:spacing w:line="360" w:lineRule="auto"/>
        <w:ind w:firstLine="640" w:firstLineChars="200"/>
        <w:rPr>
          <w:rFonts w:ascii="仿宋" w:hAnsi="仿宋" w:eastAsia="仿宋"/>
          <w:sz w:val="32"/>
          <w:szCs w:val="32"/>
        </w:rPr>
      </w:pPr>
      <w:r>
        <w:rPr>
          <w:rFonts w:ascii="仿宋" w:hAnsi="仿宋" w:eastAsia="仿宋"/>
          <w:sz w:val="32"/>
          <w:szCs w:val="32"/>
        </w:rPr>
        <w:t>绩效指标：民兵应急训练次数最少2次；武装阵地建设达标；应急装备保障率90%以上。</w:t>
      </w:r>
    </w:p>
    <w:p>
      <w:pPr>
        <w:spacing w:line="360" w:lineRule="auto"/>
        <w:ind w:firstLine="640" w:firstLineChars="200"/>
        <w:rPr>
          <w:rFonts w:ascii="仿宋" w:hAnsi="仿宋" w:eastAsia="仿宋"/>
          <w:sz w:val="32"/>
          <w:szCs w:val="32"/>
        </w:rPr>
      </w:pPr>
      <w:r>
        <w:rPr>
          <w:rFonts w:ascii="仿宋" w:hAnsi="仿宋" w:eastAsia="仿宋"/>
          <w:sz w:val="32"/>
          <w:szCs w:val="32"/>
        </w:rPr>
        <w:t>（七）落实安全生产管理</w:t>
      </w:r>
    </w:p>
    <w:p>
      <w:pPr>
        <w:spacing w:line="360" w:lineRule="auto"/>
        <w:ind w:firstLine="640" w:firstLineChars="200"/>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360" w:lineRule="auto"/>
        <w:ind w:firstLine="640" w:firstLineChars="200"/>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绩效指标：安全生产信息员设置覆盖镇所有村；安全生产信息员补助发放完成率达到90%以上；享受安全生产信息员补助人员对补助发放情况的满意程度达到90%以上。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（八）实现镇村地震安全建设常态化</w:t>
      </w:r>
    </w:p>
    <w:p>
      <w:pPr>
        <w:spacing w:line="360" w:lineRule="auto"/>
        <w:ind w:firstLine="640" w:firstLineChars="200"/>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pPr>
        <w:spacing w:line="360" w:lineRule="auto"/>
        <w:ind w:firstLine="640" w:firstLineChars="200"/>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绩效指标：地震群测群防队伍覆盖全镇各村；地震群测群防岗位津贴发放完成率达到90%以上享受地震群测群防岗位津贴人员对津贴发放情况的满意程度达到90%以上。</w:t>
      </w:r>
    </w:p>
    <w:p>
      <w:pPr>
        <w:spacing w:line="360" w:lineRule="auto"/>
        <w:ind w:firstLine="640" w:firstLineChars="200"/>
        <w:rPr>
          <w:rFonts w:ascii="仿宋" w:hAnsi="仿宋" w:eastAsia="仿宋"/>
          <w:sz w:val="32"/>
          <w:szCs w:val="32"/>
        </w:rPr>
      </w:pPr>
      <w:r>
        <w:rPr>
          <w:rFonts w:ascii="仿宋" w:hAnsi="仿宋" w:eastAsia="仿宋"/>
          <w:sz w:val="32"/>
          <w:szCs w:val="32"/>
        </w:rPr>
        <w:t>（九）改善农村环境面貌</w:t>
      </w:r>
    </w:p>
    <w:p>
      <w:pPr>
        <w:spacing w:line="360" w:lineRule="auto"/>
        <w:ind w:firstLine="640" w:firstLineChars="200"/>
        <w:rPr>
          <w:rFonts w:ascii="仿宋" w:hAnsi="仿宋" w:eastAsia="仿宋"/>
          <w:sz w:val="32"/>
          <w:szCs w:val="32"/>
        </w:rPr>
      </w:pPr>
      <w:r>
        <w:rPr>
          <w:rFonts w:ascii="仿宋" w:hAnsi="仿宋" w:eastAsia="仿宋"/>
          <w:sz w:val="32"/>
          <w:szCs w:val="32"/>
        </w:rPr>
        <w:t>绩效目标：计划利用上级专项资金对南青公村太阳能路灯进行安装，改善农村环境面貌，提升农民生产生活条件。</w:t>
      </w:r>
    </w:p>
    <w:p>
      <w:pPr>
        <w:spacing w:line="360" w:lineRule="auto"/>
        <w:ind w:firstLine="640" w:firstLineChars="200"/>
        <w:rPr>
          <w:rFonts w:ascii="仿宋" w:hAnsi="仿宋" w:eastAsia="仿宋"/>
          <w:sz w:val="32"/>
          <w:szCs w:val="32"/>
        </w:rPr>
      </w:pPr>
      <w:r>
        <w:rPr>
          <w:rFonts w:ascii="仿宋" w:hAnsi="仿宋" w:eastAsia="仿宋"/>
          <w:sz w:val="32"/>
          <w:szCs w:val="32"/>
        </w:rPr>
        <w:t>绩效指标：保障项目按质、按量完成，群众满意度达90%以上，大力推进美丽乡村建设。</w:t>
      </w:r>
    </w:p>
    <w:p>
      <w:pPr>
        <w:spacing w:line="360" w:lineRule="auto"/>
        <w:ind w:firstLine="640" w:firstLineChars="200"/>
        <w:rPr>
          <w:rFonts w:ascii="仿宋" w:hAnsi="仿宋" w:eastAsia="仿宋"/>
          <w:sz w:val="32"/>
          <w:szCs w:val="32"/>
        </w:rPr>
      </w:pPr>
      <w:bookmarkStart w:id="2" w:name="_Toc67036796"/>
      <w:r>
        <w:rPr>
          <w:rFonts w:ascii="仿宋" w:hAnsi="仿宋" w:eastAsia="仿宋"/>
          <w:sz w:val="32"/>
          <w:szCs w:val="32"/>
        </w:rPr>
        <w:t>三、工作保障措施</w:t>
      </w:r>
      <w:bookmarkEnd w:id="2"/>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360" w:lineRule="auto"/>
        <w:ind w:firstLine="640" w:firstLineChars="200"/>
        <w:rPr>
          <w:rFonts w:ascii="仿宋" w:hAnsi="仿宋" w:eastAsia="仿宋"/>
          <w:sz w:val="32"/>
          <w:szCs w:val="32"/>
        </w:rPr>
      </w:pPr>
      <w:r>
        <w:rPr>
          <w:rFonts w:ascii="仿宋" w:hAnsi="仿宋" w:eastAsia="仿宋"/>
          <w:sz w:val="32"/>
          <w:szCs w:val="32"/>
        </w:rPr>
        <w:t>（一）强化政治理论武装，健全完善制度机制</w:t>
      </w:r>
    </w:p>
    <w:p>
      <w:pPr>
        <w:spacing w:line="360" w:lineRule="auto"/>
        <w:ind w:firstLine="640" w:firstLineChars="200"/>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w:t>
      </w:r>
      <w:r>
        <w:rPr>
          <w:rFonts w:hint="eastAsia" w:ascii="仿宋" w:hAnsi="仿宋" w:eastAsia="仿宋"/>
          <w:sz w:val="32"/>
          <w:szCs w:val="32"/>
          <w:lang w:eastAsia="zh-CN"/>
        </w:rPr>
        <w:t>单位（事业）</w:t>
      </w:r>
      <w:r>
        <w:rPr>
          <w:rFonts w:ascii="仿宋" w:hAnsi="仿宋" w:eastAsia="仿宋"/>
          <w:sz w:val="32"/>
          <w:szCs w:val="32"/>
        </w:rPr>
        <w:t>预算绩效实时监控、绩效自评和重点项目评价等工作，确保全年绩效目标圆满完成。</w:t>
      </w:r>
    </w:p>
    <w:p>
      <w:pPr>
        <w:spacing w:line="360" w:lineRule="auto"/>
        <w:ind w:firstLine="640" w:firstLineChars="200"/>
        <w:rPr>
          <w:rFonts w:ascii="仿宋" w:hAnsi="仿宋" w:eastAsia="仿宋"/>
          <w:sz w:val="32"/>
          <w:szCs w:val="32"/>
        </w:rPr>
      </w:pPr>
      <w:r>
        <w:rPr>
          <w:rFonts w:ascii="仿宋" w:hAnsi="仿宋" w:eastAsia="仿宋"/>
          <w:sz w:val="32"/>
          <w:szCs w:val="32"/>
        </w:rPr>
        <w:t>（二）加强预算支出管理，确保支出进度达标</w:t>
      </w:r>
    </w:p>
    <w:p>
      <w:pPr>
        <w:spacing w:line="360" w:lineRule="auto"/>
        <w:ind w:firstLine="640" w:firstLineChars="200"/>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360" w:lineRule="auto"/>
        <w:ind w:firstLine="640" w:firstLineChars="200"/>
        <w:rPr>
          <w:rFonts w:ascii="仿宋" w:hAnsi="仿宋" w:eastAsia="仿宋"/>
          <w:sz w:val="32"/>
          <w:szCs w:val="32"/>
        </w:rPr>
      </w:pPr>
      <w:r>
        <w:rPr>
          <w:rFonts w:ascii="仿宋" w:hAnsi="仿宋" w:eastAsia="仿宋"/>
          <w:sz w:val="32"/>
          <w:szCs w:val="32"/>
        </w:rPr>
        <w:t>（三）加强内部监督管理，确保资金安全有效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（四）加强宣传培训调研，确保绩效目标实现</w:t>
      </w:r>
    </w:p>
    <w:p>
      <w:pPr>
        <w:spacing w:line="360" w:lineRule="auto"/>
        <w:ind w:firstLine="640" w:firstLineChars="200"/>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单位（事业）</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单位（事业）</w:t>
      </w:r>
      <w:r>
        <w:rPr>
          <w:rFonts w:hint="eastAsia" w:ascii="仿宋" w:hAnsi="仿宋" w:eastAsia="仿宋"/>
          <w:sz w:val="32"/>
          <w:szCs w:val="32"/>
        </w:rPr>
        <w:t>政府采购预算表空表。</w:t>
      </w: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宋体" w:hAnsi="宋体" w:eastAsia="宋体"/>
                <w:sz w:val="24"/>
              </w:rPr>
            </w:pPr>
            <w:r>
              <w:rPr>
                <w:rFonts w:hint="eastAsia" w:ascii="宋体" w:hAnsi="宋体" w:eastAsia="宋体"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宋体" w:hAnsi="宋体" w:eastAsia="宋体"/>
                <w:sz w:val="24"/>
              </w:rPr>
            </w:pPr>
            <w:r>
              <w:rPr>
                <w:rFonts w:hint="eastAsia" w:ascii="宋体" w:hAnsi="宋体" w:eastAsia="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宋体" w:hAnsi="宋体" w:eastAsia="宋体"/>
                <w:b/>
              </w:rPr>
            </w:pPr>
            <w:r>
              <w:rPr>
                <w:rFonts w:hint="eastAsia" w:ascii="宋体" w:hAnsi="宋体" w:eastAsia="宋体" w:cs="宋体"/>
                <w:b/>
              </w:rPr>
              <w:t>政府采购项目来源</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采购物品名称</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政府采购目录序号</w:t>
            </w:r>
          </w:p>
        </w:tc>
        <w:tc>
          <w:tcPr>
            <w:tcW w:w="992"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r>
              <w:rPr>
                <w:rFonts w:ascii="宋体" w:hAnsi="宋体" w:eastAsia="宋体"/>
                <w:b/>
              </w:rPr>
              <w:t xml:space="preserve">  </w:t>
            </w:r>
            <w:r>
              <w:rPr>
                <w:rFonts w:hint="eastAsia" w:ascii="宋体" w:hAnsi="宋体" w:eastAsia="宋体" w:cs="宋体"/>
                <w:b/>
              </w:rPr>
              <w:t>单位</w:t>
            </w:r>
          </w:p>
        </w:tc>
        <w:tc>
          <w:tcPr>
            <w:tcW w:w="851"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p>
        </w:tc>
        <w:tc>
          <w:tcPr>
            <w:tcW w:w="834" w:type="dxa"/>
            <w:vMerge w:val="restart"/>
            <w:vAlign w:val="center"/>
          </w:tcPr>
          <w:p>
            <w:pPr>
              <w:spacing w:line="700" w:lineRule="exact"/>
              <w:jc w:val="center"/>
              <w:rPr>
                <w:rFonts w:ascii="宋体" w:hAnsi="宋体" w:eastAsia="宋体"/>
                <w:b/>
              </w:rPr>
            </w:pPr>
            <w:r>
              <w:rPr>
                <w:rFonts w:hint="eastAsia" w:ascii="宋体" w:hAnsi="宋体" w:eastAsia="宋体" w:cs="宋体"/>
                <w:b/>
              </w:rPr>
              <w:t>单价</w:t>
            </w:r>
          </w:p>
        </w:tc>
        <w:tc>
          <w:tcPr>
            <w:tcW w:w="6237" w:type="dxa"/>
            <w:gridSpan w:val="7"/>
            <w:vAlign w:val="center"/>
          </w:tcPr>
          <w:p>
            <w:pPr>
              <w:spacing w:line="700" w:lineRule="exact"/>
              <w:jc w:val="center"/>
              <w:rPr>
                <w:rFonts w:ascii="宋体" w:hAnsi="宋体" w:eastAsia="宋体"/>
                <w:b/>
              </w:rPr>
            </w:pPr>
            <w:r>
              <w:rPr>
                <w:rFonts w:hint="eastAsia" w:ascii="宋体" w:hAnsi="宋体" w:eastAsia="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宋体" w:hAnsi="宋体" w:eastAsia="宋体"/>
                <w:b/>
              </w:rPr>
            </w:pPr>
            <w:r>
              <w:rPr>
                <w:rFonts w:hint="eastAsia" w:ascii="宋体" w:hAnsi="宋体" w:eastAsia="宋体" w:cs="宋体"/>
                <w:b/>
              </w:rPr>
              <w:t>项目名称</w:t>
            </w:r>
          </w:p>
        </w:tc>
        <w:tc>
          <w:tcPr>
            <w:tcW w:w="764" w:type="dxa"/>
            <w:vMerge w:val="restart"/>
            <w:vAlign w:val="center"/>
          </w:tcPr>
          <w:p>
            <w:pPr>
              <w:spacing w:line="700" w:lineRule="exact"/>
              <w:jc w:val="center"/>
              <w:rPr>
                <w:rFonts w:ascii="宋体" w:hAnsi="宋体" w:eastAsia="宋体"/>
                <w:b/>
              </w:rPr>
            </w:pPr>
            <w:r>
              <w:rPr>
                <w:rFonts w:hint="eastAsia" w:ascii="宋体" w:hAnsi="宋体" w:eastAsia="宋体" w:cs="宋体"/>
                <w:b/>
              </w:rPr>
              <w:t>预算资金</w:t>
            </w: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restart"/>
            <w:vAlign w:val="center"/>
          </w:tcPr>
          <w:p>
            <w:pPr>
              <w:spacing w:line="700" w:lineRule="exact"/>
              <w:jc w:val="center"/>
              <w:rPr>
                <w:rFonts w:ascii="宋体" w:hAnsi="宋体" w:eastAsia="宋体"/>
                <w:b/>
              </w:rPr>
            </w:pPr>
            <w:r>
              <w:rPr>
                <w:rFonts w:hint="eastAsia" w:ascii="宋体" w:hAnsi="宋体" w:eastAsia="宋体" w:cs="宋体"/>
                <w:b/>
              </w:rPr>
              <w:t>总计</w:t>
            </w:r>
          </w:p>
        </w:tc>
        <w:tc>
          <w:tcPr>
            <w:tcW w:w="4678" w:type="dxa"/>
            <w:gridSpan w:val="5"/>
            <w:vAlign w:val="center"/>
          </w:tcPr>
          <w:p>
            <w:pPr>
              <w:spacing w:line="700" w:lineRule="exact"/>
              <w:jc w:val="center"/>
              <w:rPr>
                <w:rFonts w:ascii="宋体" w:hAnsi="宋体" w:eastAsia="宋体"/>
                <w:b/>
              </w:rPr>
            </w:pPr>
            <w:r>
              <w:rPr>
                <w:rFonts w:hint="eastAsia" w:ascii="宋体" w:hAnsi="宋体" w:eastAsia="宋体" w:cs="宋体"/>
                <w:b/>
              </w:rPr>
              <w:t>当年</w:t>
            </w:r>
            <w:r>
              <w:rPr>
                <w:rFonts w:hint="eastAsia" w:ascii="宋体" w:hAnsi="宋体" w:eastAsia="宋体" w:cs="宋体"/>
                <w:b/>
                <w:lang w:eastAsia="zh-CN"/>
              </w:rPr>
              <w:t>单位（事业）</w:t>
            </w:r>
            <w:r>
              <w:rPr>
                <w:rFonts w:hint="eastAsia" w:ascii="宋体" w:hAnsi="宋体" w:eastAsia="宋体" w:cs="宋体"/>
                <w:b/>
              </w:rPr>
              <w:t>预算安排资金</w:t>
            </w:r>
          </w:p>
        </w:tc>
        <w:tc>
          <w:tcPr>
            <w:tcW w:w="850" w:type="dxa"/>
            <w:vMerge w:val="restart"/>
            <w:vAlign w:val="center"/>
          </w:tcPr>
          <w:p>
            <w:pPr>
              <w:spacing w:line="700" w:lineRule="exact"/>
              <w:jc w:val="center"/>
              <w:rPr>
                <w:rFonts w:ascii="宋体" w:hAnsi="宋体" w:eastAsia="宋体"/>
                <w:b/>
              </w:rPr>
            </w:pPr>
            <w:r>
              <w:rPr>
                <w:rFonts w:hint="eastAsia" w:ascii="宋体" w:hAnsi="宋体" w:eastAsia="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rPr>
                <w:rFonts w:ascii="宋体" w:hAnsi="宋体" w:eastAsia="宋体"/>
              </w:rPr>
            </w:pPr>
          </w:p>
        </w:tc>
        <w:tc>
          <w:tcPr>
            <w:tcW w:w="76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continue"/>
            <w:vAlign w:val="center"/>
          </w:tcPr>
          <w:p>
            <w:pPr>
              <w:spacing w:line="700" w:lineRule="exact"/>
              <w:jc w:val="left"/>
              <w:outlineLvl w:val="0"/>
              <w:rPr>
                <w:rFonts w:ascii="宋体" w:hAnsi="宋体" w:eastAsia="宋体"/>
              </w:rPr>
            </w:pPr>
          </w:p>
        </w:tc>
        <w:tc>
          <w:tcPr>
            <w:tcW w:w="992" w:type="dxa"/>
            <w:vAlign w:val="center"/>
          </w:tcPr>
          <w:p>
            <w:pPr>
              <w:spacing w:line="700" w:lineRule="exact"/>
              <w:jc w:val="center"/>
              <w:rPr>
                <w:rFonts w:ascii="宋体" w:hAnsi="宋体" w:eastAsia="宋体"/>
                <w:b/>
              </w:rPr>
            </w:pPr>
            <w:r>
              <w:rPr>
                <w:rFonts w:hint="eastAsia" w:ascii="宋体" w:hAnsi="宋体" w:eastAsia="宋体" w:cs="宋体"/>
                <w:b/>
              </w:rPr>
              <w:t>合计</w:t>
            </w:r>
          </w:p>
        </w:tc>
        <w:tc>
          <w:tcPr>
            <w:tcW w:w="1134" w:type="dxa"/>
            <w:vAlign w:val="center"/>
          </w:tcPr>
          <w:p>
            <w:pPr>
              <w:spacing w:line="700" w:lineRule="exact"/>
              <w:jc w:val="center"/>
              <w:rPr>
                <w:rFonts w:ascii="宋体" w:hAnsi="宋体" w:eastAsia="宋体"/>
                <w:b/>
              </w:rPr>
            </w:pPr>
            <w:r>
              <w:rPr>
                <w:rFonts w:hint="eastAsia" w:ascii="宋体" w:hAnsi="宋体" w:eastAsia="宋体" w:cs="宋体"/>
                <w:b/>
              </w:rPr>
              <w:t>一般公共预算拨款</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基金预算拨款</w:t>
            </w:r>
          </w:p>
        </w:tc>
        <w:tc>
          <w:tcPr>
            <w:tcW w:w="850" w:type="dxa"/>
            <w:vAlign w:val="center"/>
          </w:tcPr>
          <w:p>
            <w:pPr>
              <w:spacing w:line="700" w:lineRule="exact"/>
              <w:jc w:val="center"/>
              <w:rPr>
                <w:rFonts w:ascii="宋体" w:hAnsi="宋体" w:eastAsia="宋体"/>
                <w:b/>
              </w:rPr>
            </w:pPr>
            <w:r>
              <w:rPr>
                <w:rFonts w:hint="eastAsia" w:ascii="宋体" w:hAnsi="宋体" w:eastAsia="宋体" w:cs="宋体"/>
                <w:b/>
              </w:rPr>
              <w:t>财政专户核拨</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其他来源收入</w:t>
            </w:r>
          </w:p>
        </w:tc>
        <w:tc>
          <w:tcPr>
            <w:tcW w:w="850" w:type="dxa"/>
            <w:vMerge w:val="continue"/>
            <w:vAlign w:val="center"/>
          </w:tcPr>
          <w:p>
            <w:pPr>
              <w:spacing w:line="700" w:lineRule="exact"/>
              <w:jc w:val="lef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宋体" w:hAnsi="宋体" w:eastAsia="宋体"/>
                <w:b/>
              </w:rPr>
            </w:pPr>
          </w:p>
        </w:tc>
        <w:tc>
          <w:tcPr>
            <w:tcW w:w="764" w:type="dxa"/>
            <w:vAlign w:val="center"/>
          </w:tcPr>
          <w:p>
            <w:pPr>
              <w:spacing w:line="700" w:lineRule="exact"/>
              <w:jc w:val="right"/>
              <w:rPr>
                <w:rFonts w:ascii="宋体" w:hAnsi="宋体" w:eastAsia="宋体"/>
                <w:b/>
              </w:rPr>
            </w:pPr>
          </w:p>
        </w:tc>
        <w:tc>
          <w:tcPr>
            <w:tcW w:w="1134" w:type="dxa"/>
            <w:vAlign w:val="center"/>
          </w:tcPr>
          <w:p>
            <w:pPr>
              <w:spacing w:line="700" w:lineRule="exact"/>
              <w:jc w:val="left"/>
              <w:rPr>
                <w:rFonts w:ascii="宋体" w:hAnsi="宋体" w:eastAsia="宋体"/>
                <w:b/>
              </w:rPr>
            </w:pPr>
          </w:p>
        </w:tc>
        <w:tc>
          <w:tcPr>
            <w:tcW w:w="1134" w:type="dxa"/>
            <w:vAlign w:val="center"/>
          </w:tcPr>
          <w:p>
            <w:pPr>
              <w:spacing w:line="700" w:lineRule="exact"/>
              <w:jc w:val="left"/>
              <w:rPr>
                <w:rFonts w:ascii="宋体" w:hAnsi="宋体" w:eastAsia="宋体"/>
                <w:b/>
              </w:rPr>
            </w:pPr>
          </w:p>
        </w:tc>
        <w:tc>
          <w:tcPr>
            <w:tcW w:w="992" w:type="dxa"/>
            <w:vAlign w:val="center"/>
          </w:tcPr>
          <w:p>
            <w:pPr>
              <w:spacing w:line="700" w:lineRule="exact"/>
              <w:jc w:val="lef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34" w:type="dxa"/>
            <w:vAlign w:val="center"/>
          </w:tcPr>
          <w:p>
            <w:pPr>
              <w:rPr>
                <w:rFonts w:ascii="宋体" w:hAnsi="宋体" w:eastAsia="宋体"/>
              </w:rPr>
            </w:pPr>
          </w:p>
        </w:tc>
        <w:tc>
          <w:tcPr>
            <w:tcW w:w="709" w:type="dxa"/>
            <w:vAlign w:val="center"/>
          </w:tcPr>
          <w:p>
            <w:pPr>
              <w:spacing w:line="700" w:lineRule="exact"/>
              <w:jc w:val="right"/>
              <w:rPr>
                <w:rFonts w:ascii="宋体" w:hAnsi="宋体" w:eastAsia="宋体"/>
                <w:b/>
              </w:rPr>
            </w:pPr>
          </w:p>
        </w:tc>
        <w:tc>
          <w:tcPr>
            <w:tcW w:w="992" w:type="dxa"/>
            <w:vAlign w:val="center"/>
          </w:tcPr>
          <w:p>
            <w:pPr>
              <w:spacing w:line="700" w:lineRule="exact"/>
              <w:jc w:val="right"/>
              <w:rPr>
                <w:rFonts w:ascii="宋体" w:hAnsi="宋体" w:eastAsia="宋体"/>
                <w:b/>
              </w:rPr>
            </w:pPr>
          </w:p>
        </w:tc>
        <w:tc>
          <w:tcPr>
            <w:tcW w:w="1134"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宋体" w:hAnsi="宋体" w:eastAsia="宋体"/>
              </w:rPr>
            </w:pPr>
          </w:p>
        </w:tc>
        <w:tc>
          <w:tcPr>
            <w:tcW w:w="764" w:type="dxa"/>
            <w:vAlign w:val="center"/>
          </w:tcPr>
          <w:p>
            <w:pPr>
              <w:spacing w:line="700" w:lineRule="exact"/>
              <w:jc w:val="right"/>
              <w:rPr>
                <w:rFonts w:ascii="宋体" w:hAnsi="宋体" w:eastAsia="宋体"/>
              </w:rPr>
            </w:pPr>
          </w:p>
        </w:tc>
        <w:tc>
          <w:tcPr>
            <w:tcW w:w="1134" w:type="dxa"/>
            <w:vAlign w:val="center"/>
          </w:tcPr>
          <w:p>
            <w:pPr>
              <w:spacing w:line="700" w:lineRule="exact"/>
              <w:jc w:val="left"/>
              <w:rPr>
                <w:rFonts w:ascii="宋体" w:hAnsi="宋体" w:eastAsia="宋体"/>
              </w:rPr>
            </w:pPr>
          </w:p>
        </w:tc>
        <w:tc>
          <w:tcPr>
            <w:tcW w:w="1134" w:type="dxa"/>
            <w:vAlign w:val="center"/>
          </w:tcPr>
          <w:p>
            <w:pPr>
              <w:spacing w:line="700" w:lineRule="exact"/>
              <w:jc w:val="left"/>
              <w:rPr>
                <w:rFonts w:ascii="宋体" w:hAnsi="宋体" w:eastAsia="宋体"/>
              </w:rPr>
            </w:pPr>
          </w:p>
        </w:tc>
        <w:tc>
          <w:tcPr>
            <w:tcW w:w="992" w:type="dxa"/>
            <w:vAlign w:val="center"/>
          </w:tcPr>
          <w:p>
            <w:pPr>
              <w:spacing w:line="700" w:lineRule="exact"/>
              <w:jc w:val="left"/>
              <w:rPr>
                <w:rFonts w:ascii="宋体" w:hAnsi="宋体" w:eastAsia="宋体"/>
              </w:rPr>
            </w:pPr>
          </w:p>
        </w:tc>
        <w:tc>
          <w:tcPr>
            <w:tcW w:w="851" w:type="dxa"/>
            <w:vAlign w:val="center"/>
          </w:tcPr>
          <w:p>
            <w:pPr>
              <w:spacing w:line="700" w:lineRule="exact"/>
              <w:jc w:val="right"/>
              <w:rPr>
                <w:rFonts w:ascii="宋体" w:hAnsi="宋体" w:eastAsia="宋体"/>
              </w:rPr>
            </w:pPr>
          </w:p>
        </w:tc>
        <w:tc>
          <w:tcPr>
            <w:tcW w:w="834" w:type="dxa"/>
            <w:vAlign w:val="center"/>
          </w:tcPr>
          <w:p>
            <w:pPr>
              <w:spacing w:line="700" w:lineRule="exact"/>
              <w:jc w:val="right"/>
              <w:rPr>
                <w:rFonts w:ascii="宋体" w:hAnsi="宋体" w:eastAsia="宋体"/>
              </w:rPr>
            </w:pPr>
          </w:p>
        </w:tc>
        <w:tc>
          <w:tcPr>
            <w:tcW w:w="709" w:type="dxa"/>
            <w:vAlign w:val="center"/>
          </w:tcPr>
          <w:p>
            <w:pPr>
              <w:spacing w:line="700" w:lineRule="exact"/>
              <w:jc w:val="right"/>
              <w:rPr>
                <w:rFonts w:ascii="宋体" w:hAnsi="宋体" w:eastAsia="宋体"/>
              </w:rPr>
            </w:pPr>
          </w:p>
        </w:tc>
        <w:tc>
          <w:tcPr>
            <w:tcW w:w="992" w:type="dxa"/>
            <w:vAlign w:val="center"/>
          </w:tcPr>
          <w:p>
            <w:pPr>
              <w:spacing w:line="700" w:lineRule="exact"/>
              <w:jc w:val="right"/>
              <w:rPr>
                <w:rFonts w:ascii="宋体" w:hAnsi="宋体" w:eastAsia="宋体"/>
              </w:rPr>
            </w:pPr>
          </w:p>
        </w:tc>
        <w:tc>
          <w:tcPr>
            <w:tcW w:w="1134"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单位（事业）</w:t>
      </w:r>
      <w:r>
        <w:rPr>
          <w:rFonts w:hint="eastAsia" w:ascii="仿宋" w:hAnsi="仿宋" w:eastAsia="仿宋"/>
          <w:sz w:val="32"/>
          <w:szCs w:val="32"/>
        </w:rPr>
        <w:t>固定资产总金额为</w:t>
      </w:r>
      <w:r>
        <w:rPr>
          <w:rFonts w:hint="eastAsia" w:ascii="仿宋" w:hAnsi="仿宋" w:eastAsia="仿宋"/>
          <w:sz w:val="32"/>
          <w:szCs w:val="32"/>
          <w:lang w:val="en-US" w:eastAsia="zh-CN"/>
        </w:rPr>
        <w:t>0</w:t>
      </w:r>
      <w:r>
        <w:rPr>
          <w:rFonts w:hint="eastAsia" w:ascii="仿宋" w:hAnsi="仿宋" w:eastAsia="仿宋"/>
          <w:sz w:val="32"/>
          <w:szCs w:val="32"/>
        </w:rPr>
        <w:t>万元（详见下表）。我</w:t>
      </w:r>
      <w:r>
        <w:rPr>
          <w:rFonts w:hint="eastAsia" w:ascii="仿宋" w:hAnsi="仿宋" w:eastAsia="仿宋"/>
          <w:sz w:val="32"/>
          <w:szCs w:val="32"/>
          <w:lang w:eastAsia="zh-CN"/>
        </w:rPr>
        <w:t>单位（事业）</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bl>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单位（事业）</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单位（事业）</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GY4ZWE2Y2FiM2UyNGIyZDk2OWY3MzNiNzU4Y2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B964E0"/>
    <w:rsid w:val="02981071"/>
    <w:rsid w:val="064B4232"/>
    <w:rsid w:val="11671EF6"/>
    <w:rsid w:val="13940E24"/>
    <w:rsid w:val="188520B4"/>
    <w:rsid w:val="1E310498"/>
    <w:rsid w:val="1E661EE2"/>
    <w:rsid w:val="1EC708B5"/>
    <w:rsid w:val="202B20DE"/>
    <w:rsid w:val="20586F09"/>
    <w:rsid w:val="21823CC4"/>
    <w:rsid w:val="25820CA6"/>
    <w:rsid w:val="28EA0A82"/>
    <w:rsid w:val="2D954947"/>
    <w:rsid w:val="353334A3"/>
    <w:rsid w:val="4D5819A6"/>
    <w:rsid w:val="51BF2E63"/>
    <w:rsid w:val="525E7AB6"/>
    <w:rsid w:val="54456727"/>
    <w:rsid w:val="54C80C07"/>
    <w:rsid w:val="5DDC40BE"/>
    <w:rsid w:val="5FC2542E"/>
    <w:rsid w:val="66AB0E20"/>
    <w:rsid w:val="6A431797"/>
    <w:rsid w:val="6A676D59"/>
    <w:rsid w:val="6CFC2C99"/>
    <w:rsid w:val="6F005288"/>
    <w:rsid w:val="6F060376"/>
    <w:rsid w:val="72D65F6E"/>
    <w:rsid w:val="74A07015"/>
    <w:rsid w:val="75A535E9"/>
    <w:rsid w:val="776104DE"/>
    <w:rsid w:val="7BDF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0</TotalTime>
  <ScaleCrop>false</ScaleCrop>
  <LinksUpToDate>false</LinksUpToDate>
  <CharactersWithSpaces>1833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Freedom</cp:lastModifiedBy>
  <cp:lastPrinted>2021-04-14T02:06:00Z</cp:lastPrinted>
  <dcterms:modified xsi:type="dcterms:W3CDTF">2024-03-14T06:59:23Z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93823FFB8F004B888FF4171CCFF148B3_13</vt:lpwstr>
  </property>
</Properties>
</file>