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保定市徐水区义联庄乡人民政府</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根据《保定市徐水区义联庄乡人民政府职能配置、内设机构和人员编制规定》，</w:t>
      </w:r>
      <w:r>
        <w:rPr>
          <w:rFonts w:ascii="仿宋" w:hAnsi="仿宋" w:eastAsia="仿宋"/>
          <w:sz w:val="32"/>
          <w:szCs w:val="32"/>
        </w:rPr>
        <w:t xml:space="preserve"> 保定市徐水区义联庄乡人民政府的主要职责是：</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一）负责党委、人大、政府交办的各项日常工作和纪检监察、组织、宣传、统一战线、人事编制、工青妇及各部门、各方面的综合协调工作。负责民政优抚、扶贫开发、民族宗教、劳动和社会保障、科教文卫等工作。负责落实人口计划，开展和推动人口和计划生育各项工作，贯彻实施计划生育条例和法规。负责本乡农村社会化发展；负责乡村基础设施、交通等规划、建设、管理工作，负责国土资源、环境保护、安全生产等工作。协调与社会事务相关的其他工作。督促检查有关工作的落实。指导计划生育服务中心工作。</w:t>
      </w:r>
      <w:r>
        <w:rPr>
          <w:rFonts w:ascii="仿宋" w:hAnsi="仿宋" w:eastAsia="仿宋"/>
          <w:sz w:val="32"/>
          <w:szCs w:val="32"/>
        </w:rPr>
        <w:tab/>
      </w:r>
      <w:r>
        <w:rPr>
          <w:rFonts w:ascii="仿宋" w:hAnsi="仿宋" w:eastAsia="仿宋"/>
          <w:sz w:val="32"/>
          <w:szCs w:val="32"/>
        </w:rPr>
        <w:t>（二）负责谋划发展思路、创优发展环境、推进农业产业化、促进农民增收、抓好项目建设、服务辖区企业、 加强基础设施建设、国有资产管理、搞好统计工作，协调与经济发展相关的其他工作。负责本级财政预决算、收支和村级财务监督检查等工作。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（三）负责来信来访、协调法庭、公安等部门工作，负责辖区内社会治安综合治理和法制宣传等工作，调解民事纠纷，维护社会稳定。</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（四）负责计划生育技术服务；负责生育指导和避孕咨询；负责婚前咨询和新婚保健；负责计划生育技术人员与婚前保健服务人员培训；负责计划生育科学研究等。</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五）开展科技宣传等各种形式的文体活动，推动健康向上的农村文化，发展广播电影电视事业，进一步丰富农村业余文化生活，建设好农村社会主义文化阵地，在建设农村物质文明的同时、建设好农村精神文明。</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6"/>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2692" w:type="dxa"/>
            <w:tcBorders>
              <w:bottom w:val="single" w:color="000000"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单位名称</w:t>
            </w:r>
          </w:p>
        </w:tc>
        <w:tc>
          <w:tcPr>
            <w:tcW w:w="1701" w:type="dxa"/>
            <w:tcBorders>
              <w:bottom w:val="single" w:color="000000"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单位性质</w:t>
            </w:r>
          </w:p>
        </w:tc>
        <w:tc>
          <w:tcPr>
            <w:tcW w:w="1418" w:type="dxa"/>
            <w:tcBorders>
              <w:bottom w:val="single" w:color="000000"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单位规格</w:t>
            </w:r>
          </w:p>
        </w:tc>
        <w:tc>
          <w:tcPr>
            <w:tcW w:w="3260" w:type="dxa"/>
            <w:tcBorders>
              <w:bottom w:val="single" w:color="000000"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bCs/>
                <w:sz w:val="32"/>
                <w:szCs w:val="32"/>
              </w:rPr>
            </w:pPr>
            <w:r>
              <w:rPr>
                <w:rFonts w:hint="eastAsia" w:ascii="仿宋" w:hAnsi="仿宋" w:eastAsia="仿宋"/>
                <w:bCs/>
                <w:sz w:val="32"/>
                <w:szCs w:val="32"/>
              </w:rPr>
              <w:t>1</w:t>
            </w:r>
          </w:p>
        </w:tc>
        <w:tc>
          <w:tcPr>
            <w:tcW w:w="2692" w:type="dxa"/>
            <w:tcBorders>
              <w:bottom w:val="single" w:color="auto" w:sz="4" w:space="0"/>
            </w:tcBorders>
            <w:vAlign w:val="center"/>
          </w:tcPr>
          <w:p>
            <w:pPr>
              <w:jc w:val="center"/>
              <w:rPr>
                <w:rFonts w:ascii="仿宋" w:hAnsi="仿宋" w:eastAsia="仿宋"/>
                <w:bCs/>
                <w:sz w:val="32"/>
                <w:szCs w:val="32"/>
              </w:rPr>
            </w:pPr>
            <w:r>
              <w:rPr>
                <w:rFonts w:hint="eastAsia" w:ascii="仿宋" w:hAnsi="仿宋" w:eastAsia="仿宋"/>
                <w:bCs/>
                <w:sz w:val="32"/>
                <w:szCs w:val="32"/>
              </w:rPr>
              <w:t>徐水区义联庄乡（行政）</w:t>
            </w:r>
          </w:p>
        </w:tc>
        <w:tc>
          <w:tcPr>
            <w:tcW w:w="1701" w:type="dxa"/>
            <w:vAlign w:val="center"/>
          </w:tcPr>
          <w:p>
            <w:pPr>
              <w:jc w:val="center"/>
              <w:rPr>
                <w:rFonts w:ascii="仿宋" w:hAnsi="仿宋" w:eastAsia="仿宋"/>
                <w:bCs/>
                <w:sz w:val="32"/>
                <w:szCs w:val="32"/>
              </w:rPr>
            </w:pPr>
            <w:r>
              <w:rPr>
                <w:rFonts w:hint="eastAsia" w:ascii="仿宋" w:hAnsi="仿宋" w:eastAsia="仿宋"/>
                <w:bCs/>
                <w:sz w:val="32"/>
                <w:szCs w:val="32"/>
              </w:rPr>
              <w:t>行政</w:t>
            </w:r>
          </w:p>
        </w:tc>
        <w:tc>
          <w:tcPr>
            <w:tcW w:w="1418" w:type="dxa"/>
            <w:vAlign w:val="center"/>
          </w:tcPr>
          <w:p>
            <w:pPr>
              <w:jc w:val="center"/>
              <w:rPr>
                <w:rFonts w:ascii="仿宋" w:hAnsi="仿宋" w:eastAsia="仿宋"/>
                <w:bCs/>
                <w:sz w:val="32"/>
                <w:szCs w:val="32"/>
              </w:rPr>
            </w:pPr>
            <w:r>
              <w:rPr>
                <w:rFonts w:hint="eastAsia" w:ascii="仿宋" w:hAnsi="仿宋" w:eastAsia="仿宋"/>
                <w:bCs/>
                <w:sz w:val="32"/>
                <w:szCs w:val="32"/>
              </w:rPr>
              <w:t>正科级</w:t>
            </w:r>
          </w:p>
        </w:tc>
        <w:tc>
          <w:tcPr>
            <w:tcW w:w="3260" w:type="dxa"/>
            <w:vAlign w:val="center"/>
          </w:tcPr>
          <w:p>
            <w:pPr>
              <w:jc w:val="center"/>
              <w:rPr>
                <w:rFonts w:ascii="仿宋" w:hAnsi="仿宋" w:eastAsia="仿宋"/>
                <w:bCs/>
                <w:sz w:val="32"/>
                <w:szCs w:val="32"/>
              </w:rPr>
            </w:pPr>
            <w:r>
              <w:rPr>
                <w:rFonts w:hint="eastAsia" w:ascii="仿宋" w:hAnsi="仿宋" w:eastAsia="仿宋"/>
                <w:bCs/>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bCs/>
                <w:sz w:val="32"/>
                <w:szCs w:val="32"/>
              </w:rPr>
            </w:pPr>
            <w:r>
              <w:rPr>
                <w:rFonts w:hint="eastAsia" w:ascii="仿宋" w:hAnsi="仿宋" w:eastAsia="仿宋"/>
                <w:bCs/>
                <w:sz w:val="32"/>
                <w:szCs w:val="32"/>
              </w:rPr>
              <w:t>2</w:t>
            </w:r>
          </w:p>
        </w:tc>
        <w:tc>
          <w:tcPr>
            <w:tcW w:w="2692" w:type="dxa"/>
            <w:tcBorders>
              <w:top w:val="single" w:color="auto" w:sz="4" w:space="0"/>
              <w:bottom w:val="single" w:color="auto" w:sz="4" w:space="0"/>
            </w:tcBorders>
            <w:vAlign w:val="center"/>
          </w:tcPr>
          <w:p>
            <w:pPr>
              <w:jc w:val="center"/>
              <w:rPr>
                <w:rFonts w:ascii="仿宋" w:hAnsi="仿宋" w:eastAsia="仿宋"/>
                <w:bCs/>
                <w:sz w:val="32"/>
                <w:szCs w:val="32"/>
              </w:rPr>
            </w:pPr>
            <w:r>
              <w:rPr>
                <w:rFonts w:hint="eastAsia" w:ascii="仿宋" w:hAnsi="仿宋" w:eastAsia="仿宋"/>
                <w:bCs/>
                <w:sz w:val="32"/>
                <w:szCs w:val="32"/>
              </w:rPr>
              <w:t>徐水区义联庄乡（事业）</w:t>
            </w:r>
          </w:p>
        </w:tc>
        <w:tc>
          <w:tcPr>
            <w:tcW w:w="1701" w:type="dxa"/>
            <w:vAlign w:val="center"/>
          </w:tcPr>
          <w:p>
            <w:pPr>
              <w:jc w:val="center"/>
              <w:rPr>
                <w:rFonts w:ascii="仿宋" w:hAnsi="仿宋" w:eastAsia="仿宋"/>
                <w:bCs/>
                <w:sz w:val="32"/>
                <w:szCs w:val="32"/>
              </w:rPr>
            </w:pPr>
            <w:r>
              <w:rPr>
                <w:rFonts w:hint="eastAsia" w:ascii="仿宋" w:hAnsi="仿宋" w:eastAsia="仿宋"/>
                <w:bCs/>
                <w:sz w:val="32"/>
                <w:szCs w:val="32"/>
              </w:rPr>
              <w:t>事业</w:t>
            </w:r>
          </w:p>
        </w:tc>
        <w:tc>
          <w:tcPr>
            <w:tcW w:w="1418" w:type="dxa"/>
            <w:vAlign w:val="center"/>
          </w:tcPr>
          <w:p>
            <w:pPr>
              <w:jc w:val="center"/>
              <w:rPr>
                <w:rFonts w:ascii="仿宋" w:hAnsi="仿宋" w:eastAsia="仿宋"/>
                <w:bCs/>
                <w:sz w:val="32"/>
                <w:szCs w:val="32"/>
              </w:rPr>
            </w:pPr>
            <w:r>
              <w:rPr>
                <w:rFonts w:hint="eastAsia" w:ascii="仿宋" w:hAnsi="仿宋" w:eastAsia="仿宋"/>
                <w:bCs/>
                <w:sz w:val="32"/>
                <w:szCs w:val="32"/>
              </w:rPr>
              <w:t>正科级</w:t>
            </w:r>
          </w:p>
        </w:tc>
        <w:tc>
          <w:tcPr>
            <w:tcW w:w="3260" w:type="dxa"/>
            <w:vAlign w:val="center"/>
          </w:tcPr>
          <w:p>
            <w:pPr>
              <w:jc w:val="center"/>
              <w:rPr>
                <w:rFonts w:ascii="仿宋" w:hAnsi="仿宋" w:eastAsia="仿宋"/>
                <w:bCs/>
                <w:sz w:val="32"/>
                <w:szCs w:val="32"/>
              </w:rPr>
            </w:pPr>
            <w:r>
              <w:rPr>
                <w:rFonts w:hint="eastAsia" w:ascii="仿宋" w:hAnsi="仿宋" w:eastAsia="仿宋"/>
                <w:bCs/>
                <w:sz w:val="32"/>
                <w:szCs w:val="32"/>
              </w:rPr>
              <w:t>财政性资金基本保证</w:t>
            </w:r>
          </w:p>
        </w:tc>
      </w:tr>
    </w:tbl>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w:t>
      </w:r>
      <w:r>
        <w:rPr>
          <w:rFonts w:hint="eastAsia" w:ascii="仿宋" w:hAnsi="仿宋" w:eastAsia="仿宋"/>
          <w:sz w:val="32"/>
          <w:szCs w:val="32"/>
        </w:rPr>
        <w:t>1050.84</w:t>
      </w:r>
      <w:r>
        <w:rPr>
          <w:rFonts w:ascii="仿宋" w:hAnsi="仿宋" w:eastAsia="仿宋"/>
          <w:sz w:val="32"/>
          <w:szCs w:val="32"/>
        </w:rPr>
        <w:t>万元,其中：一般公共预算收入</w:t>
      </w:r>
      <w:r>
        <w:rPr>
          <w:rFonts w:hint="eastAsia" w:ascii="仿宋" w:hAnsi="仿宋" w:eastAsia="仿宋"/>
          <w:sz w:val="32"/>
          <w:szCs w:val="32"/>
        </w:rPr>
        <w:t>901.03</w:t>
      </w:r>
      <w:r>
        <w:rPr>
          <w:rFonts w:ascii="仿宋" w:hAnsi="仿宋" w:eastAsia="仿宋"/>
          <w:sz w:val="32"/>
          <w:szCs w:val="32"/>
        </w:rPr>
        <w:t>万元，基金预算收入</w:t>
      </w:r>
      <w:r>
        <w:rPr>
          <w:rFonts w:hint="eastAsia" w:ascii="仿宋" w:hAnsi="仿宋" w:eastAsia="仿宋"/>
          <w:sz w:val="32"/>
          <w:szCs w:val="32"/>
        </w:rPr>
        <w:t>149.81</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w:t>
      </w:r>
      <w:r>
        <w:rPr>
          <w:rFonts w:hint="eastAsia" w:ascii="仿宋" w:hAnsi="仿宋" w:eastAsia="仿宋"/>
          <w:sz w:val="32"/>
          <w:szCs w:val="32"/>
        </w:rPr>
        <w:t>1050.84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基本支出703.59万元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629.13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74.46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347.25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347.25</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本年度预算收支安排1050.84万元，较上年增加97.2</w:t>
      </w:r>
      <w:r>
        <w:rPr>
          <w:rFonts w:ascii="仿宋" w:hAnsi="仿宋" w:eastAsia="仿宋"/>
          <w:sz w:val="32"/>
          <w:szCs w:val="32"/>
        </w:rPr>
        <w:t>万元。其中:基本支出减少</w:t>
      </w:r>
      <w:r>
        <w:rPr>
          <w:rFonts w:hint="eastAsia" w:ascii="仿宋" w:hAnsi="仿宋" w:eastAsia="仿宋"/>
          <w:sz w:val="32"/>
          <w:szCs w:val="32"/>
        </w:rPr>
        <w:t>43.75</w:t>
      </w:r>
      <w:r>
        <w:rPr>
          <w:rFonts w:ascii="仿宋" w:hAnsi="仿宋" w:eastAsia="仿宋"/>
          <w:sz w:val="32"/>
          <w:szCs w:val="32"/>
        </w:rPr>
        <w:t>万元，主要原因是</w:t>
      </w:r>
      <w:r>
        <w:rPr>
          <w:rFonts w:hint="eastAsia" w:ascii="仿宋" w:hAnsi="仿宋" w:eastAsia="仿宋"/>
          <w:sz w:val="32"/>
          <w:szCs w:val="32"/>
        </w:rPr>
        <w:t>人员经费养老保险费率降低</w:t>
      </w:r>
      <w:r>
        <w:rPr>
          <w:rFonts w:ascii="仿宋" w:hAnsi="仿宋" w:eastAsia="仿宋"/>
          <w:sz w:val="32"/>
          <w:szCs w:val="32"/>
        </w:rPr>
        <w:t>；项目支出增加</w:t>
      </w:r>
      <w:r>
        <w:rPr>
          <w:rFonts w:hint="eastAsia" w:ascii="仿宋" w:hAnsi="仿宋" w:eastAsia="仿宋"/>
          <w:sz w:val="32"/>
          <w:szCs w:val="32"/>
        </w:rPr>
        <w:t>140.95</w:t>
      </w:r>
      <w:r>
        <w:rPr>
          <w:rFonts w:ascii="仿宋" w:hAnsi="仿宋" w:eastAsia="仿宋"/>
          <w:sz w:val="32"/>
          <w:szCs w:val="32"/>
        </w:rPr>
        <w:t>万元，主要原因是</w:t>
      </w:r>
      <w:r>
        <w:rPr>
          <w:rFonts w:hint="eastAsia" w:ascii="仿宋" w:hAnsi="仿宋" w:eastAsia="仿宋"/>
          <w:sz w:val="32"/>
          <w:szCs w:val="32"/>
        </w:rPr>
        <w:t>增加荣乌高速廊道绿化租金项目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w:t>
      </w:r>
      <w:r>
        <w:rPr>
          <w:rFonts w:hint="eastAsia" w:ascii="仿宋" w:hAnsi="仿宋" w:eastAsia="仿宋"/>
          <w:sz w:val="32"/>
          <w:szCs w:val="32"/>
        </w:rPr>
        <w:t>74. 46</w:t>
      </w:r>
      <w:r>
        <w:rPr>
          <w:rFonts w:ascii="仿宋" w:hAnsi="仿宋" w:eastAsia="仿宋"/>
          <w:sz w:val="32"/>
          <w:szCs w:val="32"/>
        </w:rPr>
        <w:t>万元，其中办公费</w:t>
      </w:r>
      <w:r>
        <w:rPr>
          <w:rFonts w:hint="eastAsia" w:ascii="仿宋" w:hAnsi="仿宋" w:eastAsia="仿宋"/>
          <w:sz w:val="32"/>
          <w:szCs w:val="32"/>
        </w:rPr>
        <w:t>26.46</w:t>
      </w:r>
      <w:r>
        <w:rPr>
          <w:rFonts w:ascii="仿宋" w:hAnsi="仿宋" w:eastAsia="仿宋"/>
          <w:sz w:val="32"/>
          <w:szCs w:val="32"/>
        </w:rPr>
        <w:t>万元，邮电费</w:t>
      </w:r>
      <w:r>
        <w:rPr>
          <w:rFonts w:hint="eastAsia" w:ascii="仿宋" w:hAnsi="仿宋" w:eastAsia="仿宋"/>
          <w:sz w:val="32"/>
          <w:szCs w:val="32"/>
        </w:rPr>
        <w:t>9.9</w:t>
      </w:r>
      <w:r>
        <w:rPr>
          <w:rFonts w:ascii="仿宋" w:hAnsi="仿宋" w:eastAsia="仿宋"/>
          <w:sz w:val="32"/>
          <w:szCs w:val="32"/>
        </w:rPr>
        <w:t>万元，工会经费、福利费</w:t>
      </w:r>
      <w:r>
        <w:rPr>
          <w:rFonts w:hint="eastAsia" w:ascii="仿宋" w:hAnsi="仿宋" w:eastAsia="仿宋"/>
          <w:sz w:val="32"/>
          <w:szCs w:val="32"/>
        </w:rPr>
        <w:t>12.3</w:t>
      </w:r>
      <w:r>
        <w:rPr>
          <w:rFonts w:ascii="仿宋" w:hAnsi="仿宋" w:eastAsia="仿宋"/>
          <w:sz w:val="32"/>
          <w:szCs w:val="32"/>
        </w:rPr>
        <w:t>万元，公务用车运行维护费</w:t>
      </w:r>
      <w:r>
        <w:rPr>
          <w:rFonts w:hint="eastAsia" w:ascii="仿宋" w:hAnsi="仿宋" w:eastAsia="仿宋"/>
          <w:sz w:val="32"/>
          <w:szCs w:val="32"/>
        </w:rPr>
        <w:t>12</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13.8</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6"/>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6"/>
              <w:tblW w:w="0" w:type="auto"/>
              <w:jc w:val="center"/>
              <w:tblLayout w:type="autofit"/>
              <w:tblCellMar>
                <w:top w:w="0" w:type="dxa"/>
                <w:left w:w="108" w:type="dxa"/>
                <w:bottom w:w="0" w:type="dxa"/>
                <w:right w:w="108" w:type="dxa"/>
              </w:tblCellMar>
            </w:tblPr>
            <w:tblGrid>
              <w:gridCol w:w="2515"/>
              <w:gridCol w:w="1134"/>
              <w:gridCol w:w="120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515" w:type="dxa"/>
                  <w:tcBorders>
                    <w:top w:val="nil"/>
                    <w:left w:val="nil"/>
                    <w:bottom w:val="nil"/>
                    <w:right w:val="nil"/>
                  </w:tcBorders>
                  <w:vAlign w:val="center"/>
                </w:tcPr>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tc>
              <w:tc>
                <w:tcPr>
                  <w:tcW w:w="1134" w:type="dxa"/>
                  <w:tcBorders>
                    <w:top w:val="nil"/>
                    <w:left w:val="nil"/>
                    <w:bottom w:val="nil"/>
                    <w:right w:val="nil"/>
                  </w:tcBorders>
                  <w:vAlign w:val="center"/>
                </w:tcPr>
                <w:p>
                  <w:pPr>
                    <w:widowControl/>
                    <w:jc w:val="left"/>
                    <w:rPr>
                      <w:rFonts w:ascii="宋体" w:hAnsi="宋体" w:cs="宋体"/>
                      <w:kern w:val="0"/>
                      <w:sz w:val="24"/>
                      <w:szCs w:val="24"/>
                    </w:rPr>
                  </w:pPr>
                </w:p>
              </w:tc>
              <w:tc>
                <w:tcPr>
                  <w:tcW w:w="1208" w:type="dxa"/>
                  <w:tcBorders>
                    <w:top w:val="nil"/>
                    <w:left w:val="nil"/>
                    <w:bottom w:val="nil"/>
                    <w:right w:val="nil"/>
                  </w:tcBorders>
                  <w:vAlign w:val="center"/>
                </w:tcPr>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p>
                <w:p>
                  <w:pPr>
                    <w:widowControl/>
                    <w:jc w:val="right"/>
                    <w:rPr>
                      <w:rFonts w:ascii="宋体" w:hAnsi="宋体" w:cs="宋体"/>
                      <w:kern w:val="0"/>
                      <w:sz w:val="24"/>
                      <w:szCs w:val="24"/>
                    </w:rPr>
                  </w:pPr>
                </w:p>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项目名称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kern w:val="0"/>
                      <w:sz w:val="28"/>
                      <w:szCs w:val="28"/>
                    </w:rPr>
                  </w:pPr>
                  <w:r>
                    <w:rPr>
                      <w:rFonts w:ascii="仿宋" w:hAnsi="仿宋" w:eastAsia="仿宋" w:cs="宋体"/>
                      <w:b/>
                      <w:kern w:val="0"/>
                      <w:sz w:val="28"/>
                      <w:szCs w:val="28"/>
                    </w:rPr>
                    <w:t>2019</w:t>
                  </w:r>
                  <w:r>
                    <w:rPr>
                      <w:rFonts w:hint="eastAsia" w:ascii="仿宋" w:hAnsi="仿宋" w:eastAsia="仿宋" w:cs="宋体"/>
                      <w:b/>
                      <w:kern w:val="0"/>
                      <w:sz w:val="28"/>
                      <w:szCs w:val="28"/>
                    </w:rPr>
                    <w:t>年度预算</w:t>
                  </w:r>
                </w:p>
              </w:tc>
              <w:tc>
                <w:tcPr>
                  <w:tcW w:w="120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kern w:val="0"/>
                      <w:sz w:val="28"/>
                      <w:szCs w:val="28"/>
                    </w:rPr>
                  </w:pPr>
                  <w:r>
                    <w:rPr>
                      <w:rFonts w:ascii="仿宋" w:hAnsi="仿宋" w:eastAsia="仿宋" w:cs="宋体"/>
                      <w:b/>
                      <w:kern w:val="0"/>
                      <w:sz w:val="28"/>
                      <w:szCs w:val="28"/>
                    </w:rPr>
                    <w:t>2020</w:t>
                  </w:r>
                  <w:r>
                    <w:rPr>
                      <w:rFonts w:hint="eastAsia" w:ascii="仿宋" w:hAnsi="仿宋" w:eastAsia="仿宋" w:cs="宋体"/>
                      <w:b/>
                      <w:kern w:val="0"/>
                      <w:sz w:val="28"/>
                      <w:szCs w:val="28"/>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变化原因</w:t>
                  </w:r>
                </w:p>
              </w:tc>
            </w:tr>
            <w:tr>
              <w:tblPrEx>
                <w:tblCellMar>
                  <w:top w:w="0" w:type="dxa"/>
                  <w:left w:w="108" w:type="dxa"/>
                  <w:bottom w:w="0" w:type="dxa"/>
                  <w:right w:w="108" w:type="dxa"/>
                </w:tblCellMar>
              </w:tblPrEx>
              <w:trPr>
                <w:trHeight w:val="285" w:hRule="atLeast"/>
                <w:jc w:val="center"/>
              </w:trPr>
              <w:tc>
                <w:tcPr>
                  <w:tcW w:w="251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因公出国经费</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12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83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239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无增减变化</w:t>
                  </w:r>
                </w:p>
              </w:tc>
            </w:tr>
            <w:tr>
              <w:tblPrEx>
                <w:tblCellMar>
                  <w:top w:w="0" w:type="dxa"/>
                  <w:left w:w="108" w:type="dxa"/>
                  <w:bottom w:w="0" w:type="dxa"/>
                  <w:right w:w="108" w:type="dxa"/>
                </w:tblCellMar>
              </w:tblPrEx>
              <w:trPr>
                <w:trHeight w:val="431" w:hRule="atLeast"/>
                <w:jc w:val="center"/>
              </w:trPr>
              <w:tc>
                <w:tcPr>
                  <w:tcW w:w="251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公务用车购置经费</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12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83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239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无增减变化</w:t>
                  </w:r>
                </w:p>
              </w:tc>
            </w:tr>
            <w:tr>
              <w:tblPrEx>
                <w:tblCellMar>
                  <w:top w:w="0" w:type="dxa"/>
                  <w:left w:w="108" w:type="dxa"/>
                  <w:bottom w:w="0" w:type="dxa"/>
                  <w:right w:w="108" w:type="dxa"/>
                </w:tblCellMar>
              </w:tblPrEx>
              <w:trPr>
                <w:trHeight w:val="535" w:hRule="atLeast"/>
                <w:jc w:val="center"/>
              </w:trPr>
              <w:tc>
                <w:tcPr>
                  <w:tcW w:w="251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公务用车运行经费</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12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83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239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无增减变化</w:t>
                  </w:r>
                </w:p>
              </w:tc>
            </w:tr>
            <w:tr>
              <w:tblPrEx>
                <w:tblCellMar>
                  <w:top w:w="0" w:type="dxa"/>
                  <w:left w:w="108" w:type="dxa"/>
                  <w:bottom w:w="0" w:type="dxa"/>
                  <w:right w:w="108" w:type="dxa"/>
                </w:tblCellMar>
              </w:tblPrEx>
              <w:trPr>
                <w:trHeight w:val="554" w:hRule="atLeast"/>
                <w:jc w:val="center"/>
              </w:trPr>
              <w:tc>
                <w:tcPr>
                  <w:tcW w:w="251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公务接待费支出</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2.86</w:t>
                  </w:r>
                </w:p>
              </w:tc>
              <w:tc>
                <w:tcPr>
                  <w:tcW w:w="12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2.86</w:t>
                  </w:r>
                </w:p>
              </w:tc>
              <w:tc>
                <w:tcPr>
                  <w:tcW w:w="83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2397" w:type="dxa"/>
                  <w:tcBorders>
                    <w:top w:val="nil"/>
                    <w:left w:val="nil"/>
                    <w:bottom w:val="single" w:color="auto" w:sz="4" w:space="0"/>
                    <w:right w:val="single" w:color="auto" w:sz="4" w:space="0"/>
                  </w:tcBorders>
                </w:tcPr>
                <w:p>
                  <w:pPr>
                    <w:rPr>
                      <w:rFonts w:ascii="仿宋" w:hAnsi="仿宋" w:eastAsia="仿宋"/>
                      <w:sz w:val="28"/>
                      <w:szCs w:val="28"/>
                    </w:rPr>
                  </w:pPr>
                  <w:r>
                    <w:rPr>
                      <w:rFonts w:hint="eastAsia" w:ascii="仿宋" w:hAnsi="仿宋" w:eastAsia="仿宋" w:cs="宋体"/>
                      <w:kern w:val="0"/>
                      <w:sz w:val="28"/>
                      <w:szCs w:val="28"/>
                    </w:rPr>
                    <w:t>无增减变化</w:t>
                  </w:r>
                </w:p>
              </w:tc>
            </w:tr>
            <w:tr>
              <w:tblPrEx>
                <w:tblCellMar>
                  <w:top w:w="0" w:type="dxa"/>
                  <w:left w:w="108" w:type="dxa"/>
                  <w:bottom w:w="0" w:type="dxa"/>
                  <w:right w:w="108" w:type="dxa"/>
                </w:tblCellMar>
              </w:tblPrEx>
              <w:trPr>
                <w:trHeight w:val="447" w:hRule="atLeast"/>
                <w:jc w:val="center"/>
              </w:trPr>
              <w:tc>
                <w:tcPr>
                  <w:tcW w:w="251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合计</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14.86</w:t>
                  </w:r>
                </w:p>
              </w:tc>
              <w:tc>
                <w:tcPr>
                  <w:tcW w:w="12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14.86</w:t>
                  </w:r>
                </w:p>
              </w:tc>
              <w:tc>
                <w:tcPr>
                  <w:tcW w:w="83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2397" w:type="dxa"/>
                  <w:tcBorders>
                    <w:top w:val="nil"/>
                    <w:left w:val="nil"/>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cs="宋体"/>
                      <w:kern w:val="0"/>
                      <w:sz w:val="28"/>
                      <w:szCs w:val="28"/>
                    </w:rPr>
                    <w:t>无增减变化</w:t>
                  </w:r>
                </w:p>
              </w:tc>
            </w:tr>
            <w:tr>
              <w:tblPrEx>
                <w:tblCellMar>
                  <w:top w:w="0" w:type="dxa"/>
                  <w:left w:w="108" w:type="dxa"/>
                  <w:bottom w:w="0" w:type="dxa"/>
                  <w:right w:w="108" w:type="dxa"/>
                </w:tblCellMar>
              </w:tblPrEx>
              <w:trPr>
                <w:trHeight w:val="285" w:hRule="atLeast"/>
                <w:jc w:val="center"/>
              </w:trPr>
              <w:tc>
                <w:tcPr>
                  <w:tcW w:w="2515" w:type="dxa"/>
                  <w:tcBorders>
                    <w:top w:val="nil"/>
                    <w:left w:val="nil"/>
                    <w:bottom w:val="nil"/>
                    <w:right w:val="nil"/>
                  </w:tcBorders>
                  <w:vAlign w:val="center"/>
                </w:tcPr>
                <w:p>
                  <w:pPr>
                    <w:widowControl/>
                    <w:jc w:val="left"/>
                    <w:rPr>
                      <w:rFonts w:ascii="宋体" w:hAnsi="宋体" w:cs="宋体"/>
                      <w:kern w:val="0"/>
                      <w:sz w:val="24"/>
                      <w:szCs w:val="24"/>
                    </w:rPr>
                  </w:pPr>
                </w:p>
              </w:tc>
              <w:tc>
                <w:tcPr>
                  <w:tcW w:w="1134" w:type="dxa"/>
                  <w:tcBorders>
                    <w:top w:val="nil"/>
                    <w:left w:val="nil"/>
                    <w:bottom w:val="nil"/>
                    <w:right w:val="nil"/>
                  </w:tcBorders>
                  <w:vAlign w:val="center"/>
                </w:tcPr>
                <w:p>
                  <w:pPr>
                    <w:widowControl/>
                    <w:jc w:val="left"/>
                    <w:rPr>
                      <w:rFonts w:ascii="宋体" w:hAnsi="宋体" w:cs="宋体"/>
                      <w:kern w:val="0"/>
                      <w:sz w:val="24"/>
                      <w:szCs w:val="24"/>
                    </w:rPr>
                  </w:pPr>
                </w:p>
              </w:tc>
              <w:tc>
                <w:tcPr>
                  <w:tcW w:w="120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ind w:firstLine="640" w:firstLineChars="200"/>
        <w:jc w:val="left"/>
        <w:outlineLvl w:val="1"/>
        <w:rPr>
          <w:rFonts w:ascii="仿宋" w:hAnsi="仿宋" w:eastAsia="仿宋"/>
          <w:sz w:val="32"/>
          <w:szCs w:val="32"/>
        </w:rPr>
      </w:pPr>
      <w:r>
        <w:rPr>
          <w:rFonts w:hint="eastAsia" w:ascii="仿宋" w:hAnsi="仿宋" w:eastAsia="仿宋"/>
          <w:sz w:val="32"/>
          <w:szCs w:val="32"/>
        </w:rPr>
        <w:t>一、总体绩效目标</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TC </w:instrText>
      </w:r>
      <w:bookmarkStart w:id="0" w:name="_Toc31369634"/>
      <w:r>
        <w:rPr>
          <w:rFonts w:hint="eastAsia" w:ascii="仿宋" w:hAnsi="仿宋" w:eastAsia="仿宋"/>
          <w:sz w:val="32"/>
          <w:szCs w:val="32"/>
        </w:rPr>
        <w:instrText xml:space="preserve">总体绩效目标</w:instrText>
      </w:r>
      <w:bookmarkEnd w:id="0"/>
      <w:r>
        <w:rPr>
          <w:rFonts w:hint="eastAsia" w:ascii="仿宋" w:hAnsi="仿宋" w:eastAsia="仿宋"/>
          <w:sz w:val="32"/>
          <w:szCs w:val="32"/>
        </w:rPr>
        <w:instrText xml:space="preserve"> \f A \l 1</w:instrText>
      </w:r>
      <w:r>
        <w:rPr>
          <w:rFonts w:ascii="仿宋" w:hAnsi="仿宋" w:eastAsia="仿宋"/>
          <w:sz w:val="32"/>
          <w:szCs w:val="32"/>
        </w:rPr>
        <w:instrText xml:space="preserve">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紧紧围绕区委、区政府的重要部署，深入贯彻落实党的十九届四中全会精神和习近平新时代中国特色社会主义思想，全面提升党建工作，加强党风廉政建设；推进规模化农业生产, 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全力做好安大线建设的配合工作；扎实推进大气污染防治工作，统筹安排扬尘治理、</w:t>
      </w:r>
      <w:r>
        <w:rPr>
          <w:rFonts w:hint="eastAsia" w:ascii="仿宋" w:hAnsi="仿宋" w:eastAsia="仿宋"/>
          <w:sz w:val="32"/>
          <w:szCs w:val="32"/>
          <w:lang w:eastAsia="zh-CN"/>
        </w:rPr>
        <w:t>秸秆</w:t>
      </w:r>
      <w:r>
        <w:rPr>
          <w:rFonts w:ascii="仿宋" w:hAnsi="仿宋" w:eastAsia="仿宋"/>
          <w:sz w:val="32"/>
          <w:szCs w:val="32"/>
        </w:rP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pPr>
        <w:spacing w:line="500" w:lineRule="exact"/>
        <w:ind w:firstLine="640" w:firstLineChars="200"/>
        <w:jc w:val="left"/>
        <w:outlineLvl w:val="1"/>
        <w:rPr>
          <w:rFonts w:ascii="仿宋" w:hAnsi="仿宋" w:eastAsia="仿宋"/>
          <w:sz w:val="32"/>
          <w:szCs w:val="32"/>
        </w:rPr>
      </w:pPr>
      <w:r>
        <w:rPr>
          <w:rFonts w:ascii="仿宋" w:hAnsi="仿宋" w:eastAsia="仿宋"/>
          <w:sz w:val="32"/>
          <w:szCs w:val="32"/>
        </w:rPr>
        <w:t>二、分项绩效目标</w:t>
      </w:r>
      <w:r>
        <w:rPr>
          <w:rFonts w:ascii="仿宋" w:hAnsi="仿宋" w:eastAsia="仿宋"/>
          <w:sz w:val="32"/>
          <w:szCs w:val="32"/>
        </w:rPr>
        <w:fldChar w:fldCharType="begin"/>
      </w:r>
      <w:r>
        <w:rPr>
          <w:rFonts w:ascii="仿宋" w:hAnsi="仿宋" w:eastAsia="仿宋"/>
          <w:sz w:val="32"/>
          <w:szCs w:val="32"/>
        </w:rPr>
        <w:instrText xml:space="preserve"> TC </w:instrText>
      </w:r>
      <w:bookmarkStart w:id="1" w:name="_Toc31369635"/>
      <w:r>
        <w:rPr>
          <w:rFonts w:ascii="仿宋" w:hAnsi="仿宋" w:eastAsia="仿宋"/>
          <w:sz w:val="32"/>
          <w:szCs w:val="32"/>
        </w:rPr>
        <w:instrText xml:space="preserve">分项绩效目标</w:instrText>
      </w:r>
      <w:bookmarkEnd w:id="1"/>
      <w:r>
        <w:rPr>
          <w:rFonts w:ascii="仿宋" w:hAnsi="仿宋" w:eastAsia="仿宋"/>
          <w:sz w:val="32"/>
          <w:szCs w:val="32"/>
        </w:rPr>
        <w:instrText xml:space="preserve">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（一）减少社会矛盾，维护镇村稳定</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绩效目标：协调维护社会稳定和国家安全，以创建和谐稳定的社会环境为目标。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绩效指标：矛盾纠纷调处率达到85%以上；协调督导事项化解率85%以上；稳定水平提高。</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（二）维持村级组织正常运转，促进发展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绩效目标：维持村级组织正常运转，搞好服务保障，保障村级组织及村党组织正常运转，促进乡村社会和经济发展。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绩效指标：村级各项经费资金支付及时率达到90%以上；群众满意率达到90%以上。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（三）农村文化建设实现共享</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绩效目标：宣传党的路线、方针、政策和上级工作部署，坚持正确舆论导向，发挥主流媒体作用。</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 实现文化资源共享；群众满意度达到90%以上。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（四）乡镇综合事务管理，保障正常运转</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绩效目标：扎实做好人大、党建、纪检、团委等各项工作，保障机关工作正常运转，财政资金使用效益。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绩效指标：保障工作明显提升；综合事务管理工作完成率达到90%以上；受益对象满意度达到90%以上。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（五）改善农村环境</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绩效目标：做好全年大气污染防治工作，把大气污染防治工作作为一项重要内容常态化。</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绩效指标：秸秆还田率及秸秆清运率达到85%以上；污染物排放总量同期下降达15%以上。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（六）落实安全生产诚信管理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绩效目标：对重点行业和作业场所职业卫生安全生产加强行政执法监察；开展重大危险源执法检查工作；开展安全事故检查及安全生产宣传教育活动；促进企业全面落实安全生产诚信管理。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绩效指标：安全生产信息员设置覆盖镇所有村；安全生产信息员补助发放完成率达到90%以上；享受安全生产信息员补助人员对补助发放情况的满意程度达到90%以上。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（七）实现乡村地震安全建设常态化</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绩效目标：实现乡村地震安全建设常态化，提高防震减灾宣传效果，提升社会公众防震避险意识和技能。</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绩效指标：地震群测群防队伍覆盖全乡各村；地震群测群防岗位津贴发放完成率达到90%以上享受地震群测群防岗位津贴人员对津贴发放情况的满意程度达到90%以上。</w:t>
      </w: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outlineLvl w:val="1"/>
        <w:rPr>
          <w:rFonts w:ascii="仿宋" w:hAnsi="仿宋" w:eastAsia="仿宋"/>
          <w:sz w:val="32"/>
          <w:szCs w:val="32"/>
        </w:rPr>
      </w:pPr>
      <w:r>
        <w:rPr>
          <w:rFonts w:ascii="仿宋" w:hAnsi="仿宋" w:eastAsia="仿宋"/>
          <w:sz w:val="32"/>
          <w:szCs w:val="32"/>
        </w:rPr>
        <w:t>三、工作保障措施</w:t>
      </w:r>
      <w:r>
        <w:rPr>
          <w:rFonts w:ascii="仿宋" w:hAnsi="仿宋" w:eastAsia="仿宋"/>
          <w:sz w:val="32"/>
          <w:szCs w:val="32"/>
        </w:rPr>
        <w:fldChar w:fldCharType="begin"/>
      </w:r>
      <w:r>
        <w:rPr>
          <w:rFonts w:ascii="仿宋" w:hAnsi="仿宋" w:eastAsia="仿宋"/>
          <w:sz w:val="32"/>
          <w:szCs w:val="32"/>
        </w:rPr>
        <w:instrText xml:space="preserve"> TC </w:instrText>
      </w:r>
      <w:bookmarkStart w:id="2" w:name="_Toc31369636"/>
      <w:r>
        <w:rPr>
          <w:rFonts w:ascii="仿宋" w:hAnsi="仿宋" w:eastAsia="仿宋"/>
          <w:sz w:val="32"/>
          <w:szCs w:val="32"/>
        </w:rPr>
        <w:instrText xml:space="preserve">工作保障措施</w:instrText>
      </w:r>
      <w:bookmarkEnd w:id="2"/>
      <w:r>
        <w:rPr>
          <w:rFonts w:ascii="仿宋" w:hAnsi="仿宋" w:eastAsia="仿宋"/>
          <w:sz w:val="32"/>
          <w:szCs w:val="32"/>
        </w:rPr>
        <w:instrText xml:space="preserve">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cs="微软雅黑"/>
          <w:sz w:val="32"/>
          <w:szCs w:val="32"/>
        </w:rPr>
        <w:t>（一）强化政治理论武装，健全完善制度机制</w:t>
      </w:r>
    </w:p>
    <w:p>
      <w:pPr>
        <w:spacing w:line="500" w:lineRule="exact"/>
        <w:ind w:firstLine="640" w:firstLineChars="200"/>
        <w:jc w:val="left"/>
        <w:rPr>
          <w:rFonts w:ascii="仿宋" w:hAnsi="仿宋" w:eastAsia="仿宋"/>
          <w:sz w:val="32"/>
          <w:szCs w:val="32"/>
        </w:rPr>
      </w:pPr>
      <w:r>
        <w:rPr>
          <w:rFonts w:hint="eastAsia" w:ascii="仿宋" w:hAnsi="仿宋" w:eastAsia="仿宋" w:cs="微软雅黑"/>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乡预算绩效管理、预算资金管理等制度规定，按要求开展部门预算绩效实时监控、绩效自评和重点项目评价等工作，确保全年绩效目标圆满完成。</w:t>
      </w:r>
    </w:p>
    <w:p>
      <w:pPr>
        <w:spacing w:line="500" w:lineRule="exact"/>
        <w:ind w:firstLine="640" w:firstLineChars="200"/>
        <w:jc w:val="left"/>
        <w:rPr>
          <w:rFonts w:ascii="仿宋" w:hAnsi="仿宋" w:eastAsia="仿宋"/>
          <w:sz w:val="32"/>
          <w:szCs w:val="32"/>
        </w:rPr>
      </w:pPr>
      <w:r>
        <w:rPr>
          <w:rFonts w:hint="eastAsia" w:ascii="仿宋" w:hAnsi="仿宋" w:eastAsia="仿宋" w:cs="微软雅黑"/>
          <w:sz w:val="32"/>
          <w:szCs w:val="32"/>
        </w:rPr>
        <w:t>（二）加强预算支出管理，确保支出进度达标</w:t>
      </w:r>
    </w:p>
    <w:p>
      <w:pPr>
        <w:spacing w:line="500" w:lineRule="exact"/>
        <w:ind w:firstLine="640" w:firstLineChars="200"/>
        <w:jc w:val="left"/>
        <w:rPr>
          <w:rFonts w:ascii="仿宋" w:hAnsi="仿宋" w:eastAsia="仿宋"/>
          <w:sz w:val="32"/>
          <w:szCs w:val="32"/>
        </w:rPr>
      </w:pPr>
      <w:r>
        <w:rPr>
          <w:rFonts w:hint="eastAsia" w:ascii="仿宋" w:hAnsi="仿宋" w:eastAsia="仿宋" w:cs="微软雅黑"/>
          <w:sz w:val="32"/>
          <w:szCs w:val="32"/>
        </w:rPr>
        <w:t>编细编实预算，将项目细化到可执行程度，确保批复即可执行。调整优化支出结构，按规定对</w:t>
      </w:r>
      <w:r>
        <w:rPr>
          <w:rFonts w:ascii="仿宋" w:hAnsi="仿宋" w:eastAsia="仿宋"/>
          <w:sz w:val="32"/>
          <w:szCs w:val="32"/>
        </w:rPr>
        <w:t>“</w:t>
      </w:r>
      <w:r>
        <w:rPr>
          <w:rFonts w:hint="eastAsia" w:ascii="仿宋" w:hAnsi="仿宋" w:eastAsia="仿宋" w:cs="微软雅黑"/>
          <w:sz w:val="32"/>
          <w:szCs w:val="32"/>
        </w:rPr>
        <w:t>三公</w:t>
      </w:r>
      <w:r>
        <w:rPr>
          <w:rFonts w:ascii="仿宋" w:hAnsi="仿宋" w:eastAsia="仿宋"/>
          <w:sz w:val="32"/>
          <w:szCs w:val="32"/>
        </w:rPr>
        <w:t>”</w:t>
      </w:r>
      <w:r>
        <w:rPr>
          <w:rFonts w:hint="eastAsia" w:ascii="仿宋" w:hAnsi="仿宋" w:eastAsia="仿宋" w:cs="微软雅黑"/>
          <w:sz w:val="32"/>
          <w:szCs w:val="32"/>
        </w:rPr>
        <w:t>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spacing w:line="500" w:lineRule="exact"/>
        <w:ind w:firstLine="640" w:firstLineChars="200"/>
        <w:jc w:val="left"/>
        <w:rPr>
          <w:rFonts w:ascii="仿宋" w:hAnsi="仿宋" w:eastAsia="仿宋"/>
          <w:sz w:val="32"/>
          <w:szCs w:val="32"/>
        </w:rPr>
      </w:pPr>
      <w:r>
        <w:rPr>
          <w:rFonts w:hint="eastAsia" w:ascii="仿宋" w:hAnsi="仿宋" w:eastAsia="仿宋" w:cs="微软雅黑"/>
          <w:sz w:val="32"/>
          <w:szCs w:val="32"/>
        </w:rPr>
        <w:t>（三）加强内部监督管理，确保资金安全有效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cs="微软雅黑"/>
          <w:sz w:val="32"/>
          <w:szCs w:val="32"/>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乡物资采购、工程项目等大额资金使用招投标的全过程监督，确保财政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cs="微软雅黑"/>
          <w:sz w:val="32"/>
          <w:szCs w:val="32"/>
        </w:rPr>
        <w:t>（四）加强宣传培训调研，确保绩效目标实现</w:t>
      </w:r>
    </w:p>
    <w:p>
      <w:pPr>
        <w:spacing w:line="500" w:lineRule="exact"/>
        <w:ind w:firstLine="640" w:firstLineChars="200"/>
        <w:jc w:val="left"/>
        <w:rPr>
          <w:rFonts w:ascii="仿宋" w:hAnsi="仿宋" w:eastAsia="仿宋"/>
          <w:sz w:val="32"/>
          <w:szCs w:val="32"/>
        </w:rPr>
      </w:pPr>
      <w:r>
        <w:rPr>
          <w:rFonts w:hint="eastAsia" w:ascii="仿宋" w:hAnsi="仿宋" w:eastAsia="仿宋" w:cs="微软雅黑"/>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00" w:lineRule="exact"/>
        <w:ind w:firstLine="640" w:firstLineChars="200"/>
        <w:jc w:val="left"/>
        <w:rPr>
          <w:rFonts w:ascii="仿宋" w:hAnsi="仿宋" w:eastAsia="仿宋"/>
          <w:sz w:val="32"/>
          <w:szCs w:val="32"/>
        </w:rPr>
      </w:pPr>
    </w:p>
    <w:p>
      <w:pPr>
        <w:ind w:firstLine="420" w:firstLineChars="200"/>
        <w:jc w:val="center"/>
        <w:rPr>
          <w:rFonts w:ascii="Times New Roman" w:hAnsi="宋体" w:eastAsia="宋体"/>
        </w:rPr>
      </w:pPr>
      <w:r>
        <w:rPr>
          <w:rFonts w:ascii="方正书宋_GBK" w:eastAsia="方正书宋_GBK"/>
        </w:rPr>
        <w:t xml:space="preserve"> </w:t>
      </w:r>
    </w:p>
    <w:p>
      <w:pPr>
        <w:ind w:firstLine="560" w:firstLineChars="200"/>
        <w:jc w:val="center"/>
        <w:rPr>
          <w:rFonts w:ascii="Times New Roman" w:eastAsia="方正仿宋_GBK"/>
          <w:sz w:val="28"/>
        </w:rPr>
        <w:sectPr>
          <w:footerReference r:id="rId3" w:type="default"/>
          <w:pgSz w:w="11907" w:h="16839"/>
          <w:pgMar w:top="1984" w:right="1304" w:bottom="1134" w:left="1304" w:header="851" w:footer="992" w:gutter="0"/>
          <w:pgNumType w:start="1"/>
          <w:cols w:space="425" w:num="1"/>
          <w:docGrid w:type="lines" w:linePitch="312" w:charSpace="0"/>
        </w:sect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1"/>
        <w:rPr>
          <w:rFonts w:ascii="宋体" w:hAnsi="宋体" w:eastAsia="宋体"/>
          <w:b/>
          <w:sz w:val="28"/>
          <w:szCs w:val="28"/>
        </w:rPr>
      </w:pPr>
      <w:r>
        <w:rPr>
          <w:rFonts w:ascii="宋体" w:hAnsi="宋体" w:eastAsia="宋体"/>
          <w:b/>
          <w:sz w:val="28"/>
          <w:szCs w:val="28"/>
        </w:rPr>
        <w:t>1、2020年度全区林业绿化占地经费绩效目标表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3" w:name="_Toc31369637"/>
      <w:r>
        <w:rPr>
          <w:rFonts w:ascii="宋体" w:hAnsi="宋体" w:eastAsia="宋体"/>
          <w:b/>
          <w:sz w:val="28"/>
          <w:szCs w:val="28"/>
        </w:rPr>
        <w:instrText xml:space="preserve">1、2020年度全区林业绿化占地经费绩效目标表</w:instrText>
      </w:r>
      <w:bookmarkEnd w:id="3"/>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909-2801-JXN-T08M</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2020年度全区林业绿化占地经费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149.81</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149.81</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用于荣乌高速两侧绿化占地租金，实施年度2020年。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1、增加有林地面积，提高全区绿化水平和森林覆盖率，改善生态环境。</w:t>
            </w:r>
          </w:p>
          <w:p>
            <w:pPr>
              <w:spacing w:line="300" w:lineRule="exact"/>
              <w:jc w:val="left"/>
              <w:rPr>
                <w:rFonts w:ascii="宋体" w:hAnsi="宋体" w:eastAsia="宋体"/>
                <w:sz w:val="28"/>
                <w:szCs w:val="28"/>
              </w:rPr>
            </w:pPr>
            <w:r>
              <w:rPr>
                <w:rFonts w:ascii="宋体" w:hAnsi="宋体" w:eastAsia="宋体"/>
                <w:sz w:val="28"/>
                <w:szCs w:val="28"/>
              </w:rPr>
              <w:t>2、增加绿地面积，优化空气质量。</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补助金发放率（%）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实际发放的补助金金额占计划发放金额的比率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效果指标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生态效益指标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森林覆盖面积增长率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全区森林面积净增加量与全区面积的比率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≥0.6%</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满意度指标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受益对象满意度（%）</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通过问卷调查，满意和较满意的受益对象占全部调研对象的比例</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计划标准</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2、2020年扶贫公益岗位补助及购置保险绩效目标表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4" w:name="_Toc31369638"/>
      <w:r>
        <w:rPr>
          <w:rFonts w:ascii="宋体" w:hAnsi="宋体" w:eastAsia="宋体"/>
          <w:b/>
          <w:sz w:val="28"/>
          <w:szCs w:val="28"/>
        </w:rPr>
        <w:instrText xml:space="preserve">2、2020年扶贫公益岗位补助及购置保险绩效目标表</w:instrText>
      </w:r>
      <w:bookmarkEnd w:id="4"/>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909-1701-YBN-25O4</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2020年扶贫公益岗位补助及购置保险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12.67</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12.67</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2020年我乡设置扶贫公益岗位19人，每人每月扶贫公益岗位补助500元，每年为扶贫公益岗位人员购置人身意外保险667元，全年补助共计12.6673万元。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30.00</w:t>
            </w: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60.00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90.00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1、以扶贫公益岗位为抓手，解决建档立卡贫困户中弱劳动能力人员就业问题。</w:t>
            </w:r>
          </w:p>
          <w:p>
            <w:pPr>
              <w:spacing w:line="300" w:lineRule="exact"/>
              <w:jc w:val="left"/>
              <w:rPr>
                <w:rFonts w:ascii="宋体" w:hAnsi="宋体" w:eastAsia="宋体"/>
                <w:sz w:val="28"/>
                <w:szCs w:val="28"/>
              </w:rPr>
            </w:pPr>
            <w:r>
              <w:rPr>
                <w:rFonts w:ascii="宋体" w:hAnsi="宋体" w:eastAsia="宋体"/>
                <w:sz w:val="28"/>
                <w:szCs w:val="28"/>
              </w:rPr>
              <w:t>2、给予一定的岗位补助，促进建档立卡贫困户增收脱贫。</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质量指标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带动建档立卡贫困户增收</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带动建档立卡贫困户增加收入（万元）</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≥11.4万元</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宋体" w:hAnsi="宋体" w:eastAsia="宋体"/>
                <w:sz w:val="28"/>
                <w:szCs w:val="28"/>
              </w:rPr>
            </w:pP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质量指标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保障建档立卡贫困户人身安全</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购置建档立卡贫困户人身意外保险费用（万元）</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≥1.26万元</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效果指标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社会效益指标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受益建档立卡贫困人数</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受益建档立卡贫困人数（人）</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≥19人</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满意度指标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群众满意度</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群众满意数量占总数的比例。</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工作方案</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3、安全生产经费绩效目标表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5" w:name="_Toc31369639"/>
      <w:r>
        <w:rPr>
          <w:rFonts w:ascii="宋体" w:hAnsi="宋体" w:eastAsia="宋体"/>
          <w:b/>
          <w:sz w:val="28"/>
          <w:szCs w:val="28"/>
        </w:rPr>
        <w:instrText xml:space="preserve">3、安全生产经费绩效目标表</w:instrText>
      </w:r>
      <w:bookmarkEnd w:id="5"/>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909-0601-JBN-P6MG</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安全生产经费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0.50</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0.50</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项目预算资金0.5万元。用于安全生产经费项目，项目2020年开始实施，周期1年。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w:t>
            </w: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60.00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90.00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1、安全生产检查、巡查、保护社会稳定，杜绝不法生产、采矿. 预防减少不稳定因素的发生。</w:t>
            </w:r>
          </w:p>
          <w:p>
            <w:pPr>
              <w:spacing w:line="300" w:lineRule="exact"/>
              <w:jc w:val="left"/>
              <w:rPr>
                <w:rFonts w:ascii="宋体" w:hAnsi="宋体" w:eastAsia="宋体"/>
                <w:sz w:val="28"/>
                <w:szCs w:val="28"/>
              </w:rPr>
            </w:pPr>
            <w:r>
              <w:rPr>
                <w:rFonts w:ascii="宋体" w:hAnsi="宋体" w:eastAsia="宋体"/>
                <w:sz w:val="28"/>
                <w:szCs w:val="28"/>
              </w:rPr>
              <w:t>2、有效化解不稳定隐患、群体性事件和突发事件，维护社会安全工作。</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隐患排查率（%）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实际隐患排查数量占隐患总数的比例。</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≥85%</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宋体" w:hAnsi="宋体" w:eastAsia="宋体"/>
                <w:sz w:val="28"/>
                <w:szCs w:val="28"/>
              </w:rPr>
            </w:pP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时效指标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矛盾纠纷调处率(%)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调处矛盾纠纷数量占排查矛盾纠纷总数的比率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效果指标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社会效益指标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生产经营单位合法率（%）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不存在违法行为的生产经营单位总数占本年实际执法检查生产经营单位总数的比率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≥85%</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4、安全生产信息员经费绩效目标表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6" w:name="_Toc31369640"/>
      <w:r>
        <w:rPr>
          <w:rFonts w:ascii="宋体" w:hAnsi="宋体" w:eastAsia="宋体"/>
          <w:b/>
          <w:sz w:val="28"/>
          <w:szCs w:val="28"/>
        </w:rPr>
        <w:instrText xml:space="preserve">4、安全生产信息员经费绩效目标表</w:instrText>
      </w:r>
      <w:bookmarkEnd w:id="6"/>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909-2401-JBN-3CTZ</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0.80</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0.80</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用于我乡安全生产信息员补助，计划2020年1-12月实施。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50.00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50.00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1、通过项目实施，维持安全生产信息员队伍的稳定。</w:t>
            </w:r>
          </w:p>
          <w:p>
            <w:pPr>
              <w:spacing w:line="300" w:lineRule="exact"/>
              <w:jc w:val="left"/>
              <w:rPr>
                <w:rFonts w:ascii="宋体" w:hAnsi="宋体" w:eastAsia="宋体"/>
                <w:sz w:val="28"/>
                <w:szCs w:val="28"/>
              </w:rPr>
            </w:pPr>
            <w:r>
              <w:rPr>
                <w:rFonts w:ascii="宋体" w:hAnsi="宋体" w:eastAsia="宋体"/>
                <w:sz w:val="28"/>
                <w:szCs w:val="28"/>
              </w:rPr>
              <w:t>2、有效减少安全生产事故的发生，维护安全生产形势稳中向好。</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覆盖乡村数量</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安全生产信息员设置覆盖乡村）数量</w:t>
            </w:r>
          </w:p>
          <w:p>
            <w:pPr>
              <w:spacing w:line="300" w:lineRule="exact"/>
              <w:jc w:val="left"/>
              <w:rPr>
                <w:rFonts w:ascii="宋体" w:hAnsi="宋体" w:eastAsia="宋体"/>
                <w:sz w:val="28"/>
                <w:szCs w:val="28"/>
              </w:rPr>
            </w:pP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≥16个</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效果指标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社会效益指标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补贴发放率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乡安全生产信息员补助发放完成率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满意度指标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享受安全生产信息员补助人员对补助发放情况的满意程度</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依据工作方案</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5、村党组织活动经费绩效目标表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7" w:name="_Toc31369641"/>
      <w:r>
        <w:rPr>
          <w:rFonts w:ascii="宋体" w:hAnsi="宋体" w:eastAsia="宋体"/>
          <w:b/>
          <w:sz w:val="28"/>
          <w:szCs w:val="28"/>
        </w:rPr>
        <w:instrText xml:space="preserve">5、村党组织活动经费绩效目标表</w:instrText>
      </w:r>
      <w:bookmarkEnd w:id="7"/>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909-0701-JBN-P275</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11.00</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11.00</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项目预算资金11万元，2020年实施，预计第一季度3月底前支出完毕。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1、通过村党组织活动经费，保障村党组织日常活动，定期集中培训，提高农村党员的综合素质</w:t>
            </w:r>
          </w:p>
          <w:p>
            <w:pPr>
              <w:spacing w:line="300" w:lineRule="exact"/>
              <w:jc w:val="left"/>
              <w:rPr>
                <w:rFonts w:ascii="宋体" w:hAnsi="宋体" w:eastAsia="宋体"/>
                <w:sz w:val="28"/>
                <w:szCs w:val="28"/>
              </w:rPr>
            </w:pPr>
            <w:r>
              <w:rPr>
                <w:rFonts w:ascii="宋体" w:hAnsi="宋体" w:eastAsia="宋体"/>
                <w:sz w:val="28"/>
                <w:szCs w:val="28"/>
              </w:rPr>
              <w:t>2、通过拨付村党组织活动经费，保障村党组织日常活动</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组织参观学习人次（人）</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组织前往宣传教育基地参观的人次</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≥100人</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效果指标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经济效益指标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社会稳定水平</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通过实施党员活动促进社会稳定水平逐步提高</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社会稳定水平逐年提高</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满意度指标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服务群众满意度</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参加党组织活动的党员对此项服务的满意程度</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历史标准</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6、村级组织办公经费绩效目标表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8" w:name="_Toc31369642"/>
      <w:r>
        <w:rPr>
          <w:rFonts w:ascii="宋体" w:hAnsi="宋体" w:eastAsia="宋体"/>
          <w:b/>
          <w:sz w:val="28"/>
          <w:szCs w:val="28"/>
        </w:rPr>
        <w:instrText xml:space="preserve">6、村级组织办公经费绩效目标表</w:instrText>
      </w:r>
      <w:bookmarkEnd w:id="8"/>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909-0701-JBN-OG1L</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24.33</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24.33</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项目预算资金24.33万元，用于保障村级组织的正常运转，更好的推动村级各项事业的开展，计划2020年开始实施。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1、及时足额拨付资金，保障村级组织的正常运转。</w:t>
            </w:r>
          </w:p>
          <w:p>
            <w:pPr>
              <w:spacing w:line="300" w:lineRule="exact"/>
              <w:jc w:val="left"/>
              <w:rPr>
                <w:rFonts w:ascii="宋体" w:hAnsi="宋体" w:eastAsia="宋体"/>
                <w:sz w:val="28"/>
                <w:szCs w:val="28"/>
              </w:rPr>
            </w:pPr>
            <w:r>
              <w:rPr>
                <w:rFonts w:ascii="宋体" w:hAnsi="宋体" w:eastAsia="宋体"/>
                <w:sz w:val="28"/>
                <w:szCs w:val="28"/>
              </w:rPr>
              <w:t>2、建立健全基层群众自治组织，搞好服务保障。</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质量指标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村级税费改革转移支付资金支付及时率。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资金到达村级组织时间/资金转移支付规定到达时间。</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宋体" w:hAnsi="宋体" w:eastAsia="宋体"/>
                <w:sz w:val="28"/>
                <w:szCs w:val="28"/>
              </w:rPr>
            </w:pP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经费保障村数。</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村级税费改革转移支付实际保障的村庄数量数。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≥16个</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满意度指标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群众满意度</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群众对提供各种政务等服务的满意程度</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计划标准</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7、大气污染防治经费绩效目标表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9" w:name="_Toc31369643"/>
      <w:r>
        <w:rPr>
          <w:rFonts w:ascii="宋体" w:hAnsi="宋体" w:eastAsia="宋体"/>
          <w:b/>
          <w:sz w:val="28"/>
          <w:szCs w:val="28"/>
        </w:rPr>
        <w:instrText xml:space="preserve">7、大气污染防治经费绩效目标表</w:instrText>
      </w:r>
      <w:bookmarkEnd w:id="9"/>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909-1801-JBN-Z1IH</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2.00</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2.00</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预算项目资金2万元，用于复印宣传资料、禁烧及</w:t>
            </w:r>
            <w:r>
              <w:rPr>
                <w:rFonts w:hint="eastAsia" w:ascii="宋体" w:hAnsi="宋体" w:eastAsia="宋体"/>
                <w:sz w:val="28"/>
                <w:szCs w:val="28"/>
                <w:lang w:eastAsia="zh-CN"/>
              </w:rPr>
              <w:t>秸秆</w:t>
            </w:r>
            <w:bookmarkStart w:id="25" w:name="_GoBack"/>
            <w:bookmarkEnd w:id="25"/>
            <w:r>
              <w:rPr>
                <w:rFonts w:ascii="宋体" w:hAnsi="宋体" w:eastAsia="宋体"/>
                <w:sz w:val="28"/>
                <w:szCs w:val="28"/>
              </w:rPr>
              <w:t>垃圾清运工作，计划2020年开始实施。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w:t>
            </w: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60.00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90.00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1、做到专款专用，提高资金使用效益。</w:t>
            </w:r>
          </w:p>
          <w:p>
            <w:pPr>
              <w:spacing w:line="300" w:lineRule="exact"/>
              <w:jc w:val="left"/>
              <w:rPr>
                <w:rFonts w:ascii="宋体" w:hAnsi="宋体" w:eastAsia="宋体"/>
                <w:sz w:val="28"/>
                <w:szCs w:val="28"/>
              </w:rPr>
            </w:pPr>
            <w:r>
              <w:rPr>
                <w:rFonts w:ascii="宋体" w:hAnsi="宋体" w:eastAsia="宋体"/>
                <w:sz w:val="28"/>
                <w:szCs w:val="28"/>
              </w:rPr>
              <w:t>2、农村环境空气质量改善。</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秸秆还田率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秸秆还田的面积占全部农作物的种植面积比率。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≥85%</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宋体" w:hAnsi="宋体" w:eastAsia="宋体"/>
                <w:sz w:val="28"/>
                <w:szCs w:val="28"/>
              </w:rPr>
            </w:pP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秸秆清运率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秸秆清运的数量占全部秸秆垃圾的比率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≥85%</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效果指标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生态效益指标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污染物排放降低率（%）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污染物排放总量同期下降的比率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≥15%</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8、党建经费绩效目标表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10" w:name="_Toc31369644"/>
      <w:r>
        <w:rPr>
          <w:rFonts w:ascii="宋体" w:hAnsi="宋体" w:eastAsia="宋体"/>
          <w:b/>
          <w:sz w:val="28"/>
          <w:szCs w:val="28"/>
        </w:rPr>
        <w:instrText xml:space="preserve">8、党建经费绩效目标表</w:instrText>
      </w:r>
      <w:bookmarkEnd w:id="10"/>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909-1701-JBN-S7M2</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党建经费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1.20</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1.20</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预算项目资金总计12000元：用于制作展板、党建墙体粉刷及宣传等费用。项目2012年实施。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w:t>
            </w: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60.00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90.00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1、完成创优升级党建工作。</w:t>
            </w:r>
          </w:p>
          <w:p>
            <w:pPr>
              <w:spacing w:line="300" w:lineRule="exact"/>
              <w:jc w:val="left"/>
              <w:rPr>
                <w:rFonts w:ascii="宋体" w:hAnsi="宋体" w:eastAsia="宋体"/>
                <w:sz w:val="28"/>
                <w:szCs w:val="28"/>
              </w:rPr>
            </w:pPr>
            <w:r>
              <w:rPr>
                <w:rFonts w:ascii="宋体" w:hAnsi="宋体" w:eastAsia="宋体"/>
                <w:sz w:val="28"/>
                <w:szCs w:val="28"/>
              </w:rPr>
              <w:t>2、提升党建业务水平,更加有序的开展党建工作。</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组织宣传活动次数（次）</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组织宣传活动次数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≥4次</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宋体" w:hAnsi="宋体" w:eastAsia="宋体"/>
                <w:sz w:val="28"/>
                <w:szCs w:val="28"/>
              </w:rPr>
            </w:pP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建设宣传教育基地数量（个）</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建设宣传教育基地数量</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≥16个</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满意度指标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群众满意度</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群众对党建建设整体满意度</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9、地震群测群防岗位津贴绩效目标表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11" w:name="_Toc31369645"/>
      <w:r>
        <w:rPr>
          <w:rFonts w:ascii="宋体" w:hAnsi="宋体" w:eastAsia="宋体"/>
          <w:b/>
          <w:sz w:val="28"/>
          <w:szCs w:val="28"/>
        </w:rPr>
        <w:instrText xml:space="preserve">9、地震群测群防岗位津贴绩效目标表</w:instrText>
      </w:r>
      <w:bookmarkEnd w:id="11"/>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909-2501-JBN-IVBH</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0.33</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0.33</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用于全区地震群测群防系统人员津贴发放，2020年1-12月实施。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1、通过项目实施，维持地震群测群防队伍的稳定。</w:t>
            </w:r>
          </w:p>
          <w:p>
            <w:pPr>
              <w:spacing w:line="300" w:lineRule="exact"/>
              <w:jc w:val="left"/>
              <w:rPr>
                <w:rFonts w:ascii="宋体" w:hAnsi="宋体" w:eastAsia="宋体"/>
                <w:sz w:val="28"/>
                <w:szCs w:val="28"/>
              </w:rPr>
            </w:pPr>
            <w:r>
              <w:rPr>
                <w:rFonts w:ascii="宋体" w:hAnsi="宋体" w:eastAsia="宋体"/>
                <w:sz w:val="28"/>
                <w:szCs w:val="28"/>
              </w:rPr>
              <w:t>2、有效降低地震灾害造成的人身及财产损失。</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覆盖率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地震群测群防队伍覆盖全乡各村</w:t>
            </w:r>
          </w:p>
          <w:p>
            <w:pPr>
              <w:spacing w:line="300" w:lineRule="exact"/>
              <w:jc w:val="left"/>
              <w:rPr>
                <w:rFonts w:ascii="宋体" w:hAnsi="宋体" w:eastAsia="宋体"/>
                <w:sz w:val="28"/>
                <w:szCs w:val="28"/>
              </w:rPr>
            </w:pP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≥16个</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效果指标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社会效益指标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补贴发放率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发放全乡地震群测群防岗位津贴发放完成率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满意度指标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享受地震群测群防岗位津贴人员对津贴发放情况的满意程度</w:t>
            </w:r>
          </w:p>
          <w:p>
            <w:pPr>
              <w:spacing w:line="300" w:lineRule="exact"/>
              <w:jc w:val="left"/>
              <w:rPr>
                <w:rFonts w:ascii="宋体" w:hAnsi="宋体" w:eastAsia="宋体"/>
                <w:sz w:val="28"/>
                <w:szCs w:val="28"/>
              </w:rPr>
            </w:pP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依据工作方案</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10、法律顾问经费绩效目标表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12" w:name="_Toc31369646"/>
      <w:r>
        <w:rPr>
          <w:rFonts w:ascii="宋体" w:hAnsi="宋体" w:eastAsia="宋体"/>
          <w:b/>
          <w:sz w:val="28"/>
          <w:szCs w:val="28"/>
        </w:rPr>
        <w:instrText xml:space="preserve">10、法律顾问经费绩效目标表</w:instrText>
      </w:r>
      <w:bookmarkEnd w:id="12"/>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909-0601-JBN-FXD1</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法律顾问经费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0.50</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0.50</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项目预算资金0.5万元。用于聘请法律顾问经费项目，计划项目2020年实施，计划2020年3月底支付完毕。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1、按照上级文件要求乡镇党委、人民政府聘请律师建立法律顾问队伍。</w:t>
            </w:r>
          </w:p>
          <w:p>
            <w:pPr>
              <w:spacing w:line="300" w:lineRule="exact"/>
              <w:jc w:val="left"/>
              <w:rPr>
                <w:rFonts w:ascii="宋体" w:hAnsi="宋体" w:eastAsia="宋体"/>
                <w:sz w:val="28"/>
                <w:szCs w:val="28"/>
              </w:rPr>
            </w:pPr>
            <w:r>
              <w:rPr>
                <w:rFonts w:ascii="宋体" w:hAnsi="宋体" w:eastAsia="宋体"/>
                <w:sz w:val="28"/>
                <w:szCs w:val="28"/>
              </w:rPr>
              <w:t>2、建立法律顾问队伍协调、解决乡、村矛盾，提供法律援助，把矛盾化解在基层。</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办理案件数（件）</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实际办理案件数量</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≥3件</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宋体" w:hAnsi="宋体" w:eastAsia="宋体"/>
                <w:sz w:val="28"/>
                <w:szCs w:val="28"/>
              </w:rPr>
            </w:pP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质量指标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执法办案行为投诉率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被投诉案件占办案总量的比例。</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&lt;5%</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满意度指标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受益群众对法律顾问法律指导满意度。</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11、防汛抗旱管理经费绩效目标表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13" w:name="_Toc31369647"/>
      <w:r>
        <w:rPr>
          <w:rFonts w:ascii="宋体" w:hAnsi="宋体" w:eastAsia="宋体"/>
          <w:b/>
          <w:sz w:val="28"/>
          <w:szCs w:val="28"/>
        </w:rPr>
        <w:instrText xml:space="preserve">11、防汛抗旱管理经费绩效目标表</w:instrText>
      </w:r>
      <w:bookmarkEnd w:id="13"/>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909-1001-JBN-XYO6</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防汛抗旱管理经费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2.00</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2.00</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预算项目资金2万元。用于防汛抗旱条幅、展板、复印宣传资料及用工等项目，项目2012年实施。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60.00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1、学习自然灾害安全知识，灾难来临时以保护人身安全。</w:t>
            </w:r>
          </w:p>
          <w:p>
            <w:pPr>
              <w:spacing w:line="300" w:lineRule="exact"/>
              <w:jc w:val="left"/>
              <w:rPr>
                <w:rFonts w:ascii="宋体" w:hAnsi="宋体" w:eastAsia="宋体"/>
                <w:sz w:val="28"/>
                <w:szCs w:val="28"/>
              </w:rPr>
            </w:pPr>
            <w:r>
              <w:rPr>
                <w:rFonts w:ascii="宋体" w:hAnsi="宋体" w:eastAsia="宋体"/>
                <w:sz w:val="28"/>
                <w:szCs w:val="28"/>
              </w:rPr>
              <w:t>2、发挥防汛减灾体系作用，最大限度地减少旱、涝灾害造成的人员伤亡和财产损失。</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组织防灾减灾及救灾准备活动次数（次）</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按照上级救灾要求防灾准备宣传培训完成情况</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≥2次</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宋体" w:hAnsi="宋体" w:eastAsia="宋体"/>
                <w:sz w:val="28"/>
                <w:szCs w:val="28"/>
              </w:rPr>
            </w:pP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组建应急救援队伍数（个）</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组建专业应急救援队的数量</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≥16个</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效果指标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经济效益指标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旱涝财产损失减少率(％)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旱涝带来的财产损失数量的同期减少比率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12、服务群众专项经费绩效目标表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14" w:name="_Toc31369648"/>
      <w:r>
        <w:rPr>
          <w:rFonts w:ascii="宋体" w:hAnsi="宋体" w:eastAsia="宋体"/>
          <w:b/>
          <w:sz w:val="28"/>
          <w:szCs w:val="28"/>
        </w:rPr>
        <w:instrText xml:space="preserve">12、服务群众专项经费绩效目标表</w:instrText>
      </w:r>
      <w:bookmarkEnd w:id="14"/>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909-0701-JBN-RPSD</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80.00</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80.00</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用于村内日常开支工作支出,2020年实施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1、运用服务群众专项经费，保障村内组织日常活动。</w:t>
            </w:r>
          </w:p>
          <w:p>
            <w:pPr>
              <w:spacing w:line="300" w:lineRule="exact"/>
              <w:jc w:val="left"/>
              <w:rPr>
                <w:rFonts w:ascii="宋体" w:hAnsi="宋体" w:eastAsia="宋体"/>
                <w:sz w:val="28"/>
                <w:szCs w:val="28"/>
              </w:rPr>
            </w:pPr>
            <w:r>
              <w:rPr>
                <w:rFonts w:ascii="宋体" w:hAnsi="宋体" w:eastAsia="宋体"/>
                <w:sz w:val="28"/>
                <w:szCs w:val="28"/>
              </w:rPr>
              <w:t>2、正确使用服务群众专项经费用于村内公益事业,达到群众满意</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时效指标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完成率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当年服务群众任务完成情况</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效果指标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社会效益指标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社会稳定水平</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通过实施计划生育扶助政策促进社会稳定水平逐步提高</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项逐步改善</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满意度指标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群众满意数量占总数的比例。</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依据上级专款文件</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13、纪检保障经费绩效目标表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15" w:name="_Toc31369649"/>
      <w:r>
        <w:rPr>
          <w:rFonts w:ascii="宋体" w:hAnsi="宋体" w:eastAsia="宋体"/>
          <w:b/>
          <w:sz w:val="28"/>
          <w:szCs w:val="28"/>
        </w:rPr>
        <w:instrText xml:space="preserve">13、纪检保障经费绩效目标表</w:instrText>
      </w:r>
      <w:bookmarkEnd w:id="15"/>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909-1701-JBN-0AW1</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4.40</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4.40</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按照纪检编制每人22000元，我乡2个编制，全年需要纪检工作经费44000元。项目实施年度2020年。12月完成支出。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25.00</w:t>
            </w: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60.00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90.00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1、建立纪检保障长效机制，为纪检组织提供必要的工作条件。</w:t>
            </w:r>
          </w:p>
          <w:p>
            <w:pPr>
              <w:spacing w:line="300" w:lineRule="exact"/>
              <w:jc w:val="left"/>
              <w:rPr>
                <w:rFonts w:ascii="宋体" w:hAnsi="宋体" w:eastAsia="宋体"/>
                <w:sz w:val="28"/>
                <w:szCs w:val="28"/>
              </w:rPr>
            </w:pPr>
            <w:r>
              <w:rPr>
                <w:rFonts w:ascii="宋体" w:hAnsi="宋体" w:eastAsia="宋体"/>
                <w:sz w:val="28"/>
                <w:szCs w:val="28"/>
              </w:rPr>
              <w:t>2、更好的推进农村反腐倡廉，服务经济，促进社会和谐。</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乡镇纪检部门运转费用保障率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乡镇纪检部门正常运转保障程度。（实际保障金额/应保障金额）</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宋体" w:hAnsi="宋体" w:eastAsia="宋体"/>
                <w:sz w:val="28"/>
                <w:szCs w:val="28"/>
              </w:rPr>
            </w:pP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质量指标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执法办案行为投诉率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被投诉案件占办案总量的比例。</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≤5%</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满意度指标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群众满意度</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信访群众对案件处理的满意程度</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计划标准</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14、其他两委干部绩效补贴绩效目标表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16" w:name="_Toc31369650"/>
      <w:r>
        <w:rPr>
          <w:rFonts w:ascii="宋体" w:hAnsi="宋体" w:eastAsia="宋体"/>
          <w:b/>
          <w:sz w:val="28"/>
          <w:szCs w:val="28"/>
        </w:rPr>
        <w:instrText xml:space="preserve">14、其他两委干部绩效补贴绩效目标表</w:instrText>
      </w:r>
      <w:bookmarkEnd w:id="16"/>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909-0701-JBN-HFDH</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其他两委干部绩效补贴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21.60</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21.60</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主要用于提高除村党组织书记、村委会主任其他“两委”干部绩效补贴。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25.00</w:t>
            </w: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50.00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75.00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1、项目资金做到专款专用，全部用于在职村干部，“奖优罚劣”，切实解决“干多干少，干好干坏一个样”的问题</w:t>
            </w:r>
          </w:p>
          <w:p>
            <w:pPr>
              <w:spacing w:line="300" w:lineRule="exact"/>
              <w:jc w:val="left"/>
              <w:rPr>
                <w:rFonts w:ascii="宋体" w:hAnsi="宋体" w:eastAsia="宋体"/>
                <w:sz w:val="28"/>
                <w:szCs w:val="28"/>
              </w:rPr>
            </w:pPr>
            <w:r>
              <w:rPr>
                <w:rFonts w:ascii="宋体" w:hAnsi="宋体" w:eastAsia="宋体"/>
                <w:sz w:val="28"/>
                <w:szCs w:val="28"/>
              </w:rPr>
              <w:t>2、为农村支书、主任及其他“两委”干部发放工资，进一步强化党在农村执政的保障基础，充分调动农村干部的工作热情。</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补助金发放率(%)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实际发放的补助金金额占计划发放金额的比率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≥95%</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计划标准</w:t>
            </w:r>
          </w:p>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宋体" w:hAnsi="宋体" w:eastAsia="宋体"/>
                <w:sz w:val="28"/>
                <w:szCs w:val="28"/>
              </w:rPr>
            </w:pP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质量指标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补助覆盖率(%)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已补助人数占应补助人群的比率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≥95%</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满意度指标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通过问卷调查，满意和较满意的受益对象占全部调研对象的比例</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计划标准</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15、人大工作经费绩效目标表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17" w:name="_Toc31369651"/>
      <w:r>
        <w:rPr>
          <w:rFonts w:ascii="宋体" w:hAnsi="宋体" w:eastAsia="宋体"/>
          <w:b/>
          <w:sz w:val="28"/>
          <w:szCs w:val="28"/>
        </w:rPr>
        <w:instrText xml:space="preserve">15、人大工作经费绩效目标表</w:instrText>
      </w:r>
      <w:bookmarkEnd w:id="17"/>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909-1701-JBN-V0QL</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3.00</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3.00</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项目预算资金3万元。用于我乡人大开展工作，履行职能。计划该项目2020年实施。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60.00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90.00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1、完成上级和本级人大的各项决议。</w:t>
            </w:r>
          </w:p>
          <w:p>
            <w:pPr>
              <w:spacing w:line="300" w:lineRule="exact"/>
              <w:jc w:val="left"/>
              <w:rPr>
                <w:rFonts w:ascii="宋体" w:hAnsi="宋体" w:eastAsia="宋体"/>
                <w:sz w:val="28"/>
                <w:szCs w:val="28"/>
              </w:rPr>
            </w:pPr>
            <w:r>
              <w:rPr>
                <w:rFonts w:ascii="宋体" w:hAnsi="宋体" w:eastAsia="宋体"/>
                <w:sz w:val="28"/>
                <w:szCs w:val="28"/>
              </w:rPr>
              <w:t>2、会议制度完善，会议程序规范，人大履职能力提高。</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时效指标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人大日常工作经费保障及时性</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保障人大日常工作及时性</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非常及时</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宋体" w:hAnsi="宋体" w:eastAsia="宋体"/>
                <w:sz w:val="28"/>
                <w:szCs w:val="28"/>
              </w:rPr>
            </w:pP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人大集中性工作完成率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人大会议等集中活动完成情况。（实际完成工作/计划完成工作）</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≥95%</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满意度指标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人大代表及相关人员的满意度</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人大代表，人民群众对人大工作的满意率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≥95%</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计划标准</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16、团委综合事务管理经费绩效目标表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18" w:name="_Toc31369652"/>
      <w:r>
        <w:rPr>
          <w:rFonts w:ascii="宋体" w:hAnsi="宋体" w:eastAsia="宋体"/>
          <w:b/>
          <w:sz w:val="28"/>
          <w:szCs w:val="28"/>
        </w:rPr>
        <w:instrText xml:space="preserve">16、团委综合事务管理经费绩效目标表</w:instrText>
      </w:r>
      <w:bookmarkEnd w:id="18"/>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909-1701-JBN-QRRG</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2.00</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2.00</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项目预算资金2万元。用于保障共青团工作的开展项目，项目2012年实施，12月完成。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25.00</w:t>
            </w: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60.00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90.00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1、落实好上级精神，切实做好新形势下青年群众工作，紧紧抓住全面深化改革重大历史机遇，全面推进共青团徐水区委改革，开创徐水共青团工作新局面。</w:t>
            </w:r>
          </w:p>
          <w:p>
            <w:pPr>
              <w:spacing w:line="300" w:lineRule="exact"/>
              <w:jc w:val="left"/>
              <w:rPr>
                <w:rFonts w:ascii="宋体" w:hAnsi="宋体" w:eastAsia="宋体"/>
                <w:sz w:val="28"/>
                <w:szCs w:val="28"/>
              </w:rPr>
            </w:pPr>
            <w:r>
              <w:rPr>
                <w:rFonts w:ascii="宋体" w:hAnsi="宋体" w:eastAsia="宋体"/>
                <w:sz w:val="28"/>
                <w:szCs w:val="28"/>
              </w:rPr>
              <w:t>2、改革共青团干部队伍模式，改革创新团的基层基础,充分发挥桥梁纽带作用,切实从严治团、改进作风。</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组织宣传活动次数（次）</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组织宣传活动次数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≥4次</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宋体" w:hAnsi="宋体" w:eastAsia="宋体"/>
                <w:sz w:val="28"/>
                <w:szCs w:val="28"/>
              </w:rPr>
            </w:pP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质量指标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综合业务管理工作完成率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综合业务管理工作完成情况</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≥80%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满意度指标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群众满意度</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群众对团委提供各种服务的满意程度</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计划标准</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17、退役军人公益性岗位人员工资绩效目标表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19" w:name="_Toc31369653"/>
      <w:r>
        <w:rPr>
          <w:rFonts w:ascii="宋体" w:hAnsi="宋体" w:eastAsia="宋体"/>
          <w:b/>
          <w:sz w:val="28"/>
          <w:szCs w:val="28"/>
        </w:rPr>
        <w:instrText xml:space="preserve">17、退役军人公益性岗位人员工资绩效目标表</w:instrText>
      </w:r>
      <w:bookmarkEnd w:id="19"/>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909-1701-JXN-LLZG</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2.69</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2.69</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项目预算资金2.69万元。用于退役军人公益岗位人员工资发放项目。项目实施时间2020年1月-12月。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25.00</w:t>
            </w: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50.00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83.33</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1、按照省、市政策落实专班大力扶持安置后下岗解除劳动合同和自谋职业退役士兵再就业的要求，以解决实际问题为出发点和落脚点，对有就业困难、有意到公益岗位就业的，优先安排到公益性岗位就业。</w:t>
            </w:r>
          </w:p>
          <w:p>
            <w:pPr>
              <w:spacing w:line="300" w:lineRule="exact"/>
              <w:jc w:val="left"/>
              <w:rPr>
                <w:rFonts w:ascii="宋体" w:hAnsi="宋体" w:eastAsia="宋体"/>
                <w:sz w:val="28"/>
                <w:szCs w:val="28"/>
              </w:rPr>
            </w:pPr>
            <w:r>
              <w:rPr>
                <w:rFonts w:ascii="宋体" w:hAnsi="宋体" w:eastAsia="宋体"/>
                <w:sz w:val="28"/>
                <w:szCs w:val="28"/>
              </w:rPr>
              <w:t>2、解决社会不稳定因素，达到社会和谐稳定的目标。</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时效指标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公益性岗位补贴到位率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人员工资是否及时按月发放</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宋体" w:hAnsi="宋体" w:eastAsia="宋体"/>
                <w:sz w:val="28"/>
                <w:szCs w:val="28"/>
              </w:rPr>
            </w:pP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公益性岗位补贴到位率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经审核符合领取公益性岗位补贴条件的公益性岗位补贴发放率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满意度指标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退役安置满意度（%）</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对退役安置满意和较满意的人数占调查总人数的比率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计划标准</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18、维稳经费绩效目标表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20" w:name="_Toc31369654"/>
      <w:r>
        <w:rPr>
          <w:rFonts w:ascii="宋体" w:hAnsi="宋体" w:eastAsia="宋体"/>
          <w:b/>
          <w:sz w:val="28"/>
          <w:szCs w:val="28"/>
        </w:rPr>
        <w:instrText xml:space="preserve">18、维稳经费绩效目标表</w:instrText>
      </w:r>
      <w:bookmarkEnd w:id="20"/>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909-0601-JBN-BCTL</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5.50</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5.50</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项目预算资金5.5万元，用于进京值班及开展排查、化解影响社会稳定的不稳定隐患、群体性事件和突发事件及影响安全的事件，帮助群众解决疑难问题。计划2020年开始实施。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60.00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90.00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1、建立维稳保障长效机制，解决各种信访案件。</w:t>
            </w:r>
          </w:p>
          <w:p>
            <w:pPr>
              <w:spacing w:line="300" w:lineRule="exact"/>
              <w:jc w:val="left"/>
              <w:rPr>
                <w:rFonts w:ascii="宋体" w:hAnsi="宋体" w:eastAsia="宋体"/>
                <w:sz w:val="28"/>
                <w:szCs w:val="28"/>
              </w:rPr>
            </w:pPr>
            <w:r>
              <w:rPr>
                <w:rFonts w:ascii="宋体" w:hAnsi="宋体" w:eastAsia="宋体"/>
                <w:sz w:val="28"/>
                <w:szCs w:val="28"/>
              </w:rPr>
              <w:t>2、帮助群众解决疑难问题，减少矛盾纠纷案件和不稳定因素的发生。</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矛盾纠纷调处率(%)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调处矛盾纠纷数量占排查矛盾纠纷总数的比率。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≥85%</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宋体" w:hAnsi="宋体" w:eastAsia="宋体"/>
                <w:sz w:val="28"/>
                <w:szCs w:val="28"/>
              </w:rPr>
            </w:pP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质量指标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协调督导事项化解率(%)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化解事项占督导事项总数的比率。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≥85%</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效果指标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社会效益指标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社会稳定水平</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通过实施此项目促进社会稳定水平逐步提高。</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稳定水平提高</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19、选任专职人民调解员经费绩效目标表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21" w:name="_Toc31369655"/>
      <w:r>
        <w:rPr>
          <w:rFonts w:ascii="宋体" w:hAnsi="宋体" w:eastAsia="宋体"/>
          <w:b/>
          <w:sz w:val="28"/>
          <w:szCs w:val="28"/>
        </w:rPr>
        <w:instrText xml:space="preserve">19、选任专职人民调解员经费绩效目标表</w:instrText>
      </w:r>
      <w:bookmarkEnd w:id="21"/>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909-1701-JXN-9G6K</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5.70</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5.70</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为进一步做好人民调解工作，依据上级文件精神，为我乡招录2名专职人民调解员，便于更好、更快调解诉前案件和信访案件，减少社会矛盾，化解社会纠纷。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25.00</w:t>
            </w: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50.00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75.00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1、做好人民调解工作，更好、更快调解诉前案件和信访案件。</w:t>
            </w:r>
          </w:p>
          <w:p>
            <w:pPr>
              <w:spacing w:line="300" w:lineRule="exact"/>
              <w:jc w:val="left"/>
              <w:rPr>
                <w:rFonts w:ascii="宋体" w:hAnsi="宋体" w:eastAsia="宋体"/>
                <w:sz w:val="28"/>
                <w:szCs w:val="28"/>
              </w:rPr>
            </w:pPr>
            <w:r>
              <w:rPr>
                <w:rFonts w:ascii="宋体" w:hAnsi="宋体" w:eastAsia="宋体"/>
                <w:sz w:val="28"/>
                <w:szCs w:val="28"/>
              </w:rPr>
              <w:t>2、减少社会矛盾，化解社会纠纷。</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质量指标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调解案件成功率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调解成功案件数量占受理案件数量的比例（百分比）</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≥70%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效果指标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社会效益指标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社会稳定水平</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通过实施专职调解员工作促进社会稳定水平逐步提高</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专职调解员工作促进社会稳定水平逐步提升。</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满意度指标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接受人民调解服务的重点人群对专职调解员提供服务的满意程度</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区政府工作方案</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20、政府机关运行维护专项经费绩效目标表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22" w:name="_Toc31369656"/>
      <w:r>
        <w:rPr>
          <w:rFonts w:ascii="宋体" w:hAnsi="宋体" w:eastAsia="宋体"/>
          <w:b/>
          <w:sz w:val="28"/>
          <w:szCs w:val="28"/>
        </w:rPr>
        <w:instrText xml:space="preserve">20、政府机关运行维护专项经费绩效目标表</w:instrText>
      </w:r>
      <w:bookmarkEnd w:id="22"/>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909-1701-JBN-07C0</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政府机关运行维护专项经费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12.61</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12.61</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预算项目资金12.61万元，主要用于搞好服务保障，为干部职工提供良好的工作环境。计划2020年开始实施。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25.00</w:t>
            </w: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60.00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90.00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1、加强财务管理，确保资金安全，提高财政资金使用效益。</w:t>
            </w:r>
          </w:p>
          <w:p>
            <w:pPr>
              <w:spacing w:line="300" w:lineRule="exact"/>
              <w:jc w:val="left"/>
              <w:rPr>
                <w:rFonts w:ascii="宋体" w:hAnsi="宋体" w:eastAsia="宋体"/>
                <w:sz w:val="28"/>
                <w:szCs w:val="28"/>
              </w:rPr>
            </w:pPr>
            <w:r>
              <w:rPr>
                <w:rFonts w:ascii="宋体" w:hAnsi="宋体" w:eastAsia="宋体"/>
                <w:sz w:val="28"/>
                <w:szCs w:val="28"/>
              </w:rPr>
              <w:t>2、搞好服务保障，为干部职工提供良好的工作环境。</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质量指标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保障工作需要情况</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办公用房等所带来的保障工作需要提升情况</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明显提升</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宋体" w:hAnsi="宋体" w:eastAsia="宋体"/>
                <w:sz w:val="28"/>
                <w:szCs w:val="28"/>
              </w:rPr>
            </w:pP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综合事务管理工作完成率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综合事务管理工作完成情况</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满意度指标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群众满意度</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通过问卷调查，满意和较满意的受益对象占全部调研对象的比率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21、中央补助地方美术馆、公共图书馆、文化馆（站）免费开放专项资金绩效目标表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23" w:name="_Toc31369657"/>
      <w:r>
        <w:rPr>
          <w:rFonts w:ascii="宋体" w:hAnsi="宋体" w:eastAsia="宋体"/>
          <w:b/>
          <w:sz w:val="28"/>
          <w:szCs w:val="28"/>
        </w:rPr>
        <w:instrText xml:space="preserve">21、中央补助地方美术馆、公共图书馆、文化馆（站）免费开放专项资金绩效目标表</w:instrText>
      </w:r>
      <w:bookmarkEnd w:id="23"/>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909-1401-JZN-T8KA</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中央补助地方美术馆、公共图书馆、文化馆（站）免费开放专项资金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2.50</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2.50</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用于“三馆一站”免费开展基本公共文化服务项目所需支出。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60.00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1、此项目资金做到专款专用，及时拨付资金保障“三馆一站”开展各项文化活动</w:t>
            </w:r>
          </w:p>
          <w:p>
            <w:pPr>
              <w:spacing w:line="300" w:lineRule="exact"/>
              <w:jc w:val="left"/>
              <w:rPr>
                <w:rFonts w:ascii="宋体" w:hAnsi="宋体" w:eastAsia="宋体"/>
                <w:sz w:val="28"/>
                <w:szCs w:val="28"/>
              </w:rPr>
            </w:pPr>
            <w:r>
              <w:rPr>
                <w:rFonts w:ascii="宋体" w:hAnsi="宋体" w:eastAsia="宋体"/>
                <w:sz w:val="28"/>
                <w:szCs w:val="28"/>
              </w:rPr>
              <w:t>2、组织公益性群众文化活动，丰富农民群众文化生活。</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质量指标</w:t>
            </w:r>
          </w:p>
        </w:tc>
        <w:tc>
          <w:tcPr>
            <w:tcW w:w="1276" w:type="dxa"/>
            <w:shd w:val="clear" w:color="auto" w:fill="auto"/>
            <w:vAlign w:val="center"/>
          </w:tcPr>
          <w:p>
            <w:pPr>
              <w:spacing w:line="300" w:lineRule="exact"/>
              <w:jc w:val="left"/>
              <w:rPr>
                <w:rFonts w:ascii="宋体" w:hAnsi="宋体" w:eastAsia="宋体"/>
                <w:sz w:val="28"/>
                <w:szCs w:val="28"/>
              </w:rPr>
            </w:pPr>
            <w:r>
              <w:rPr>
                <w:rFonts w:hint="cs" w:ascii="宋体" w:hAnsi="宋体" w:eastAsia="宋体"/>
                <w:sz w:val="28"/>
                <w:szCs w:val="28"/>
              </w:rPr>
              <w:t>“</w:t>
            </w:r>
            <w:r>
              <w:rPr>
                <w:rFonts w:ascii="宋体" w:hAnsi="宋体" w:eastAsia="宋体"/>
                <w:sz w:val="28"/>
                <w:szCs w:val="28"/>
              </w:rPr>
              <w:t>三馆一站”设备及环境完好率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设施设备软硬件运行使用的良好的数量占总数量的百分比</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宋体" w:hAnsi="宋体" w:eastAsia="宋体"/>
                <w:sz w:val="28"/>
                <w:szCs w:val="28"/>
              </w:rPr>
            </w:pP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质量指标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文化资源共享</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文化资源是否实现共享</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实现文化资源共享</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满意度指标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农村受益群众满意程度</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560" w:firstLineChars="200"/>
        <w:jc w:val="left"/>
        <w:rPr>
          <w:rFonts w:ascii="宋体" w:hAnsi="宋体" w:eastAsia="宋体"/>
          <w:sz w:val="28"/>
          <w:szCs w:val="28"/>
        </w:rPr>
      </w:pPr>
    </w:p>
    <w:p>
      <w:pPr>
        <w:ind w:firstLine="562" w:firstLineChars="200"/>
        <w:jc w:val="left"/>
        <w:outlineLvl w:val="1"/>
        <w:rPr>
          <w:rFonts w:ascii="宋体" w:hAnsi="宋体" w:eastAsia="宋体"/>
          <w:b/>
          <w:sz w:val="28"/>
          <w:szCs w:val="28"/>
        </w:rPr>
      </w:pPr>
      <w:r>
        <w:rPr>
          <w:rFonts w:ascii="宋体" w:hAnsi="宋体" w:eastAsia="宋体"/>
          <w:b/>
          <w:sz w:val="28"/>
          <w:szCs w:val="28"/>
        </w:rPr>
        <w:t>22、中央补助地方农村文化建设区级配套资金绩效目标表</w:t>
      </w:r>
      <w:r>
        <w:rPr>
          <w:rFonts w:ascii="宋体" w:hAnsi="宋体" w:eastAsia="宋体"/>
          <w:b/>
          <w:sz w:val="28"/>
          <w:szCs w:val="28"/>
        </w:rPr>
        <w:fldChar w:fldCharType="begin"/>
      </w:r>
      <w:r>
        <w:rPr>
          <w:rFonts w:ascii="宋体" w:hAnsi="宋体" w:eastAsia="宋体"/>
          <w:b/>
          <w:sz w:val="28"/>
          <w:szCs w:val="28"/>
        </w:rPr>
        <w:instrText xml:space="preserve"> TC </w:instrText>
      </w:r>
      <w:bookmarkStart w:id="24" w:name="_Toc31369658"/>
      <w:r>
        <w:rPr>
          <w:rFonts w:ascii="宋体" w:hAnsi="宋体" w:eastAsia="宋体"/>
          <w:b/>
          <w:sz w:val="28"/>
          <w:szCs w:val="28"/>
        </w:rPr>
        <w:instrText xml:space="preserve">22、中央补助地方农村文化建设区级配套资金绩效目标表</w:instrText>
      </w:r>
      <w:bookmarkEnd w:id="24"/>
      <w:r>
        <w:rPr>
          <w:rFonts w:ascii="宋体" w:hAnsi="宋体" w:eastAsia="宋体"/>
          <w:b/>
          <w:sz w:val="28"/>
          <w:szCs w:val="28"/>
        </w:rPr>
        <w:instrText xml:space="preserve"> \f C \l 1 </w:instrText>
      </w:r>
      <w:r>
        <w:rPr>
          <w:rFonts w:ascii="宋体" w:hAnsi="宋体" w:eastAsia="宋体"/>
          <w:b/>
          <w:sz w:val="28"/>
          <w:szCs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eastAsia="宋体"/>
                <w:b/>
                <w:sz w:val="28"/>
                <w:szCs w:val="28"/>
              </w:rPr>
            </w:pPr>
            <w:r>
              <w:rPr>
                <w:rFonts w:ascii="宋体" w:hAnsi="宋体" w:eastAsia="宋体"/>
                <w:b/>
                <w:sz w:val="28"/>
                <w:szCs w:val="28"/>
              </w:rPr>
              <w:t>909002义联庄乡（行政）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eastAsia="宋体"/>
                <w:sz w:val="28"/>
                <w:szCs w:val="28"/>
              </w:rPr>
            </w:pPr>
            <w:r>
              <w:rPr>
                <w:rFonts w:ascii="宋体" w:hAnsi="宋体" w:eastAsia="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项目编码</w:t>
            </w:r>
          </w:p>
        </w:tc>
        <w:tc>
          <w:tcPr>
            <w:tcW w:w="2410" w:type="dxa"/>
            <w:gridSpan w:val="2"/>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909-0701-JBN-K4D8</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项目名称</w:t>
            </w:r>
          </w:p>
        </w:tc>
        <w:tc>
          <w:tcPr>
            <w:tcW w:w="4281" w:type="dxa"/>
            <w:gridSpan w:val="3"/>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中央补助地方农村文化建设区级配套资金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预算规模及资金用途</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预算数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2.11</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其中：财政资金</w:t>
            </w:r>
          </w:p>
        </w:tc>
        <w:tc>
          <w:tcPr>
            <w:tcW w:w="130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2.11</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其他资金</w:t>
            </w:r>
          </w:p>
        </w:tc>
        <w:tc>
          <w:tcPr>
            <w:tcW w:w="1701" w:type="dxa"/>
            <w:shd w:val="clear" w:color="auto" w:fill="auto"/>
            <w:vAlign w:val="center"/>
          </w:tcPr>
          <w:p>
            <w:pPr>
              <w:spacing w:line="300" w:lineRule="exact"/>
              <w:jc w:val="left"/>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宋体" w:hAnsi="宋体" w:eastAsia="宋体"/>
                <w:sz w:val="28"/>
                <w:szCs w:val="28"/>
              </w:rPr>
            </w:pPr>
          </w:p>
        </w:tc>
        <w:tc>
          <w:tcPr>
            <w:tcW w:w="8278" w:type="dxa"/>
            <w:gridSpan w:val="6"/>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补助行政村文化设施维护和开展文化活动等支出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资金支出计划（%）</w:t>
            </w:r>
          </w:p>
        </w:tc>
        <w:tc>
          <w:tcPr>
            <w:tcW w:w="2410"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3月底</w:t>
            </w:r>
          </w:p>
        </w:tc>
        <w:tc>
          <w:tcPr>
            <w:tcW w:w="1587"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6月底</w:t>
            </w:r>
          </w:p>
        </w:tc>
        <w:tc>
          <w:tcPr>
            <w:tcW w:w="130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10月底</w:t>
            </w:r>
          </w:p>
        </w:tc>
        <w:tc>
          <w:tcPr>
            <w:tcW w:w="2977" w:type="dxa"/>
            <w:gridSpan w:val="2"/>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宋体" w:hAnsi="宋体" w:eastAsia="宋体"/>
                <w:sz w:val="28"/>
                <w:szCs w:val="28"/>
              </w:rPr>
            </w:pPr>
          </w:p>
        </w:tc>
        <w:tc>
          <w:tcPr>
            <w:tcW w:w="2410"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1587"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1304" w:type="dxa"/>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c>
          <w:tcPr>
            <w:tcW w:w="2977" w:type="dxa"/>
            <w:gridSpan w:val="2"/>
            <w:tcBorders>
              <w:bottom w:val="single" w:color="000000" w:sz="6" w:space="0"/>
            </w:tcBorders>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绩效目标</w:t>
            </w:r>
          </w:p>
        </w:tc>
        <w:tc>
          <w:tcPr>
            <w:tcW w:w="8278" w:type="dxa"/>
            <w:gridSpan w:val="6"/>
            <w:tcBorders>
              <w:bottom w:val="nil"/>
            </w:tcBorders>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1、鼓励地方开展农村特色文育活动</w:t>
            </w:r>
          </w:p>
          <w:p>
            <w:pPr>
              <w:spacing w:line="300" w:lineRule="exact"/>
              <w:jc w:val="left"/>
              <w:rPr>
                <w:rFonts w:ascii="宋体" w:hAnsi="宋体" w:eastAsia="宋体"/>
                <w:sz w:val="28"/>
                <w:szCs w:val="28"/>
              </w:rPr>
            </w:pPr>
            <w:r>
              <w:rPr>
                <w:rFonts w:ascii="宋体" w:hAnsi="宋体" w:eastAsia="宋体"/>
                <w:sz w:val="28"/>
                <w:szCs w:val="28"/>
              </w:rPr>
              <w:t>2、加强农村基层文化人才队伍建设、丰富农民群众文化生活等</w:t>
            </w:r>
          </w:p>
        </w:tc>
      </w:tr>
    </w:tbl>
    <w:p>
      <w:pPr>
        <w:spacing w:line="14" w:lineRule="exact"/>
        <w:ind w:firstLine="560" w:firstLineChars="200"/>
        <w:jc w:val="center"/>
        <w:rPr>
          <w:rFonts w:ascii="宋体" w:hAnsi="宋体" w:eastAsia="宋体"/>
          <w:sz w:val="28"/>
          <w:szCs w:val="28"/>
        </w:rPr>
      </w:pPr>
      <w:r>
        <w:rPr>
          <w:rFonts w:ascii="宋体" w:hAnsi="宋体" w:eastAsia="宋体"/>
          <w:sz w:val="28"/>
          <w:szCs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一级指标</w:t>
            </w:r>
          </w:p>
        </w:tc>
        <w:tc>
          <w:tcPr>
            <w:tcW w:w="1134"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二级指标</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三级指标</w:t>
            </w:r>
          </w:p>
        </w:tc>
        <w:tc>
          <w:tcPr>
            <w:tcW w:w="289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绩效指标描述</w:t>
            </w:r>
          </w:p>
        </w:tc>
        <w:tc>
          <w:tcPr>
            <w:tcW w:w="1276"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w:t>
            </w:r>
          </w:p>
        </w:tc>
        <w:tc>
          <w:tcPr>
            <w:tcW w:w="1701" w:type="dxa"/>
            <w:shd w:val="clear" w:color="auto" w:fill="auto"/>
            <w:vAlign w:val="center"/>
          </w:tcPr>
          <w:p>
            <w:pPr>
              <w:spacing w:line="300" w:lineRule="exact"/>
              <w:jc w:val="center"/>
              <w:rPr>
                <w:rFonts w:ascii="宋体" w:hAnsi="宋体" w:eastAsia="宋体"/>
                <w:b/>
                <w:sz w:val="28"/>
                <w:szCs w:val="28"/>
              </w:rPr>
            </w:pPr>
            <w:r>
              <w:rPr>
                <w:rFonts w:ascii="宋体" w:hAnsi="宋体" w:eastAsia="宋体"/>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产出指标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质量指标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仓储设施设备及环境完好率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设施设备软硬件运行使用的良好的数量占总数量的百分比</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宋体" w:hAnsi="宋体" w:eastAsia="宋体"/>
                <w:sz w:val="28"/>
                <w:szCs w:val="28"/>
              </w:rPr>
            </w:pP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数量指标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文化交流次数</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文化交流活动开展实施次数</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≥5</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eastAsia="宋体"/>
                <w:sz w:val="28"/>
                <w:szCs w:val="28"/>
              </w:rPr>
            </w:pPr>
            <w:r>
              <w:rPr>
                <w:rFonts w:ascii="宋体" w:hAnsi="宋体" w:eastAsia="宋体"/>
                <w:sz w:val="28"/>
                <w:szCs w:val="28"/>
              </w:rPr>
              <w:t>满意度指标</w:t>
            </w:r>
          </w:p>
        </w:tc>
        <w:tc>
          <w:tcPr>
            <w:tcW w:w="1134"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服务对象满意度指标</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受益群众满意率</w:t>
            </w:r>
          </w:p>
        </w:tc>
        <w:tc>
          <w:tcPr>
            <w:tcW w:w="289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农村受益群众满意程度</w:t>
            </w:r>
          </w:p>
        </w:tc>
        <w:tc>
          <w:tcPr>
            <w:tcW w:w="1276"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≥90%</w:t>
            </w:r>
          </w:p>
        </w:tc>
        <w:tc>
          <w:tcPr>
            <w:tcW w:w="1701" w:type="dxa"/>
            <w:shd w:val="clear" w:color="auto" w:fill="auto"/>
            <w:vAlign w:val="center"/>
          </w:tcPr>
          <w:p>
            <w:pPr>
              <w:spacing w:line="300" w:lineRule="exact"/>
              <w:jc w:val="left"/>
              <w:rPr>
                <w:rFonts w:ascii="宋体" w:hAnsi="宋体" w:eastAsia="宋体"/>
                <w:sz w:val="28"/>
                <w:szCs w:val="28"/>
              </w:rPr>
            </w:pPr>
            <w:r>
              <w:rPr>
                <w:rFonts w:ascii="宋体" w:hAnsi="宋体" w:eastAsia="宋体"/>
                <w:sz w:val="28"/>
                <w:szCs w:val="28"/>
              </w:rPr>
              <w:t>计划标准</w:t>
            </w:r>
          </w:p>
        </w:tc>
      </w:tr>
    </w:tbl>
    <w:p>
      <w:pPr>
        <w:spacing w:line="300" w:lineRule="exact"/>
        <w:ind w:firstLine="560" w:firstLineChars="200"/>
        <w:jc w:val="left"/>
        <w:rPr>
          <w:rFonts w:ascii="宋体" w:hAnsi="宋体" w:eastAsia="宋体"/>
          <w:sz w:val="28"/>
          <w:szCs w:val="28"/>
        </w:rPr>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2020年，我部门无政府采购预算，空表列示。</w:t>
      </w:r>
    </w:p>
    <w:tbl>
      <w:tblPr>
        <w:tblStyle w:val="6"/>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left"/>
              <w:rPr>
                <w:rFonts w:ascii="方正小标宋_GBK" w:eastAsia="方正小标宋_GBK"/>
                <w:sz w:val="24"/>
              </w:rPr>
            </w:pP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outlineLvl w:val="0"/>
        <w:rPr>
          <w:rFonts w:ascii="方正小标宋_GBK" w:eastAsia="方正小标宋_GBK"/>
          <w:sz w:val="44"/>
        </w:rPr>
        <w:sectPr>
          <w:footerReference r:id="rId4" w:type="default"/>
          <w:pgSz w:w="16838" w:h="11906" w:orient="landscape"/>
          <w:pgMar w:top="1800" w:right="1440" w:bottom="1800" w:left="1440" w:header="851" w:footer="992" w:gutter="0"/>
          <w:cols w:space="425" w:num="1"/>
          <w:docGrid w:type="lines" w:linePitch="312" w:charSpace="0"/>
        </w:sectPr>
      </w:pPr>
      <w:r>
        <w:rPr>
          <w:rFonts w:ascii="方正小标宋_GBK" w:eastAsia="方正小标宋_GBK"/>
          <w:sz w:val="44"/>
        </w:rPr>
        <w:br w:type="page"/>
      </w: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上年末我部门固定资产总金额为256.54万元（详见下表）。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6"/>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256.54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1350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100.20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1350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100.20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29.66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126.68</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Malgun Gothic Semilight"/>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书宋_GBK">
    <w:altName w:val="Malgun Gothic Semilight"/>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 PAGE </w:instrText>
    </w:r>
    <w:r>
      <w:rPr>
        <w:rStyle w:val="8"/>
      </w:rPr>
      <w:fldChar w:fldCharType="separate"/>
    </w:r>
    <w:r>
      <w:rPr>
        <w:rStyle w:val="8"/>
      </w:rPr>
      <w:t>30</w:t>
    </w:r>
    <w:r>
      <w:rPr>
        <w:rStyle w:val="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33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YzEyZmQwZjE5NmU5NTI4NTkxZTY2OTUyYTdkNmYifQ=="/>
  </w:docVars>
  <w:rsids>
    <w:rsidRoot w:val="00055F1F"/>
    <w:rsid w:val="00013B8A"/>
    <w:rsid w:val="00044FBC"/>
    <w:rsid w:val="00055F1F"/>
    <w:rsid w:val="000577EF"/>
    <w:rsid w:val="00057F18"/>
    <w:rsid w:val="000A445D"/>
    <w:rsid w:val="000C178B"/>
    <w:rsid w:val="000E5AE6"/>
    <w:rsid w:val="00130C9D"/>
    <w:rsid w:val="00131DEC"/>
    <w:rsid w:val="00136AB3"/>
    <w:rsid w:val="00141AEE"/>
    <w:rsid w:val="001462BD"/>
    <w:rsid w:val="00152380"/>
    <w:rsid w:val="001638BE"/>
    <w:rsid w:val="00172C7A"/>
    <w:rsid w:val="00181777"/>
    <w:rsid w:val="001A6B3C"/>
    <w:rsid w:val="001B4688"/>
    <w:rsid w:val="001B6235"/>
    <w:rsid w:val="001F4875"/>
    <w:rsid w:val="00212335"/>
    <w:rsid w:val="002918C6"/>
    <w:rsid w:val="00296524"/>
    <w:rsid w:val="002E01F6"/>
    <w:rsid w:val="002F1ACB"/>
    <w:rsid w:val="002F530F"/>
    <w:rsid w:val="00305E97"/>
    <w:rsid w:val="00310532"/>
    <w:rsid w:val="0032782B"/>
    <w:rsid w:val="00330379"/>
    <w:rsid w:val="00340B3D"/>
    <w:rsid w:val="0034253A"/>
    <w:rsid w:val="00367A30"/>
    <w:rsid w:val="003A06D2"/>
    <w:rsid w:val="003A6366"/>
    <w:rsid w:val="003C2317"/>
    <w:rsid w:val="003C442E"/>
    <w:rsid w:val="003D1092"/>
    <w:rsid w:val="003D37CD"/>
    <w:rsid w:val="003E5531"/>
    <w:rsid w:val="003E6AF3"/>
    <w:rsid w:val="003F798E"/>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70142"/>
    <w:rsid w:val="00586C35"/>
    <w:rsid w:val="005B1B6F"/>
    <w:rsid w:val="005B6CCB"/>
    <w:rsid w:val="005C54AA"/>
    <w:rsid w:val="005C7B89"/>
    <w:rsid w:val="005E29F5"/>
    <w:rsid w:val="005F0C91"/>
    <w:rsid w:val="0062788A"/>
    <w:rsid w:val="00641F8A"/>
    <w:rsid w:val="0066383B"/>
    <w:rsid w:val="006B5117"/>
    <w:rsid w:val="006C62DF"/>
    <w:rsid w:val="006F038E"/>
    <w:rsid w:val="006F5104"/>
    <w:rsid w:val="006F6549"/>
    <w:rsid w:val="00735B02"/>
    <w:rsid w:val="007657C8"/>
    <w:rsid w:val="007664E7"/>
    <w:rsid w:val="00767A77"/>
    <w:rsid w:val="00771E49"/>
    <w:rsid w:val="00782208"/>
    <w:rsid w:val="00791938"/>
    <w:rsid w:val="007C7FD7"/>
    <w:rsid w:val="007F3746"/>
    <w:rsid w:val="00833132"/>
    <w:rsid w:val="0086454E"/>
    <w:rsid w:val="008672EA"/>
    <w:rsid w:val="008819BD"/>
    <w:rsid w:val="00891680"/>
    <w:rsid w:val="008A0099"/>
    <w:rsid w:val="008A0B5F"/>
    <w:rsid w:val="008B5402"/>
    <w:rsid w:val="008D11BC"/>
    <w:rsid w:val="0090527E"/>
    <w:rsid w:val="00905BB7"/>
    <w:rsid w:val="0090620C"/>
    <w:rsid w:val="00912DA4"/>
    <w:rsid w:val="009302B8"/>
    <w:rsid w:val="009305C6"/>
    <w:rsid w:val="009752AE"/>
    <w:rsid w:val="00982F3D"/>
    <w:rsid w:val="009A278A"/>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063D9"/>
    <w:rsid w:val="00C177A5"/>
    <w:rsid w:val="00C35FEE"/>
    <w:rsid w:val="00C50535"/>
    <w:rsid w:val="00C6153C"/>
    <w:rsid w:val="00C71DA9"/>
    <w:rsid w:val="00C906EF"/>
    <w:rsid w:val="00C92048"/>
    <w:rsid w:val="00CC7D74"/>
    <w:rsid w:val="00D02F97"/>
    <w:rsid w:val="00D45530"/>
    <w:rsid w:val="00D45A0E"/>
    <w:rsid w:val="00D45D23"/>
    <w:rsid w:val="00D723D1"/>
    <w:rsid w:val="00D7413F"/>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44F1"/>
    <w:rsid w:val="00E71A04"/>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E0F1F"/>
    <w:rsid w:val="00FF61F3"/>
    <w:rsid w:val="1AA90718"/>
    <w:rsid w:val="32BA18BE"/>
    <w:rsid w:val="5ED53A7F"/>
    <w:rsid w:val="7D215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uiPriority w:val="39"/>
    <w:rPr>
      <w:rFonts w:ascii="等线" w:hAnsi="等线" w:eastAsia="等线" w:cs="Times New Roman"/>
    </w:rPr>
  </w:style>
  <w:style w:type="character" w:styleId="8">
    <w:name w:val="page number"/>
    <w:semiHidden/>
    <w:unhideWhenUsed/>
    <w:uiPriority w:val="99"/>
  </w:style>
  <w:style w:type="character" w:styleId="9">
    <w:name w:val="Hyperlink"/>
    <w:unhideWhenUsed/>
    <w:qFormat/>
    <w:uiPriority w:val="99"/>
    <w:rPr>
      <w:color w:val="0563C1"/>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 w:type="character" w:customStyle="1" w:styleId="13">
    <w:name w:val="页脚 字符"/>
    <w:qFormat/>
    <w:uiPriority w:val="99"/>
    <w:rPr>
      <w:kern w:val="2"/>
      <w:sz w:val="18"/>
      <w:szCs w:val="18"/>
    </w:rPr>
  </w:style>
  <w:style w:type="character" w:customStyle="1" w:styleId="14">
    <w:name w:val="页眉 字符"/>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FAB02-6ECE-443E-936A-12C5E5FD7003}">
  <ds:schemaRefs/>
</ds:datastoreItem>
</file>

<file path=docProps/app.xml><?xml version="1.0" encoding="utf-8"?>
<Properties xmlns="http://schemas.openxmlformats.org/officeDocument/2006/extended-properties" xmlns:vt="http://schemas.openxmlformats.org/officeDocument/2006/docPropsVTypes">
  <Template>Normal</Template>
  <Pages>1</Pages>
  <Words>2425</Words>
  <Characters>13823</Characters>
  <Lines>115</Lines>
  <Paragraphs>32</Paragraphs>
  <TotalTime>846</TotalTime>
  <ScaleCrop>false</ScaleCrop>
  <LinksUpToDate>false</LinksUpToDate>
  <CharactersWithSpaces>16216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2019-02-19T07:03:00Z</cp:lastPrinted>
  <dcterms:modified xsi:type="dcterms:W3CDTF">2024-03-14T01:56:12Z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18E0BD737A7E41348F2CEF0261626431_13</vt:lpwstr>
  </property>
</Properties>
</file>