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保定市徐水区义联庄乡人民政府</w:t>
      </w:r>
    </w:p>
    <w:p>
      <w:pPr>
        <w:spacing w:line="360" w:lineRule="auto"/>
        <w:jc w:val="center"/>
        <w:rPr>
          <w:rFonts w:ascii="宋体" w:hAnsi="宋体" w:eastAsia="宋体"/>
          <w:b/>
          <w:sz w:val="44"/>
          <w:szCs w:val="44"/>
        </w:rPr>
      </w:pPr>
      <w:r>
        <w:rPr>
          <w:rFonts w:ascii="宋体" w:hAnsi="宋体" w:eastAsia="宋体"/>
          <w:b/>
          <w:sz w:val="44"/>
          <w:szCs w:val="44"/>
        </w:rPr>
        <w:t>2019年部门预算公开说明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pStyle w:val="12"/>
        <w:widowControl/>
        <w:spacing w:line="600" w:lineRule="exact"/>
        <w:ind w:firstLine="64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根据中共徐水县委办公室、徐水县人民政府办公室关于印发《徐水县义联庄乡职能配置、内设机构和人员编制方案》的通知（徐办发[2008]31号），现将我乡部门概况说明如下：</w:t>
      </w:r>
    </w:p>
    <w:p>
      <w:pPr>
        <w:tabs>
          <w:tab w:val="center" w:pos="4381"/>
        </w:tabs>
        <w:adjustRightInd w:val="0"/>
        <w:snapToGrid w:val="0"/>
        <w:spacing w:line="700" w:lineRule="exact"/>
        <w:ind w:firstLine="320" w:firstLineChars="100"/>
        <w:rPr>
          <w:rFonts w:ascii="仿宋" w:hAnsi="仿宋" w:eastAsia="仿宋"/>
          <w:sz w:val="32"/>
          <w:szCs w:val="32"/>
        </w:rPr>
      </w:pPr>
      <w:r>
        <w:rPr>
          <w:rFonts w:hint="eastAsia" w:ascii="仿宋" w:hAnsi="仿宋" w:eastAsia="仿宋"/>
          <w:sz w:val="32"/>
          <w:szCs w:val="32"/>
        </w:rPr>
        <w:t>（一）负责党委、人大、政府交办的各项日常工作和纪检监察、组织、宣传、统一战线、人事编制、工青妇及各部门、各方面的综合协调工作。负责民政优抚、扶贫开发、民族宗教、劳动和社会保障、科教文卫等工作。负责落实人口计划，开展和推动人口和计划生育各项工作，贯彻实施计划生育条例和法规。负责本乡农村社会化发展；负责乡村基础设施、交通等规划、建设、管理工作，负责国土资源、环境保护、安全生产等工作。协调与社会事务相关的其他工作。督促检查有关工作的落实。指导计划生育服务中心工作。</w:t>
      </w:r>
      <w:r>
        <w:rPr>
          <w:rFonts w:hint="eastAsia" w:ascii="仿宋" w:hAnsi="仿宋" w:eastAsia="仿宋"/>
          <w:sz w:val="32"/>
          <w:szCs w:val="32"/>
        </w:rPr>
        <w:tab/>
      </w:r>
    </w:p>
    <w:p>
      <w:pPr>
        <w:adjustRightInd w:val="0"/>
        <w:snapToGrid w:val="0"/>
        <w:spacing w:line="700" w:lineRule="exact"/>
        <w:ind w:firstLine="320" w:firstLineChars="100"/>
        <w:rPr>
          <w:rFonts w:ascii="仿宋" w:hAnsi="仿宋" w:eastAsia="仿宋"/>
          <w:sz w:val="32"/>
          <w:szCs w:val="32"/>
        </w:rPr>
      </w:pPr>
      <w:r>
        <w:rPr>
          <w:rFonts w:hint="eastAsia" w:ascii="仿宋" w:hAnsi="仿宋" w:eastAsia="仿宋"/>
          <w:sz w:val="32"/>
          <w:szCs w:val="32"/>
        </w:rPr>
        <w:t xml:space="preserve">（二）负责谋划发展思路、创优发展环境、推进农业产业化、促进农民增收、抓好项目建设、服务辖区企业、 </w:t>
      </w:r>
    </w:p>
    <w:p>
      <w:pPr>
        <w:adjustRightInd w:val="0"/>
        <w:snapToGrid w:val="0"/>
        <w:spacing w:line="700" w:lineRule="exact"/>
        <w:ind w:firstLine="320" w:firstLineChars="100"/>
        <w:rPr>
          <w:rFonts w:ascii="仿宋" w:hAnsi="仿宋" w:eastAsia="仿宋"/>
          <w:sz w:val="32"/>
          <w:szCs w:val="32"/>
        </w:rPr>
      </w:pPr>
      <w:r>
        <w:rPr>
          <w:rFonts w:hint="eastAsia" w:ascii="仿宋" w:hAnsi="仿宋" w:eastAsia="仿宋"/>
          <w:sz w:val="32"/>
          <w:szCs w:val="32"/>
        </w:rPr>
        <w:t>加强基础设施建设、国有资产管理、搞好统计工作，协调与经济发展相关的其他工作。负责本级财政预决算、收支和村级财务监督检查等工作。</w:t>
      </w:r>
    </w:p>
    <w:p>
      <w:pPr>
        <w:adjustRightInd w:val="0"/>
        <w:snapToGrid w:val="0"/>
        <w:spacing w:line="700" w:lineRule="exact"/>
        <w:ind w:firstLine="320" w:firstLineChars="100"/>
        <w:rPr>
          <w:rFonts w:ascii="仿宋" w:hAnsi="仿宋" w:eastAsia="仿宋"/>
          <w:sz w:val="32"/>
          <w:szCs w:val="32"/>
        </w:rPr>
      </w:pPr>
      <w:r>
        <w:rPr>
          <w:rFonts w:hint="eastAsia" w:ascii="仿宋" w:hAnsi="仿宋" w:eastAsia="仿宋"/>
          <w:sz w:val="32"/>
          <w:szCs w:val="32"/>
        </w:rPr>
        <w:t>（三）负责来信来访、协调法庭、公安等部门工作，负责辖区内社会治安综合治理和法制宣传等工作，调解民事纠纷，维护社会稳定。</w:t>
      </w:r>
    </w:p>
    <w:p>
      <w:pPr>
        <w:adjustRightInd w:val="0"/>
        <w:snapToGrid w:val="0"/>
        <w:spacing w:line="700" w:lineRule="exact"/>
        <w:ind w:firstLine="320" w:firstLineChars="100"/>
        <w:rPr>
          <w:rFonts w:ascii="仿宋" w:hAnsi="仿宋" w:eastAsia="仿宋"/>
          <w:sz w:val="32"/>
          <w:szCs w:val="32"/>
        </w:rPr>
      </w:pPr>
      <w:r>
        <w:rPr>
          <w:rFonts w:hint="eastAsia" w:ascii="仿宋" w:hAnsi="仿宋" w:eastAsia="仿宋"/>
          <w:sz w:val="32"/>
          <w:szCs w:val="32"/>
        </w:rPr>
        <w:t>（四）负责计划生育技术服务；负责生育指导和避孕咨询；负责婚前咨询和新婚保健；负责计划生育技术人员与婚前保健服务人员培训；负责计划生育科学研究等。</w:t>
      </w:r>
    </w:p>
    <w:p>
      <w:pPr>
        <w:adjustRightInd w:val="0"/>
        <w:snapToGrid w:val="0"/>
        <w:spacing w:line="700" w:lineRule="exact"/>
        <w:ind w:firstLine="320" w:firstLineChars="100"/>
        <w:rPr>
          <w:rFonts w:ascii="仿宋" w:hAnsi="仿宋" w:eastAsia="仿宋"/>
          <w:sz w:val="32"/>
          <w:szCs w:val="32"/>
        </w:rPr>
      </w:pPr>
      <w:r>
        <w:rPr>
          <w:rFonts w:hint="eastAsia" w:ascii="仿宋" w:hAnsi="仿宋" w:eastAsia="仿宋"/>
          <w:sz w:val="32"/>
          <w:szCs w:val="32"/>
        </w:rPr>
        <w:t>（五）开展科技宣传等各种形式的文体活动，推动健康向上的农村文化，发展广播电影电视事业，进一步丰富农村业余文化生活，建设好农村社会主义文化阵地，在建设农村物质文明的同时、建设好农村精神文明。</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6"/>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2692" w:type="dxa"/>
            <w:tcBorders>
              <w:bottom w:val="single" w:color="000000" w:sz="6"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单位名称</w:t>
            </w:r>
          </w:p>
        </w:tc>
        <w:tc>
          <w:tcPr>
            <w:tcW w:w="1701" w:type="dxa"/>
            <w:tcBorders>
              <w:bottom w:val="single" w:color="000000" w:sz="6"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单位性质</w:t>
            </w:r>
          </w:p>
        </w:tc>
        <w:tc>
          <w:tcPr>
            <w:tcW w:w="1418" w:type="dxa"/>
            <w:tcBorders>
              <w:bottom w:val="single" w:color="000000" w:sz="6"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单位规格</w:t>
            </w:r>
          </w:p>
        </w:tc>
        <w:tc>
          <w:tcPr>
            <w:tcW w:w="3260" w:type="dxa"/>
            <w:tcBorders>
              <w:bottom w:val="single" w:color="000000" w:sz="6" w:space="0"/>
            </w:tcBorders>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1</w:t>
            </w:r>
          </w:p>
        </w:tc>
        <w:tc>
          <w:tcPr>
            <w:tcW w:w="2692" w:type="dxa"/>
            <w:tcBorders>
              <w:bottom w:val="single" w:color="auto" w:sz="4" w:space="0"/>
            </w:tcBorders>
            <w:vAlign w:val="center"/>
          </w:tcPr>
          <w:p>
            <w:pPr>
              <w:jc w:val="center"/>
              <w:rPr>
                <w:rFonts w:ascii="仿宋" w:hAnsi="仿宋" w:eastAsia="仿宋"/>
                <w:bCs/>
                <w:sz w:val="24"/>
                <w:szCs w:val="24"/>
              </w:rPr>
            </w:pPr>
            <w:r>
              <w:rPr>
                <w:rFonts w:hint="eastAsia" w:ascii="仿宋" w:hAnsi="仿宋" w:eastAsia="仿宋" w:cs="宋体"/>
                <w:color w:val="000000"/>
                <w:kern w:val="0"/>
                <w:sz w:val="24"/>
                <w:szCs w:val="24"/>
              </w:rPr>
              <w:t>徐水区义联庄乡（行政）</w:t>
            </w:r>
          </w:p>
        </w:tc>
        <w:tc>
          <w:tcPr>
            <w:tcW w:w="1701" w:type="dxa"/>
            <w:vAlign w:val="center"/>
          </w:tcPr>
          <w:p>
            <w:pPr>
              <w:jc w:val="center"/>
              <w:rPr>
                <w:rFonts w:ascii="仿宋" w:hAnsi="仿宋" w:eastAsia="仿宋"/>
                <w:bCs/>
                <w:sz w:val="24"/>
                <w:szCs w:val="24"/>
              </w:rPr>
            </w:pPr>
            <w:r>
              <w:rPr>
                <w:rFonts w:hint="eastAsia" w:ascii="仿宋" w:hAnsi="仿宋" w:eastAsia="仿宋"/>
                <w:bCs/>
                <w:sz w:val="24"/>
                <w:szCs w:val="24"/>
              </w:rPr>
              <w:t>行政</w:t>
            </w:r>
          </w:p>
        </w:tc>
        <w:tc>
          <w:tcPr>
            <w:tcW w:w="1418" w:type="dxa"/>
            <w:vAlign w:val="center"/>
          </w:tcPr>
          <w:p>
            <w:pPr>
              <w:jc w:val="center"/>
              <w:rPr>
                <w:rFonts w:ascii="仿宋" w:hAnsi="仿宋" w:eastAsia="仿宋"/>
                <w:bCs/>
                <w:sz w:val="24"/>
                <w:szCs w:val="24"/>
              </w:rPr>
            </w:pPr>
            <w:r>
              <w:rPr>
                <w:rFonts w:hint="eastAsia" w:ascii="仿宋" w:hAnsi="仿宋" w:eastAsia="仿宋" w:cs="宋体"/>
                <w:color w:val="000000"/>
                <w:kern w:val="0"/>
                <w:sz w:val="24"/>
                <w:szCs w:val="24"/>
              </w:rPr>
              <w:t>正科级</w:t>
            </w:r>
          </w:p>
        </w:tc>
        <w:tc>
          <w:tcPr>
            <w:tcW w:w="3260" w:type="dxa"/>
            <w:vAlign w:val="center"/>
          </w:tcPr>
          <w:p>
            <w:pPr>
              <w:jc w:val="center"/>
              <w:rPr>
                <w:rFonts w:ascii="仿宋" w:hAnsi="仿宋" w:eastAsia="仿宋"/>
                <w:bCs/>
                <w:sz w:val="24"/>
                <w:szCs w:val="24"/>
              </w:rPr>
            </w:pPr>
            <w:r>
              <w:rPr>
                <w:rFonts w:hint="eastAsia" w:ascii="仿宋" w:hAnsi="仿宋" w:eastAsia="仿宋"/>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 w:hAnsi="仿宋" w:eastAsia="仿宋"/>
                <w:bCs/>
                <w:sz w:val="24"/>
                <w:szCs w:val="24"/>
              </w:rPr>
            </w:pPr>
            <w:r>
              <w:rPr>
                <w:rFonts w:hint="eastAsia" w:ascii="仿宋" w:hAnsi="仿宋" w:eastAsia="仿宋"/>
                <w:bCs/>
                <w:sz w:val="24"/>
                <w:szCs w:val="24"/>
              </w:rPr>
              <w:t>2</w:t>
            </w:r>
          </w:p>
        </w:tc>
        <w:tc>
          <w:tcPr>
            <w:tcW w:w="2692" w:type="dxa"/>
            <w:tcBorders>
              <w:top w:val="single" w:color="auto" w:sz="4" w:space="0"/>
              <w:bottom w:val="single" w:color="auto" w:sz="4" w:space="0"/>
            </w:tcBorders>
            <w:vAlign w:val="center"/>
          </w:tcPr>
          <w:p>
            <w:pPr>
              <w:jc w:val="center"/>
              <w:rPr>
                <w:rFonts w:ascii="仿宋" w:hAnsi="仿宋" w:eastAsia="仿宋"/>
                <w:bCs/>
                <w:sz w:val="24"/>
                <w:szCs w:val="24"/>
              </w:rPr>
            </w:pPr>
            <w:r>
              <w:rPr>
                <w:rFonts w:hint="eastAsia" w:ascii="仿宋" w:hAnsi="仿宋" w:eastAsia="仿宋" w:cs="宋体"/>
                <w:color w:val="000000"/>
                <w:kern w:val="0"/>
                <w:sz w:val="24"/>
                <w:szCs w:val="24"/>
              </w:rPr>
              <w:t>徐水区义联庄乡（事业）</w:t>
            </w:r>
          </w:p>
        </w:tc>
        <w:tc>
          <w:tcPr>
            <w:tcW w:w="1701" w:type="dxa"/>
            <w:vAlign w:val="center"/>
          </w:tcPr>
          <w:p>
            <w:pPr>
              <w:jc w:val="center"/>
              <w:rPr>
                <w:rFonts w:ascii="仿宋" w:hAnsi="仿宋" w:eastAsia="仿宋"/>
                <w:bCs/>
                <w:sz w:val="24"/>
                <w:szCs w:val="24"/>
              </w:rPr>
            </w:pPr>
            <w:r>
              <w:rPr>
                <w:rFonts w:hint="eastAsia" w:ascii="仿宋" w:hAnsi="仿宋" w:eastAsia="仿宋"/>
                <w:bCs/>
                <w:sz w:val="24"/>
                <w:szCs w:val="24"/>
              </w:rPr>
              <w:t>事业</w:t>
            </w:r>
          </w:p>
        </w:tc>
        <w:tc>
          <w:tcPr>
            <w:tcW w:w="1418" w:type="dxa"/>
            <w:vAlign w:val="center"/>
          </w:tcPr>
          <w:p>
            <w:pPr>
              <w:jc w:val="center"/>
              <w:rPr>
                <w:rFonts w:ascii="仿宋" w:hAnsi="仿宋" w:eastAsia="仿宋"/>
                <w:bCs/>
                <w:sz w:val="24"/>
                <w:szCs w:val="24"/>
              </w:rPr>
            </w:pPr>
            <w:r>
              <w:rPr>
                <w:rFonts w:hint="eastAsia" w:ascii="仿宋" w:hAnsi="仿宋" w:eastAsia="仿宋" w:cs="宋体"/>
                <w:color w:val="000000"/>
                <w:kern w:val="0"/>
                <w:sz w:val="24"/>
                <w:szCs w:val="24"/>
              </w:rPr>
              <w:t>正科级</w:t>
            </w:r>
          </w:p>
        </w:tc>
        <w:tc>
          <w:tcPr>
            <w:tcW w:w="3260" w:type="dxa"/>
            <w:vAlign w:val="center"/>
          </w:tcPr>
          <w:p>
            <w:pPr>
              <w:jc w:val="center"/>
              <w:rPr>
                <w:rFonts w:ascii="仿宋" w:hAnsi="仿宋" w:eastAsia="仿宋"/>
                <w:bCs/>
                <w:sz w:val="24"/>
                <w:szCs w:val="24"/>
              </w:rPr>
            </w:pPr>
            <w:r>
              <w:rPr>
                <w:rFonts w:hint="eastAsia" w:ascii="仿宋" w:hAnsi="仿宋" w:eastAsia="仿宋"/>
                <w:bCs/>
                <w:sz w:val="24"/>
                <w:szCs w:val="24"/>
              </w:rPr>
              <w:t>财政性资金基本保证</w:t>
            </w:r>
          </w:p>
        </w:tc>
      </w:tr>
    </w:tbl>
    <w:p>
      <w:pPr>
        <w:spacing w:line="360" w:lineRule="auto"/>
        <w:rPr>
          <w:rFonts w:ascii="仿宋" w:hAnsi="仿宋" w:eastAsia="仿宋"/>
          <w:b/>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953.64</w:t>
      </w:r>
      <w:r>
        <w:rPr>
          <w:rFonts w:ascii="仿宋" w:hAnsi="仿宋" w:eastAsia="仿宋"/>
          <w:sz w:val="32"/>
          <w:szCs w:val="32"/>
        </w:rPr>
        <w:t>万元,其中：一般公共预算收入</w:t>
      </w:r>
      <w:r>
        <w:rPr>
          <w:rFonts w:hint="eastAsia" w:ascii="仿宋" w:hAnsi="仿宋" w:eastAsia="仿宋"/>
          <w:sz w:val="32"/>
          <w:szCs w:val="32"/>
        </w:rPr>
        <w:t>930.64</w:t>
      </w:r>
      <w:r>
        <w:rPr>
          <w:rFonts w:ascii="仿宋" w:hAnsi="仿宋" w:eastAsia="仿宋"/>
          <w:sz w:val="32"/>
          <w:szCs w:val="32"/>
        </w:rPr>
        <w:t>万元，基金预算收入</w:t>
      </w:r>
      <w:r>
        <w:rPr>
          <w:rFonts w:hint="eastAsia" w:ascii="仿宋" w:hAnsi="仿宋" w:eastAsia="仿宋"/>
          <w:sz w:val="32"/>
          <w:szCs w:val="32"/>
        </w:rPr>
        <w:t>23</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953.64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基本支出747.34万元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673.75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73.59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206.30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206.30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本年度预算收支安排953.64万元，较上年增加457.52</w:t>
      </w:r>
      <w:r>
        <w:rPr>
          <w:rFonts w:ascii="仿宋" w:hAnsi="仿宋" w:eastAsia="仿宋"/>
          <w:sz w:val="32"/>
          <w:szCs w:val="32"/>
        </w:rPr>
        <w:t>万元。其中:基本支出增加</w:t>
      </w:r>
      <w:r>
        <w:rPr>
          <w:rFonts w:hint="eastAsia" w:ascii="仿宋" w:hAnsi="仿宋" w:eastAsia="仿宋"/>
          <w:sz w:val="32"/>
          <w:szCs w:val="32"/>
        </w:rPr>
        <w:t>304.65</w:t>
      </w:r>
      <w:r>
        <w:rPr>
          <w:rFonts w:ascii="仿宋" w:hAnsi="仿宋" w:eastAsia="仿宋"/>
          <w:sz w:val="32"/>
          <w:szCs w:val="32"/>
        </w:rPr>
        <w:t>万元，主要原因是</w:t>
      </w:r>
      <w:r>
        <w:rPr>
          <w:rFonts w:hint="eastAsia" w:ascii="仿宋" w:hAnsi="仿宋" w:eastAsia="仿宋"/>
          <w:sz w:val="32"/>
          <w:szCs w:val="32"/>
        </w:rPr>
        <w:t>新增公务员以及人员工资调标等</w:t>
      </w:r>
      <w:r>
        <w:rPr>
          <w:rFonts w:ascii="仿宋" w:hAnsi="仿宋" w:eastAsia="仿宋"/>
          <w:sz w:val="32"/>
          <w:szCs w:val="32"/>
        </w:rPr>
        <w:t>；项目支出增加</w:t>
      </w:r>
      <w:r>
        <w:rPr>
          <w:rFonts w:hint="eastAsia" w:ascii="仿宋" w:hAnsi="仿宋" w:eastAsia="仿宋"/>
          <w:sz w:val="32"/>
          <w:szCs w:val="32"/>
        </w:rPr>
        <w:t>152.87</w:t>
      </w:r>
      <w:r>
        <w:rPr>
          <w:rFonts w:ascii="仿宋" w:hAnsi="仿宋" w:eastAsia="仿宋"/>
          <w:sz w:val="32"/>
          <w:szCs w:val="32"/>
        </w:rPr>
        <w:t>万元，主要原因是</w:t>
      </w:r>
      <w:r>
        <w:rPr>
          <w:rFonts w:hint="eastAsia" w:ascii="仿宋" w:hAnsi="仿宋" w:eastAsia="仿宋"/>
          <w:sz w:val="32"/>
          <w:szCs w:val="32"/>
        </w:rPr>
        <w:t>增加服务群众专项经费、村党组织活动经费、文化资金等</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2019年我部门机关运行经费安排</w:t>
      </w:r>
      <w:r>
        <w:rPr>
          <w:rFonts w:hint="eastAsia" w:ascii="仿宋" w:hAnsi="仿宋" w:eastAsia="仿宋"/>
          <w:sz w:val="32"/>
          <w:szCs w:val="32"/>
        </w:rPr>
        <w:t>73.59</w:t>
      </w:r>
      <w:r>
        <w:rPr>
          <w:rFonts w:ascii="仿宋" w:hAnsi="仿宋" w:eastAsia="仿宋"/>
          <w:sz w:val="32"/>
          <w:szCs w:val="32"/>
        </w:rPr>
        <w:t>万元，其中办公费</w:t>
      </w:r>
      <w:r>
        <w:rPr>
          <w:rFonts w:hint="eastAsia" w:ascii="仿宋" w:hAnsi="仿宋" w:eastAsia="仿宋"/>
          <w:sz w:val="32"/>
          <w:szCs w:val="32"/>
        </w:rPr>
        <w:t>26.46</w:t>
      </w:r>
      <w:r>
        <w:rPr>
          <w:rFonts w:ascii="仿宋" w:hAnsi="仿宋" w:eastAsia="仿宋"/>
          <w:sz w:val="32"/>
          <w:szCs w:val="32"/>
        </w:rPr>
        <w:t>万元，邮电费</w:t>
      </w:r>
      <w:r>
        <w:rPr>
          <w:rFonts w:hint="eastAsia" w:ascii="仿宋" w:hAnsi="仿宋" w:eastAsia="仿宋"/>
          <w:sz w:val="32"/>
          <w:szCs w:val="32"/>
        </w:rPr>
        <w:t>10.14</w:t>
      </w:r>
      <w:r>
        <w:rPr>
          <w:rFonts w:ascii="仿宋" w:hAnsi="仿宋" w:eastAsia="仿宋"/>
          <w:sz w:val="32"/>
          <w:szCs w:val="32"/>
        </w:rPr>
        <w:t>万元，</w:t>
      </w:r>
      <w:r>
        <w:rPr>
          <w:rFonts w:hint="eastAsia" w:ascii="仿宋" w:hAnsi="仿宋" w:eastAsia="仿宋"/>
          <w:sz w:val="32"/>
          <w:szCs w:val="32"/>
        </w:rPr>
        <w:t>取暖费3.78万元、</w:t>
      </w:r>
      <w:r>
        <w:rPr>
          <w:rFonts w:ascii="仿宋" w:hAnsi="仿宋" w:eastAsia="仿宋"/>
          <w:sz w:val="32"/>
          <w:szCs w:val="32"/>
        </w:rPr>
        <w:t>工会经费、福利费</w:t>
      </w:r>
      <w:r>
        <w:rPr>
          <w:rFonts w:hint="eastAsia" w:ascii="仿宋" w:hAnsi="仿宋" w:eastAsia="仿宋"/>
          <w:sz w:val="32"/>
          <w:szCs w:val="32"/>
        </w:rPr>
        <w:t>11.25</w:t>
      </w:r>
      <w:r>
        <w:rPr>
          <w:rFonts w:ascii="仿宋" w:hAnsi="仿宋" w:eastAsia="仿宋"/>
          <w:sz w:val="32"/>
          <w:szCs w:val="32"/>
        </w:rPr>
        <w:t>万元，公务用车运行维护费</w:t>
      </w:r>
      <w:r>
        <w:rPr>
          <w:rFonts w:hint="eastAsia" w:ascii="仿宋" w:hAnsi="仿宋" w:eastAsia="仿宋"/>
          <w:sz w:val="32"/>
          <w:szCs w:val="32"/>
        </w:rPr>
        <w:t>12</w:t>
      </w:r>
      <w:r>
        <w:rPr>
          <w:rFonts w:ascii="仿宋" w:hAnsi="仿宋" w:eastAsia="仿宋"/>
          <w:sz w:val="32"/>
          <w:szCs w:val="32"/>
        </w:rPr>
        <w:t>万元</w:t>
      </w:r>
      <w:r>
        <w:rPr>
          <w:rFonts w:hint="eastAsia" w:ascii="仿宋" w:hAnsi="仿宋" w:eastAsia="仿宋"/>
          <w:sz w:val="32"/>
          <w:szCs w:val="32"/>
        </w:rPr>
        <w:t>，其他交通费用9.42万元、</w:t>
      </w:r>
      <w:r>
        <w:rPr>
          <w:rFonts w:ascii="仿宋" w:hAnsi="仿宋" w:eastAsia="仿宋"/>
          <w:sz w:val="32"/>
          <w:szCs w:val="32"/>
        </w:rPr>
        <w:t>其他支出</w:t>
      </w:r>
      <w:r>
        <w:rPr>
          <w:rFonts w:hint="eastAsia" w:ascii="仿宋" w:hAnsi="仿宋" w:eastAsia="仿宋"/>
          <w:sz w:val="32"/>
          <w:szCs w:val="32"/>
        </w:rPr>
        <w:t>0.54</w:t>
      </w:r>
      <w:r>
        <w:rPr>
          <w:rFonts w:ascii="仿宋" w:hAnsi="仿宋" w:eastAsia="仿宋"/>
          <w:sz w:val="32"/>
          <w:szCs w:val="32"/>
        </w:rPr>
        <w:t>万元。</w:t>
      </w:r>
    </w:p>
    <w:p>
      <w:pPr>
        <w:spacing w:line="360" w:lineRule="auto"/>
        <w:ind w:firstLine="640" w:firstLineChars="200"/>
        <w:rPr>
          <w:rFonts w:ascii="仿宋" w:hAnsi="仿宋" w:eastAsia="仿宋"/>
          <w:sz w:val="32"/>
          <w:szCs w:val="32"/>
        </w:rPr>
      </w:pP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6"/>
        <w:tblW w:w="5000" w:type="pct"/>
        <w:tblInd w:w="0" w:type="dxa"/>
        <w:tblLayout w:type="autofit"/>
        <w:tblCellMar>
          <w:top w:w="0" w:type="dxa"/>
          <w:left w:w="108" w:type="dxa"/>
          <w:bottom w:w="0" w:type="dxa"/>
          <w:right w:w="108" w:type="dxa"/>
        </w:tblCellMar>
      </w:tblPr>
      <w:tblGrid>
        <w:gridCol w:w="10083"/>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p>
            <w:pPr>
              <w:widowControl/>
              <w:spacing w:line="520" w:lineRule="exact"/>
              <w:rPr>
                <w:rFonts w:ascii="黑体" w:hAnsi="黑体" w:eastAsia="黑体"/>
                <w:sz w:val="32"/>
                <w:szCs w:val="32"/>
              </w:rPr>
            </w:pPr>
          </w:p>
          <w:tbl>
            <w:tblPr>
              <w:tblStyle w:val="6"/>
              <w:tblW w:w="0" w:type="auto"/>
              <w:tblInd w:w="890" w:type="dxa"/>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国土局调拨我乡1辆公务用车。</w:t>
                  </w:r>
                </w:p>
              </w:tc>
            </w:tr>
            <w:tr>
              <w:tblPrEx>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11.86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14.86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2019年，我部门针对三公经费支出制定了严格的管理制度，认真执行中央</w:t>
                  </w:r>
                  <w:r>
                    <w:rPr>
                      <w:rFonts w:hint="eastAsia" w:ascii="仿宋_GB2312" w:hAnsi="宋体" w:eastAsia="仿宋_GB2312" w:cs="宋体"/>
                      <w:kern w:val="0"/>
                      <w:sz w:val="24"/>
                      <w:szCs w:val="24"/>
                      <w:lang w:eastAsia="zh-CN"/>
                    </w:rPr>
                    <w:t>八项规定</w:t>
                  </w:r>
                  <w:r>
                    <w:rPr>
                      <w:rFonts w:hint="eastAsia" w:ascii="仿宋_GB2312" w:hAnsi="宋体" w:eastAsia="仿宋_GB2312" w:cs="宋体"/>
                      <w:kern w:val="0"/>
                      <w:sz w:val="24"/>
                      <w:szCs w:val="24"/>
                    </w:rPr>
                    <w:t>，厉行节约，杜绝浪费。从总量来讲，我乡的三公经费较上年相比增加3万元。因为国土局调拨我乡1辆公务用车。</w:t>
                  </w:r>
                </w:p>
              </w:tc>
            </w:tr>
            <w:tr>
              <w:tblPrEx>
                <w:tblCellMar>
                  <w:top w:w="0" w:type="dxa"/>
                  <w:left w:w="108" w:type="dxa"/>
                  <w:bottom w:w="0" w:type="dxa"/>
                  <w:right w:w="108" w:type="dxa"/>
                </w:tblCellMar>
              </w:tblPrEx>
              <w:trPr>
                <w:trHeight w:val="285" w:hRule="atLeast"/>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pPr>
        <w:spacing w:line="500" w:lineRule="exact"/>
        <w:ind w:firstLine="560"/>
        <w:rPr>
          <w:rFonts w:ascii="方正仿宋_GBK" w:eastAsia="方正仿宋_GBK"/>
          <w:sz w:val="28"/>
        </w:rPr>
      </w:pPr>
      <w:r>
        <w:rPr>
          <w:rFonts w:hint="eastAsia" w:ascii="方正仿宋_GBK" w:hAnsi="宋体" w:eastAsia="方正仿宋_GBK"/>
          <w:sz w:val="28"/>
        </w:rPr>
        <w:t>紧紧围绕乡党委、政府的重要部署</w:t>
      </w:r>
      <w:r>
        <w:rPr>
          <w:rFonts w:ascii="方正仿宋_GBK" w:eastAsia="方正仿宋_GBK"/>
          <w:sz w:val="28"/>
        </w:rPr>
        <w:t>,</w:t>
      </w:r>
      <w:r>
        <w:rPr>
          <w:rFonts w:hint="eastAsia" w:ascii="方正仿宋_GBK" w:hAnsi="宋体" w:eastAsia="方正仿宋_GBK"/>
          <w:sz w:val="28"/>
        </w:rPr>
        <w:t>以习近平新时代中国特色社会主义思想为指导，深入贯彻落实</w:t>
      </w:r>
      <w:r>
        <w:rPr>
          <w:rFonts w:hint="eastAsia" w:ascii="方正仿宋_GBK" w:hAnsi="宋体" w:eastAsia="方正仿宋_GBK"/>
          <w:sz w:val="28"/>
          <w:lang w:val="en-US" w:eastAsia="zh-CN"/>
        </w:rPr>
        <w:t>党的</w:t>
      </w:r>
      <w:bookmarkStart w:id="1" w:name="_GoBack"/>
      <w:r>
        <w:rPr>
          <w:rFonts w:hint="eastAsia" w:ascii="方正仿宋_GBK" w:hAnsi="宋体" w:eastAsia="方正仿宋_GBK"/>
          <w:sz w:val="28"/>
        </w:rPr>
        <w:t>十九</w:t>
      </w:r>
      <w:bookmarkEnd w:id="1"/>
      <w:r>
        <w:rPr>
          <w:rFonts w:hint="eastAsia" w:ascii="方正仿宋_GBK" w:hAnsi="宋体" w:eastAsia="方正仿宋_GBK"/>
          <w:sz w:val="28"/>
        </w:rPr>
        <w:t>大精神，加大党建示范区建设和后进支部整顿工作；依照山区绿化实施方案要求引导我乡群众大力发展林果业；加大生态示范园区建设和荒山综合治理，打造绿色生态屏障；加大基础设施建设投入，完善节水灌溉配套设施和机井电力配套，改善群众生产生活条件以及植被灌溉条件；完善维稳网络，打造和谐稳定的社会环境；统筹安排，认真完成各项民生工作使环境进一步优化</w:t>
      </w:r>
      <w:r>
        <w:rPr>
          <w:rFonts w:ascii="方正仿宋_GBK" w:eastAsia="方正仿宋_GBK"/>
          <w:sz w:val="28"/>
        </w:rPr>
        <w:t>,</w:t>
      </w:r>
      <w:r>
        <w:rPr>
          <w:rFonts w:hint="eastAsia" w:ascii="方正仿宋_GBK" w:hAnsi="宋体" w:eastAsia="方正仿宋_GBK"/>
          <w:sz w:val="28"/>
        </w:rPr>
        <w:t>全面推动全乡各项事业快速发展。</w:t>
      </w:r>
    </w:p>
    <w:p>
      <w:pPr>
        <w:spacing w:line="360" w:lineRule="auto"/>
        <w:ind w:firstLine="643" w:firstLineChars="200"/>
        <w:rPr>
          <w:rFonts w:ascii="仿宋" w:hAnsi="仿宋" w:eastAsia="仿宋"/>
          <w:b/>
          <w:sz w:val="32"/>
          <w:szCs w:val="32"/>
        </w:rPr>
        <w:sectPr>
          <w:pgSz w:w="11907" w:h="16839"/>
          <w:pgMar w:top="1361" w:right="1020" w:bottom="1361" w:left="1020" w:header="851" w:footer="992" w:gutter="0"/>
          <w:cols w:space="425" w:num="1"/>
          <w:docGrid w:type="lines" w:linePitch="312" w:charSpace="0"/>
        </w:sectPr>
      </w:pPr>
      <w:bookmarkStart w:id="0" w:name="_Toc1749949"/>
    </w:p>
    <w:p>
      <w:pPr>
        <w:spacing w:line="360" w:lineRule="auto"/>
        <w:ind w:firstLine="643" w:firstLineChars="200"/>
        <w:rPr>
          <w:rFonts w:ascii="仿宋" w:hAnsi="仿宋" w:eastAsia="仿宋"/>
          <w:b/>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二、部门职责及工作活动绩效目标指标</w:t>
      </w:r>
    </w:p>
    <w:bookmarkEnd w:id="0"/>
    <w:p>
      <w:pPr>
        <w:jc w:val="center"/>
        <w:outlineLvl w:val="0"/>
        <w:rPr>
          <w:rFonts w:ascii="方正小标宋_GBK" w:eastAsia="方正小标宋_GBK"/>
          <w:color w:val="FFFFFF"/>
          <w:sz w:val="32"/>
        </w:rPr>
      </w:pPr>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909</w:t>
            </w:r>
            <w:r>
              <w:rPr>
                <w:rFonts w:hint="eastAsia" w:ascii="方正小标宋_GBK" w:eastAsia="方正小标宋_GBK"/>
                <w:sz w:val="24"/>
              </w:rPr>
              <w:t>保定市徐水区义联庄乡人民政府</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一、选举和任免</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、确保有关选举的法律法规符合实际，在充分考察调研的基础上，实施对其进行修改。</w:t>
            </w:r>
            <w:r>
              <w:rPr>
                <w:rFonts w:ascii="方正书宋_GBK" w:eastAsia="方正书宋_GBK"/>
              </w:rPr>
              <w:t>2</w:t>
            </w:r>
            <w:r>
              <w:rPr>
                <w:rFonts w:hint="eastAsia" w:ascii="方正书宋_GBK" w:eastAsia="方正书宋_GBK"/>
              </w:rPr>
              <w:t>、对乡镇政府组成人员和乡镇人民法院主要负责人进行目标责任监督，确保依法履行职责，完成目标任务。</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、换届选举及人事任免</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换届选举工作完成率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二、民族宗教事务管理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加强宗教事务管理工作，加强其他民族宗教综合性事务管理工作。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、民族宗教综合治理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加大补助力度，增强反渗透能力。不断提高民族宗教法律政策宣传覆盖率</w:t>
            </w:r>
            <w:r>
              <w:rPr>
                <w:rFonts w:ascii="方正书宋_GBK" w:eastAsia="方正书宋_GBK"/>
              </w:rPr>
              <w:t>,</w:t>
            </w:r>
            <w:r>
              <w:rPr>
                <w:rFonts w:hint="eastAsia" w:ascii="方正书宋_GBK" w:eastAsia="方正书宋_GBK"/>
              </w:rPr>
              <w:t>加大宣传教育力度</w:t>
            </w:r>
            <w:r>
              <w:rPr>
                <w:rFonts w:ascii="方正书宋_GBK" w:eastAsia="方正书宋_GBK"/>
              </w:rPr>
              <w:t>;</w:t>
            </w:r>
            <w:r>
              <w:rPr>
                <w:rFonts w:hint="eastAsia" w:ascii="方正书宋_GBK" w:eastAsia="方正书宋_GBK"/>
              </w:rPr>
              <w:t>妥善协助解决突发事件</w:t>
            </w:r>
            <w:r>
              <w:rPr>
                <w:rFonts w:ascii="方正书宋_GBK" w:eastAsia="方正书宋_GBK"/>
              </w:rPr>
              <w:t>;</w:t>
            </w:r>
            <w:r>
              <w:rPr>
                <w:rFonts w:hint="eastAsia" w:ascii="方正书宋_GBK" w:eastAsia="方正书宋_GBK"/>
              </w:rPr>
              <w:t>提高清真食品检查效率</w:t>
            </w:r>
            <w:r>
              <w:rPr>
                <w:rFonts w:ascii="方正书宋_GBK" w:eastAsia="方正书宋_GBK"/>
              </w:rPr>
              <w:t>,</w:t>
            </w:r>
            <w:r>
              <w:rPr>
                <w:rFonts w:hint="eastAsia" w:ascii="方正书宋_GBK" w:eastAsia="方正书宋_GBK"/>
              </w:rPr>
              <w:t>及时解决其他民族宗教问题。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维稳突出问题解决率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天主教神职人员补助覆盖率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三、政法综治稳定和国家安全</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29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、贯彻实施国家安全战略，推进国家安全法制建设，贯彻落实国家安全工作方针，研究解决涉及国家安全工作的重大问题。</w:t>
            </w:r>
            <w:r>
              <w:rPr>
                <w:rFonts w:ascii="方正书宋_GBK" w:eastAsia="方正书宋_GBK"/>
              </w:rPr>
              <w:t>2</w:t>
            </w:r>
            <w:r>
              <w:rPr>
                <w:rFonts w:hint="eastAsia" w:ascii="方正书宋_GBK" w:eastAsia="方正书宋_GBK"/>
              </w:rPr>
              <w:t>、推进社会治安综合治理，维护社会稳定，有效地维护本乡镇的可持续稳定。同时抓好全民普法工作，推进依法治理。</w:t>
            </w:r>
            <w:r>
              <w:rPr>
                <w:rFonts w:ascii="方正书宋_GBK" w:eastAsia="方正书宋_GBK"/>
              </w:rPr>
              <w:t>3</w:t>
            </w:r>
            <w:r>
              <w:rPr>
                <w:rFonts w:hint="eastAsia" w:ascii="方正书宋_GBK" w:eastAsia="方正书宋_GBK"/>
              </w:rPr>
              <w:t>、加强政法队伍建设和领导班子建设。</w:t>
            </w:r>
            <w:r>
              <w:rPr>
                <w:rFonts w:ascii="方正书宋_GBK" w:eastAsia="方正书宋_GBK"/>
              </w:rPr>
              <w:t>4</w:t>
            </w:r>
            <w:r>
              <w:rPr>
                <w:rFonts w:hint="eastAsia" w:ascii="方正书宋_GBK" w:eastAsia="方正书宋_GBK"/>
              </w:rPr>
              <w:t>、受理并查处涉法信访案件工作，促进司法公正。</w:t>
            </w:r>
            <w:r>
              <w:rPr>
                <w:rFonts w:ascii="方正书宋_GBK" w:eastAsia="方正书宋_GBK"/>
              </w:rPr>
              <w:t>5</w:t>
            </w:r>
            <w:r>
              <w:rPr>
                <w:rFonts w:hint="eastAsia" w:ascii="方正书宋_GBK" w:eastAsia="方正书宋_GBK"/>
              </w:rPr>
              <w:t>、坚持社会治安综合治理属地管理原则，抓好目标管理责任制、领导责任制、责任追究和一票否决权等</w:t>
            </w:r>
            <w:r>
              <w:rPr>
                <w:rFonts w:ascii="方正书宋_GBK" w:eastAsia="方正书宋_GBK"/>
              </w:rPr>
              <w:t xml:space="preserve"> </w:t>
            </w:r>
            <w:r>
              <w:rPr>
                <w:rFonts w:hint="eastAsia" w:ascii="方正书宋_GBK" w:eastAsia="方正书宋_GBK"/>
              </w:rPr>
              <w:t>制度的落实，抓好中小学校的社会治安综合治理和所辖乡镇铁路治安联防护路等工作。</w:t>
            </w:r>
            <w:r>
              <w:rPr>
                <w:rFonts w:ascii="方正书宋_GBK" w:eastAsia="方正书宋_GBK"/>
              </w:rPr>
              <w:t>6</w:t>
            </w:r>
            <w:r>
              <w:rPr>
                <w:rFonts w:hint="eastAsia" w:ascii="方正书宋_GBK" w:eastAsia="方正书宋_GBK"/>
              </w:rPr>
              <w:t>、依法打击并取缔各种非法宗教活动。</w:t>
            </w:r>
            <w:r>
              <w:rPr>
                <w:rFonts w:ascii="方正书宋_GBK" w:eastAsia="方正书宋_GBK"/>
              </w:rPr>
              <w:t>7</w:t>
            </w:r>
            <w:r>
              <w:rPr>
                <w:rFonts w:hint="eastAsia" w:ascii="方正书宋_GBK" w:eastAsia="方正书宋_GBK"/>
              </w:rPr>
              <w:t>、矛</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抓好乡镇政法综治稳定工作，预防减少不稳定因素的发生，有效化解不稳定隐患、群体性事件和突发事件，维护国家安全工作。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、协调维护社会稳定和国家安全</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排查、化解影响社会稳定的重大不稳定隐患、群体性事件和突发事件及影响国家安全的事件。</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协调督导事项化解率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安保活动圆满完成情况</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、涉法涉诉信访工作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强化接访中心建设，切实提高接访中心吸附力。积极推进涉法涉诉信访工作改革，把涉法涉诉信访问题的解决导入法治轨道。</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办结率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、矛盾纠纷排查化解</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完善矛盾纠纷排查机制，对乡镇内矛盾纠纷随时排查及时化解，做到小事不出村，大事不出镇，把矛盾化解在基层、化解在萌芽状态。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矛盾纠纷排查率</w:t>
            </w:r>
            <w:r>
              <w:rPr>
                <w:rFonts w:ascii="方正书宋_GBK" w:eastAsia="方正书宋_GBK"/>
              </w:rPr>
              <w:t>100%</w:t>
            </w:r>
            <w:r>
              <w:rPr>
                <w:rFonts w:hint="eastAsia" w:ascii="方正书宋_GBK" w:eastAsia="方正书宋_GBK"/>
              </w:rPr>
              <w:t>，化解率</w:t>
            </w:r>
            <w:r>
              <w:rPr>
                <w:rFonts w:ascii="方正书宋_GBK" w:eastAsia="方正书宋_GBK"/>
              </w:rPr>
              <w:t>98%</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排查率、化解率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、铁路护路联防工作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组织开展好全国两会及其他重要时期铁路护路联防工作，维护好铁路的安全运行，保障铁路运输安全。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保障铁路运输安全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保障安全畅通</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完成较好</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四、社会管理与服务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122.93</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组织指导基层政权和社区建设；推进社会工作人员队伍建设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推进乡镇社会组织健康发展，优化行政区划空间布局，建立健全城乡基层群众自治组织，逐步实现社会工作者专业化、职业化。</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、基层政权和社区建设</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122.93</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建立健全城乡基层群众自治组织，在村（居）民委员会实行</w:t>
            </w:r>
            <w:r>
              <w:rPr>
                <w:rFonts w:hint="cs" w:ascii="方正书宋_GBK" w:eastAsia="方正书宋_GBK"/>
              </w:rPr>
              <w:t>“</w:t>
            </w:r>
            <w:r>
              <w:rPr>
                <w:rFonts w:hint="eastAsia" w:ascii="方正书宋_GBK" w:eastAsia="方正书宋_GBK"/>
              </w:rPr>
              <w:t>四个民主</w:t>
            </w:r>
            <w:r>
              <w:rPr>
                <w:rFonts w:hint="cs" w:ascii="方正书宋_GBK" w:eastAsia="方正书宋_GBK"/>
              </w:rPr>
              <w:t>”</w:t>
            </w:r>
            <w:r>
              <w:rPr>
                <w:rFonts w:hint="eastAsia" w:ascii="方正书宋_GBK" w:eastAsia="方正书宋_GBK"/>
              </w:rPr>
              <w:t>；按照</w:t>
            </w:r>
            <w:r>
              <w:rPr>
                <w:rFonts w:hint="cs" w:ascii="方正书宋_GBK" w:eastAsia="方正书宋_GBK"/>
              </w:rPr>
              <w:t>“</w:t>
            </w:r>
            <w:r>
              <w:rPr>
                <w:rFonts w:hint="eastAsia" w:ascii="方正书宋_GBK" w:eastAsia="方正书宋_GBK"/>
              </w:rPr>
              <w:t>四有一创</w:t>
            </w:r>
            <w:r>
              <w:rPr>
                <w:rFonts w:hint="cs" w:ascii="方正书宋_GBK" w:eastAsia="方正书宋_GBK"/>
              </w:rPr>
              <w:t>”</w:t>
            </w:r>
            <w:r>
              <w:rPr>
                <w:rFonts w:hint="eastAsia" w:ascii="方正书宋_GBK" w:eastAsia="方正书宋_GBK"/>
              </w:rPr>
              <w:t>标准开展城市社区建设，按照农村社区建设实验全覆盖创建标准开展农村社区建设。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村民委员会换届选举率达到或超过上届水平。</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社区综合设施覆盖率达到全国平均水平</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77.4%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76.4%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75.4%</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开展农村社区建设的建制村到达全国平均水平</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41.53%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40.53%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39.53%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五、政府专项工作服务与管理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政府采购、农村综合改革、政府债务、综合治税、政府购买服务、规范津补贴等政府专项工作的服务与管理。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、政府债务管理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加强政府债券管理和土储融资审核；编制月季年报并上报分析材料；实施风险预警及专项检查与监督。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有效发挥政府规范举债的积极作用，规范政府债务管理，防范政府债务风险</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乡镇债务风险警戒值</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全部低于财政部风险警戒标准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总体风险低于警戒标准，单项指标被风险预警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总体风险低于警戒标准，两个单项指标被风险预警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六、水利水电项目建设与管理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水利水电项目的建设与维护管理。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、水利工程运行与维护</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年度维修养护工程质量全部合格，工程正常运行。</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工程质量验收合格率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工程运行故障率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、农田水利建设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建设小型农田水利设施，实施节水灌溉、灌区续建配套与节水改造等，推广综合节水技术，农业水价综合改革，开展乡镇水利站建设。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提高农业用水效率、改善农业生产条件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项目完工率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、水库移民安置及后期管理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落实水库移民政策，扶持移民发展生产，保持移民稳定。</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增加移民收入，改善移民生产生活条件，促进移民稳定</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移民政策落实率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、保障农村饮水安全</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在全县范围内通过实施农村饮水安全项目，解决农村居民饮水不安全问题。</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保障农村供水安全</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任务完成率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七、水利科技支撑和公共服务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组织开展乡镇水利事业建设的科技创新和技术示范推广，为水利事业科学发展提供公共支撑。</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示范推广水利工程和管理技术，提高水利事业管理水平。</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、防汛抗旱</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八、城乡建设管理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乡镇公用设施建设、安全和应急管理；落实村庄和小城镇建设政策；指导农村住房建设、住房安全和危房改造；改善小城镇和村庄人居环境。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加强村镇建设，改善农村人居环境，实现城乡统筹发展。协调和指导推进城镇化工作，加快城镇化进程。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、公用设施建设与管理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加强乡镇基础设施建设</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基础设施建设工作目标完成率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、推进城镇化建设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危房改造完成率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垃圾处理率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乡镇建设工作考核完成率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九、交通运输基础设施建设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完成交通基础设施投资；管理乡镇重点工程建设、工程质量和安全生产，对项目招投标活动进行监督管理。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投资建设普通公路及农村公路；进行场站建设；建设物流园区</w:t>
            </w:r>
            <w:r>
              <w:rPr>
                <w:rFonts w:ascii="方正书宋_GBK" w:eastAsia="方正书宋_GBK"/>
              </w:rPr>
              <w:t>(</w:t>
            </w:r>
            <w:r>
              <w:rPr>
                <w:rFonts w:hint="eastAsia" w:ascii="方正书宋_GBK" w:eastAsia="方正书宋_GBK"/>
              </w:rPr>
              <w:t>中心</w:t>
            </w:r>
            <w:r>
              <w:rPr>
                <w:rFonts w:ascii="方正书宋_GBK" w:eastAsia="方正书宋_GBK"/>
              </w:rPr>
              <w:t>)</w:t>
            </w:r>
            <w:r>
              <w:rPr>
                <w:rFonts w:hint="eastAsia" w:ascii="方正书宋_GBK" w:eastAsia="方正书宋_GBK"/>
              </w:rPr>
              <w:t>项目；扩大农村客运站点、候车亭、招呼牌建设；保障交通基础设施建设项目质量。</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、开展交通基础设施建设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公路、水路建设市场运转有序，各项业务顺利开展，工作按时完成。</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交通基础设施建设重点项目完成率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十、交通运输基础设施养护、维护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开展交通运输基础设施养护、维护，对项目招投标活动进行监督管理。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完成路基路面大中型维修，加固桥梁，治理隐患；开展高速绿色廊道建设；农村公路养护实施</w:t>
            </w:r>
            <w:r>
              <w:rPr>
                <w:rFonts w:hint="cs" w:ascii="方正书宋_GBK" w:eastAsia="方正书宋_GBK"/>
              </w:rPr>
              <w:t>“</w:t>
            </w:r>
            <w:r>
              <w:rPr>
                <w:rFonts w:hint="eastAsia" w:ascii="方正书宋_GBK" w:eastAsia="方正书宋_GBK"/>
              </w:rPr>
              <w:t>以奖代补</w:t>
            </w:r>
            <w:r>
              <w:rPr>
                <w:rFonts w:hint="cs" w:ascii="方正书宋_GBK" w:eastAsia="方正书宋_GBK"/>
              </w:rPr>
              <w:t>”</w:t>
            </w:r>
            <w:r>
              <w:rPr>
                <w:rFonts w:hint="eastAsia" w:ascii="方正书宋_GBK" w:eastAsia="方正书宋_GBK"/>
              </w:rPr>
              <w:t>。</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按时、保质、保量完成数据采集分析，为公路管理提供依据和支持。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公路基础信息数据更新率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公路基础信息数据使用率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、公路、水运工程养护监督和管理</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23.00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各项业务顺利开展，按时完成工作。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工作质量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按时完成工作，质量高</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按时完成工作，质量一般</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基本完成工作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项目质量</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合格</w:t>
            </w: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十一、农村文化建设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9.67</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、公共服务工程推广</w:t>
            </w:r>
          </w:p>
        </w:tc>
        <w:tc>
          <w:tcPr>
            <w:tcW w:w="1276" w:type="dxa"/>
            <w:vMerge w:val="restart"/>
            <w:shd w:val="clear" w:color="auto" w:fill="auto"/>
            <w:vAlign w:val="center"/>
          </w:tcPr>
          <w:p>
            <w:pPr>
              <w:spacing w:line="300" w:lineRule="exact"/>
              <w:jc w:val="left"/>
              <w:rPr>
                <w:rFonts w:ascii="方正书宋_GBK" w:eastAsia="方正书宋_GBK"/>
              </w:rPr>
            </w:pPr>
            <w:r>
              <w:rPr>
                <w:rFonts w:ascii="方正书宋_GBK" w:eastAsia="方正书宋_GBK"/>
              </w:rPr>
              <w:t>9.67</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农家书屋建设、群众文化体育活动、全民阅读活动、老放映员生活补助以及应急广播体系建设等任务目标。</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群众文化体育活动组织覆盖率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农村公益电影放映完成率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民间交流次数</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15</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6</w:t>
            </w:r>
            <w:r>
              <w:rPr>
                <w:rFonts w:hint="eastAsia" w:ascii="方正书宋_GBK" w:eastAsia="方正书宋_GBK"/>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对外交流次数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户户通工程任务完成率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老放映员补助到位率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全民阅读活动任务完成率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农家书屋更新完成率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应急广播体系建设任务完成率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100&amp;</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十二、医疗保障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扩大各项保险的覆盖面，及时足额落实社会保险待遇。</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、新型农村合作医疗及城乡居民大病保险</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有效降低城乡居民看病就医的经济负担。</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新农合参合率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十三、计划生育</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提供各类计划生育技术服务，开展出生人口性别比治理以及流动人口计划生育管理等各项工作。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、计划生育服务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十四、政务管理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40.57</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承担系统综合业务管理和部门综合事务管理。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促进乡镇机关事务管理工作科学发展。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40.57</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十五、环境污染综合防治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贯彻落实大气、水体、固体废物、化学品、机动车等污染防治管理制度，开展饮用水水源地环境保护。</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、大气污染防治</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重点对</w:t>
            </w:r>
            <w:r>
              <w:rPr>
                <w:rFonts w:ascii="方正书宋_GBK" w:eastAsia="方正书宋_GBK"/>
              </w:rPr>
              <w:t>PM</w:t>
            </w:r>
            <w:r>
              <w:rPr>
                <w:rFonts w:hint="eastAsia" w:ascii="方正书宋_GBK" w:eastAsia="方正书宋_GBK"/>
              </w:rPr>
              <w:t>、</w:t>
            </w:r>
            <w:r>
              <w:rPr>
                <w:rFonts w:ascii="方正书宋_GBK" w:eastAsia="方正书宋_GBK"/>
              </w:rPr>
              <w:t>VOC</w:t>
            </w:r>
            <w:r>
              <w:rPr>
                <w:rFonts w:hint="eastAsia" w:ascii="方正书宋_GBK" w:eastAsia="方正书宋_GBK"/>
              </w:rPr>
              <w:t>、二氧化硫等大气污染物进行综合防治，推动城镇环境空气质量改善。</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加强大气污染防治，推动城市环境空气质量改善。</w:t>
            </w:r>
          </w:p>
        </w:tc>
        <w:tc>
          <w:tcPr>
            <w:tcW w:w="1417" w:type="dxa"/>
            <w:shd w:val="clear" w:color="auto" w:fill="auto"/>
            <w:vAlign w:val="center"/>
          </w:tcPr>
          <w:p>
            <w:pPr>
              <w:spacing w:line="300" w:lineRule="exact"/>
              <w:jc w:val="left"/>
              <w:rPr>
                <w:rFonts w:ascii="方正书宋_GBK" w:eastAsia="方正书宋_GBK"/>
              </w:rPr>
            </w:pPr>
            <w:r>
              <w:rPr>
                <w:rFonts w:ascii="方正书宋_GBK" w:eastAsia="方正书宋_GBK"/>
              </w:rPr>
              <w:t>VOC</w:t>
            </w:r>
            <w:r>
              <w:rPr>
                <w:rFonts w:hint="eastAsia" w:ascii="方正书宋_GBK" w:eastAsia="方正书宋_GBK"/>
              </w:rPr>
              <w:t>排放消减率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十六、自然生态保护</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加强自然生态保护。</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、农村环境综合整治</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解决农村区域性突出环境问题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试点、示范区域村庄污水处理率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十七、信访问题处理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负责正常信访、非访、突发性及群体性事件的办理；提供相关服务保障；协助区信访局处理群众进京上访；信访事项督查、复查复核、听证。</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及时办理正常信访业务，妥善处置非访、突发性及群体性事件，对信访事项督查、复查复核、听证。</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、办理正常信访业务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办理人民群众来信、来访、网上信访；处理乡镇群众进京上访。</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十八、民兵训练和专武干部培训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加强后备力量建设，培养</w:t>
            </w:r>
            <w:r>
              <w:rPr>
                <w:rFonts w:hint="cs" w:ascii="方正书宋_GBK" w:eastAsia="方正书宋_GBK"/>
              </w:rPr>
              <w:t>“</w:t>
            </w:r>
            <w:r>
              <w:rPr>
                <w:rFonts w:hint="eastAsia" w:ascii="方正书宋_GBK" w:eastAsia="方正书宋_GBK"/>
              </w:rPr>
              <w:t>劳武</w:t>
            </w:r>
            <w:r>
              <w:rPr>
                <w:rFonts w:hint="cs" w:ascii="方正书宋_GBK" w:eastAsia="方正书宋_GBK"/>
              </w:rPr>
              <w:t>”</w:t>
            </w:r>
            <w:r>
              <w:rPr>
                <w:rFonts w:hint="eastAsia" w:ascii="方正书宋_GBK" w:eastAsia="方正书宋_GBK"/>
              </w:rPr>
              <w:t>两用人才的人民武装建设的基地。</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w:t>
            </w:r>
            <w:r>
              <w:rPr>
                <w:rFonts w:hint="cs" w:ascii="方正书宋_GBK" w:eastAsia="方正书宋_GBK"/>
              </w:rPr>
              <w:t>“</w:t>
            </w:r>
            <w:r>
              <w:rPr>
                <w:rFonts w:hint="eastAsia" w:ascii="方正书宋_GBK" w:eastAsia="方正书宋_GBK"/>
              </w:rPr>
              <w:t>严格训练、严格要求</w:t>
            </w:r>
            <w:r>
              <w:rPr>
                <w:rFonts w:hint="cs" w:ascii="方正书宋_GBK" w:eastAsia="方正书宋_GBK"/>
              </w:rPr>
              <w:t>”</w:t>
            </w:r>
            <w:r>
              <w:rPr>
                <w:rFonts w:hint="eastAsia" w:ascii="方正书宋_GBK" w:eastAsia="方正书宋_GBK"/>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、民兵训练和专武干部培训</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根据上级要求，认真制定基干民兵和专武干部培训计划和方案，严格组织人员按质按量完成训练任务。保证装备器材的良好状态，随时执行紧急拉动和应急任务。</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十九、义务教育</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提高义务教育公用经费保障水平，改善办学条件，均衡配置基础教育资源，缩小城乡、区域、校际之间办学差距，落实学生资助政策。</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、改善薄弱学校办学条件</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保障义务教育阶段薄弱学校基本教学条件，改善学校生活设施，办好必要的教学点，解决乡镇学校大班额问题，推进农村学校教育信息化。</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从</w:t>
            </w:r>
            <w:r>
              <w:rPr>
                <w:rFonts w:ascii="方正书宋_GBK" w:eastAsia="方正书宋_GBK"/>
              </w:rPr>
              <w:t>2014</w:t>
            </w:r>
            <w:r>
              <w:rPr>
                <w:rFonts w:hint="eastAsia" w:ascii="方正书宋_GBK" w:eastAsia="方正书宋_GBK"/>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中小学生均校舍面积</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二十、食品药品安全管理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、食品（含保健品）安全监管</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重大食品事故案件（个）</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、重大活动餐饮服务食品安全保障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重大活动餐饮服务接待单位预监督率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、综合业务管理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强化监管手段，组织开展食品药品科研项目、监督、检查、检测、案件处置、统计分析、信息公开、宣传教育等各项综合业务工作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食品药品检验能力进一步提升，监管能力全面提升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检验监测能力与检测需求比率相适应</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二十一、安全生产综合监督管理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0.80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全县安全生产综合监督管理责任，依法行使综合监督管理职权；根据《安全生产法》、《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、加强安全生产综合监督管理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0.80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、加强重大危险源安全管理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加强重大危险源的监测、监控、辨识与评估及登记建档、备案与核销等安全管理；开展重大危险源执法检查工作。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专项检查次数</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3</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二十二、防灾减灾救灾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0.33</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组织开展乡镇防灾减灾救灾工作；组织救灾捐赠工作，负责救灾捐赠款物的接收和分配。</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实施分类救助，保障受灾群众基本生活。</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、防灾减灾及救灾准备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0.33</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组织乡级防灾减灾及救灾活动；提高专业队伍业务素质。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组织防灾减灾及救灾准备活动次数（次）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、灾民救助</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救灾措施到位率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突发灾害报灾时效性和准确性</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12</w:t>
            </w:r>
            <w:r>
              <w:rPr>
                <w:rFonts w:hint="eastAsia" w:ascii="方正书宋_GBK" w:eastAsia="方正书宋_GBK"/>
              </w:rPr>
              <w:t>小时内，准确度</w:t>
            </w:r>
            <w:r>
              <w:rPr>
                <w:rFonts w:ascii="方正书宋_GBK" w:eastAsia="方正书宋_GBK"/>
              </w:rPr>
              <w:t>98%</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小时内，准确度</w:t>
            </w:r>
            <w:r>
              <w:rPr>
                <w:rFonts w:ascii="方正书宋_GBK" w:eastAsia="方正书宋_GBK"/>
              </w:rPr>
              <w:t>95%</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24</w:t>
            </w:r>
            <w:r>
              <w:rPr>
                <w:rFonts w:hint="eastAsia" w:ascii="方正书宋_GBK" w:eastAsia="方正书宋_GBK"/>
              </w:rPr>
              <w:t>小时内，准确度</w:t>
            </w:r>
            <w:r>
              <w:rPr>
                <w:rFonts w:ascii="方正书宋_GBK" w:eastAsia="方正书宋_GBK"/>
              </w:rPr>
              <w:t>90%</w:t>
            </w:r>
            <w:r>
              <w:rPr>
                <w:rFonts w:hint="eastAsia" w:ascii="方正书宋_GBK" w:eastAsia="方正书宋_GBK"/>
              </w:rPr>
              <w:t>及以上</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超出</w:t>
            </w:r>
            <w:r>
              <w:rPr>
                <w:rFonts w:ascii="方正书宋_GBK" w:eastAsia="方正书宋_GBK"/>
              </w:rPr>
              <w:t>24</w:t>
            </w:r>
            <w:r>
              <w:rPr>
                <w:rFonts w:hint="eastAsia" w:ascii="方正书宋_GBK" w:eastAsia="方正书宋_GBK"/>
              </w:rPr>
              <w:t>小时，准确度低于</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二十三、扶持农产品生产</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对生产者采取直接补贴的办法，支持推广优良品种、先进适用种养技术，实施科学管理</w:t>
            </w:r>
            <w:r>
              <w:rPr>
                <w:rFonts w:ascii="方正书宋_GBK" w:eastAsia="方正书宋_GBK"/>
              </w:rPr>
              <w:t>,</w:t>
            </w:r>
            <w:r>
              <w:rPr>
                <w:rFonts w:hint="eastAsia" w:ascii="方正书宋_GBK" w:eastAsia="方正书宋_GBK"/>
              </w:rPr>
              <w:t>提高农产品产量、质量，提高生产经营效益。</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提高农产品产量和产量，优化农业产业结构，提高经济效益，增加农民收入。</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、实施良种补贴</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按照国家、省部署，对全乡主要粮食作物和猪、牛、羊、鸡等畜产品生产实施良种补贴。</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小麦、玉米、水稻、棉花良种补贴全覆盖。畜牧、水产品种优良化率持续提高</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良种补贴覆盖率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、实施菜篮子工程</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w:t>
            </w:r>
            <w:r>
              <w:rPr>
                <w:rFonts w:hint="cs" w:ascii="方正书宋_GBK" w:eastAsia="方正书宋_GBK"/>
              </w:rPr>
              <w:t>“</w:t>
            </w:r>
            <w:r>
              <w:rPr>
                <w:rFonts w:hint="eastAsia" w:ascii="方正书宋_GBK" w:eastAsia="方正书宋_GBK"/>
              </w:rPr>
              <w:t>菜篮子</w:t>
            </w:r>
            <w:r>
              <w:rPr>
                <w:rFonts w:hint="cs" w:ascii="方正书宋_GBK" w:eastAsia="方正书宋_GBK"/>
              </w:rPr>
              <w:t>”</w:t>
            </w:r>
            <w:r>
              <w:rPr>
                <w:rFonts w:hint="eastAsia" w:ascii="方正书宋_GBK" w:eastAsia="方正书宋_GBK"/>
              </w:rPr>
              <w:t>产品生产向规模化、园区化、设施化、标准化和产销一体化发展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按要求完成畜禽标准化健康养殖规模场改造任务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蔬菜标准园创建完成率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二十四、完善农村经营管理体制</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、促进土地流转</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建设土地流转有形市场。</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指导全乡建立运转顺畅、便捷高效的农村土地承包经营权流转服务平台，带动土地流转依法、有序开展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土地流转提高率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1.3%</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、土地确权登记</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根据国家要求开展农村土地承包经营确权登记试点，并逐步向全县全面推开。</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完成全乡耕地面积</w:t>
            </w:r>
            <w:r>
              <w:rPr>
                <w:rFonts w:ascii="方正书宋_GBK" w:eastAsia="方正书宋_GBK"/>
              </w:rPr>
              <w:t>50%</w:t>
            </w:r>
            <w:r>
              <w:rPr>
                <w:rFonts w:hint="eastAsia" w:ascii="方正书宋_GBK" w:eastAsia="方正书宋_GBK"/>
              </w:rPr>
              <w:t>的确权登记颁证目标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农村土地承包土地确权登记颁证率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50%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、农村经营管理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支持农民专业合作组织规范、健康发展。建立健全农村集体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管理制度，盘活集体存量资产资源，拓宽集体增收渠道，促进农村集体资产保值增值。</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健全农村集体</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管理制度，指导农村经济组织健康、规范发展</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村集体经济业务规范率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二十五、林业生态建设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完成国家下达和省委省政府制定的造林任务及全区森林覆盖率考核目标。有效改善生态环境。</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、造林绿化</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增加有林地面积，提高乡镇绿化水平和森林覆盖率，改善生态环境。</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全乡镇完成年初造林绿化任务。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森林覆盖率提高</w:t>
            </w:r>
            <w:r>
              <w:rPr>
                <w:rFonts w:ascii="方正书宋_GBK" w:eastAsia="方正书宋_GBK"/>
              </w:rPr>
              <w:t>1</w:t>
            </w:r>
            <w:r>
              <w:rPr>
                <w:rFonts w:hint="eastAsia" w:ascii="方正书宋_GBK" w:eastAsia="方正书宋_GBK"/>
              </w:rPr>
              <w:t>个百分点。</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0.8%</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0.6%</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二十六、推进新农村建设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通过实施农村面貌改造提升行动，加快建设社会主义新农村。</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、农村面貌改造提升</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按照统筹城乡发展要求，以</w:t>
            </w:r>
            <w:r>
              <w:rPr>
                <w:rFonts w:hint="cs" w:ascii="方正书宋_GBK" w:eastAsia="方正书宋_GBK"/>
              </w:rPr>
              <w:t>“</w:t>
            </w:r>
            <w:r>
              <w:rPr>
                <w:rFonts w:hint="eastAsia" w:ascii="方正书宋_GBK" w:eastAsia="方正书宋_GBK"/>
              </w:rPr>
              <w:t>保持田园风光、增加现代设施、绿化村落庭院、传承优秀文化</w:t>
            </w:r>
            <w:r>
              <w:rPr>
                <w:rFonts w:hint="cs" w:ascii="方正书宋_GBK" w:eastAsia="方正书宋_GBK"/>
              </w:rPr>
              <w:t>”</w:t>
            </w:r>
            <w:r>
              <w:rPr>
                <w:rFonts w:hint="eastAsia" w:ascii="方正书宋_GBK" w:eastAsia="方正书宋_GBK"/>
              </w:rPr>
              <w:t>为重点，组织实施农村面貌改造提升行动。</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围绕农村改造</w:t>
            </w:r>
            <w:r>
              <w:rPr>
                <w:rFonts w:ascii="方正书宋_GBK" w:eastAsia="方正书宋_GBK"/>
              </w:rPr>
              <w:t>15</w:t>
            </w:r>
            <w:r>
              <w:rPr>
                <w:rFonts w:hint="eastAsia" w:ascii="方正书宋_GBK" w:eastAsia="方正书宋_GBK"/>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重点村改造提升完成率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、美丽乡村建设</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按照市、县统筹城乡发展的要求，以</w:t>
            </w:r>
            <w:r>
              <w:rPr>
                <w:rFonts w:hint="cs" w:ascii="方正书宋_GBK" w:eastAsia="方正书宋_GBK"/>
              </w:rPr>
              <w:t>“</w:t>
            </w:r>
            <w:r>
              <w:rPr>
                <w:rFonts w:hint="eastAsia" w:ascii="方正书宋_GBK" w:eastAsia="方正书宋_GBK"/>
              </w:rPr>
              <w:t>环境美、产业美、精神美、生态美</w:t>
            </w:r>
            <w:r>
              <w:rPr>
                <w:rFonts w:hint="cs" w:ascii="方正书宋_GBK" w:eastAsia="方正书宋_GBK"/>
              </w:rPr>
              <w:t>”</w:t>
            </w:r>
            <w:r>
              <w:rPr>
                <w:rFonts w:hint="eastAsia" w:ascii="方正书宋_GBK" w:eastAsia="方正书宋_GBK"/>
              </w:rPr>
              <w:t>为重点，大力推进美丽乡村建设。</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突出重点，因地制宜，按照分期分批推进的要求，每年选定一批重点村实施改造提升。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村民满意度</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rPr>
            </w:pPr>
          </w:p>
        </w:tc>
        <w:tc>
          <w:tcPr>
            <w:tcW w:w="12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2976" w:type="dxa"/>
            <w:vMerge w:val="continue"/>
            <w:shd w:val="clear" w:color="auto" w:fill="auto"/>
            <w:vAlign w:val="center"/>
          </w:tcPr>
          <w:p>
            <w:pPr>
              <w:spacing w:line="300" w:lineRule="exact"/>
              <w:jc w:val="left"/>
              <w:rPr>
                <w:rFonts w:ascii="方正书宋_GBK" w:eastAsia="方正书宋_GBK"/>
              </w:rPr>
            </w:p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美丽乡村建设重点村任务完成率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2019年，我部门无政府采购预算，空表列示。</w:t>
      </w:r>
    </w:p>
    <w:tbl>
      <w:tblPr>
        <w:tblStyle w:val="6"/>
        <w:tblW w:w="1316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1"/>
        <w:gridCol w:w="764"/>
        <w:gridCol w:w="1134"/>
        <w:gridCol w:w="1134"/>
        <w:gridCol w:w="992"/>
        <w:gridCol w:w="851"/>
        <w:gridCol w:w="834"/>
        <w:gridCol w:w="709"/>
        <w:gridCol w:w="992"/>
        <w:gridCol w:w="1134"/>
        <w:gridCol w:w="851"/>
        <w:gridCol w:w="850"/>
        <w:gridCol w:w="851"/>
        <w:gridCol w:w="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30" w:type="dxa"/>
            <w:gridSpan w:val="7"/>
            <w:tcBorders>
              <w:top w:val="single" w:color="FFFFFF" w:sz="6" w:space="0"/>
              <w:left w:val="single" w:color="FFFFFF" w:sz="6" w:space="0"/>
              <w:right w:val="single" w:color="FFFFFF" w:sz="6" w:space="0"/>
            </w:tcBorders>
            <w:vAlign w:val="center"/>
          </w:tcPr>
          <w:p>
            <w:pPr>
              <w:spacing w:line="700" w:lineRule="exact"/>
              <w:jc w:val="left"/>
              <w:rPr>
                <w:rFonts w:ascii="方正小标宋_GBK" w:eastAsia="方正小标宋_GBK"/>
                <w:sz w:val="24"/>
              </w:rPr>
            </w:pPr>
          </w:p>
        </w:tc>
        <w:tc>
          <w:tcPr>
            <w:tcW w:w="6237" w:type="dxa"/>
            <w:gridSpan w:val="7"/>
            <w:tcBorders>
              <w:top w:val="single" w:color="FFFFFF" w:sz="6" w:space="0"/>
              <w:left w:val="single" w:color="FFFFFF" w:sz="6" w:space="0"/>
              <w:right w:val="single" w:color="FFFFFF" w:sz="6" w:space="0"/>
            </w:tcBorders>
            <w:vAlign w:val="center"/>
          </w:tcPr>
          <w:p>
            <w:pPr>
              <w:spacing w:line="700" w:lineRule="exact"/>
              <w:jc w:val="right"/>
              <w:rPr>
                <w:rFonts w:ascii="方正书宋_GBK" w:eastAsia="方正书宋_GBK"/>
                <w:sz w:val="24"/>
              </w:rPr>
            </w:pPr>
            <w:r>
              <w:rPr>
                <w:rFonts w:hint="eastAsia" w:ascii="宋体" w:hAnsi="宋体" w:cs="宋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5"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34"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992" w:type="dxa"/>
            <w:vMerge w:val="restart"/>
            <w:vAlign w:val="center"/>
          </w:tcPr>
          <w:p>
            <w:pPr>
              <w:spacing w:line="700" w:lineRule="exact"/>
              <w:jc w:val="center"/>
              <w:rPr>
                <w:rFonts w:ascii="方正书宋_GBK" w:eastAsia="方正书宋_GBK"/>
                <w:b/>
              </w:rPr>
            </w:pPr>
            <w:r>
              <w:rPr>
                <w:rFonts w:hint="eastAsia" w:ascii="宋体" w:hAnsi="宋体" w:cs="宋体"/>
                <w:b/>
              </w:rPr>
              <w:t>数量</w:t>
            </w:r>
            <w:r>
              <w:rPr>
                <w:rFonts w:ascii="方正书宋_GBK" w:eastAsia="方正书宋_GBK"/>
                <w:b/>
              </w:rPr>
              <w:t xml:space="preserve">  </w:t>
            </w:r>
            <w:r>
              <w:rPr>
                <w:rFonts w:hint="eastAsia" w:ascii="宋体" w:hAnsi="宋体" w:cs="宋体"/>
                <w:b/>
              </w:rPr>
              <w:t>单位</w:t>
            </w:r>
          </w:p>
        </w:tc>
        <w:tc>
          <w:tcPr>
            <w:tcW w:w="851"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34"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237"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64"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678" w:type="dxa"/>
            <w:gridSpan w:val="5"/>
            <w:vAlign w:val="center"/>
          </w:tcPr>
          <w:p>
            <w:pPr>
              <w:spacing w:line="700" w:lineRule="exact"/>
              <w:jc w:val="center"/>
              <w:rPr>
                <w:rFonts w:ascii="方正书宋_GBK" w:eastAsia="方正书宋_GBK"/>
                <w:b/>
              </w:rPr>
            </w:pPr>
            <w:r>
              <w:rPr>
                <w:rFonts w:hint="eastAsia" w:ascii="宋体" w:hAnsi="宋体" w:cs="宋体"/>
                <w:b/>
              </w:rPr>
              <w:t>当年部门预算安排资金</w:t>
            </w:r>
          </w:p>
        </w:tc>
        <w:tc>
          <w:tcPr>
            <w:tcW w:w="850"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21" w:type="dxa"/>
            <w:vMerge w:val="continue"/>
            <w:vAlign w:val="center"/>
          </w:tcPr>
          <w:p>
            <w:pPr>
              <w:spacing w:line="700" w:lineRule="exact"/>
              <w:jc w:val="left"/>
              <w:outlineLvl w:val="0"/>
            </w:pPr>
          </w:p>
        </w:tc>
        <w:tc>
          <w:tcPr>
            <w:tcW w:w="76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1134" w:type="dxa"/>
            <w:vMerge w:val="continue"/>
            <w:vAlign w:val="center"/>
          </w:tcPr>
          <w:p>
            <w:pPr>
              <w:spacing w:line="700" w:lineRule="exact"/>
              <w:jc w:val="left"/>
              <w:outlineLvl w:val="0"/>
            </w:pPr>
          </w:p>
        </w:tc>
        <w:tc>
          <w:tcPr>
            <w:tcW w:w="992" w:type="dxa"/>
            <w:vMerge w:val="continue"/>
            <w:vAlign w:val="center"/>
          </w:tcPr>
          <w:p>
            <w:pPr>
              <w:spacing w:line="700" w:lineRule="exact"/>
              <w:jc w:val="left"/>
              <w:outlineLvl w:val="0"/>
            </w:pPr>
          </w:p>
        </w:tc>
        <w:tc>
          <w:tcPr>
            <w:tcW w:w="851" w:type="dxa"/>
            <w:vMerge w:val="continue"/>
            <w:vAlign w:val="center"/>
          </w:tcPr>
          <w:p>
            <w:pPr>
              <w:spacing w:line="700" w:lineRule="exact"/>
              <w:jc w:val="left"/>
              <w:outlineLvl w:val="0"/>
            </w:pPr>
          </w:p>
        </w:tc>
        <w:tc>
          <w:tcPr>
            <w:tcW w:w="834" w:type="dxa"/>
            <w:vMerge w:val="continue"/>
            <w:vAlign w:val="center"/>
          </w:tcPr>
          <w:p>
            <w:pPr>
              <w:spacing w:line="700" w:lineRule="exact"/>
              <w:jc w:val="left"/>
              <w:outlineLvl w:val="0"/>
            </w:pPr>
          </w:p>
        </w:tc>
        <w:tc>
          <w:tcPr>
            <w:tcW w:w="709" w:type="dxa"/>
            <w:vMerge w:val="continue"/>
            <w:vAlign w:val="center"/>
          </w:tcPr>
          <w:p>
            <w:pPr>
              <w:spacing w:line="700" w:lineRule="exact"/>
              <w:jc w:val="left"/>
              <w:outlineLvl w:val="0"/>
            </w:pPr>
          </w:p>
        </w:tc>
        <w:tc>
          <w:tcPr>
            <w:tcW w:w="992"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34"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51"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50"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51"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50"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4" w:hRule="atLeast"/>
          <w:jc w:val="center"/>
        </w:trPr>
        <w:tc>
          <w:tcPr>
            <w:tcW w:w="1221" w:type="dxa"/>
            <w:vAlign w:val="center"/>
          </w:tcPr>
          <w:p>
            <w:pPr>
              <w:spacing w:line="700" w:lineRule="exact"/>
              <w:jc w:val="center"/>
              <w:rPr>
                <w:rFonts w:ascii="方正书宋_GBK" w:eastAsia="方正书宋_GBK"/>
                <w:b/>
              </w:rPr>
            </w:pPr>
          </w:p>
        </w:tc>
        <w:tc>
          <w:tcPr>
            <w:tcW w:w="764" w:type="dxa"/>
            <w:vAlign w:val="center"/>
          </w:tcPr>
          <w:p>
            <w:pPr>
              <w:spacing w:line="700" w:lineRule="exact"/>
              <w:jc w:val="righ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1134" w:type="dxa"/>
            <w:vAlign w:val="center"/>
          </w:tcPr>
          <w:p>
            <w:pPr>
              <w:spacing w:line="700" w:lineRule="exact"/>
              <w:jc w:val="left"/>
              <w:rPr>
                <w:rFonts w:ascii="方正书宋_GBK" w:eastAsia="方正书宋_GBK"/>
                <w:b/>
              </w:rPr>
            </w:pPr>
          </w:p>
        </w:tc>
        <w:tc>
          <w:tcPr>
            <w:tcW w:w="992" w:type="dxa"/>
            <w:vAlign w:val="center"/>
          </w:tcPr>
          <w:p>
            <w:pPr>
              <w:spacing w:line="700" w:lineRule="exact"/>
              <w:jc w:val="lef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34" w:type="dxa"/>
            <w:vAlign w:val="center"/>
          </w:tcPr>
          <w:p/>
        </w:tc>
        <w:tc>
          <w:tcPr>
            <w:tcW w:w="709" w:type="dxa"/>
            <w:vAlign w:val="center"/>
          </w:tcPr>
          <w:p>
            <w:pPr>
              <w:spacing w:line="700" w:lineRule="exact"/>
              <w:jc w:val="right"/>
              <w:rPr>
                <w:rFonts w:ascii="方正书宋_GBK" w:eastAsia="方正书宋_GBK"/>
                <w:b/>
              </w:rPr>
            </w:pPr>
          </w:p>
        </w:tc>
        <w:tc>
          <w:tcPr>
            <w:tcW w:w="992" w:type="dxa"/>
            <w:vAlign w:val="center"/>
          </w:tcPr>
          <w:p>
            <w:pPr>
              <w:spacing w:line="700" w:lineRule="exact"/>
              <w:jc w:val="right"/>
              <w:rPr>
                <w:rFonts w:ascii="方正书宋_GBK" w:eastAsia="方正书宋_GBK"/>
                <w:b/>
              </w:rPr>
            </w:pPr>
          </w:p>
        </w:tc>
        <w:tc>
          <w:tcPr>
            <w:tcW w:w="1134"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c>
          <w:tcPr>
            <w:tcW w:w="851" w:type="dxa"/>
            <w:vAlign w:val="center"/>
          </w:tcPr>
          <w:p>
            <w:pPr>
              <w:spacing w:line="700" w:lineRule="exact"/>
              <w:jc w:val="right"/>
              <w:rPr>
                <w:rFonts w:ascii="方正书宋_GBK" w:eastAsia="方正书宋_GBK"/>
                <w:b/>
              </w:rPr>
            </w:pPr>
          </w:p>
        </w:tc>
        <w:tc>
          <w:tcPr>
            <w:tcW w:w="850"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9" w:hRule="atLeast"/>
          <w:jc w:val="center"/>
        </w:trPr>
        <w:tc>
          <w:tcPr>
            <w:tcW w:w="1221" w:type="dxa"/>
            <w:vAlign w:val="center"/>
          </w:tcPr>
          <w:p>
            <w:pPr>
              <w:spacing w:line="700" w:lineRule="exact"/>
              <w:jc w:val="left"/>
              <w:rPr>
                <w:rFonts w:ascii="方正书宋_GBK" w:eastAsia="方正书宋_GBK"/>
              </w:rPr>
            </w:pPr>
          </w:p>
        </w:tc>
        <w:tc>
          <w:tcPr>
            <w:tcW w:w="764" w:type="dxa"/>
            <w:vAlign w:val="center"/>
          </w:tcPr>
          <w:p>
            <w:pPr>
              <w:spacing w:line="700" w:lineRule="exact"/>
              <w:jc w:val="righ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1134" w:type="dxa"/>
            <w:vAlign w:val="center"/>
          </w:tcPr>
          <w:p>
            <w:pPr>
              <w:spacing w:line="700" w:lineRule="exact"/>
              <w:jc w:val="left"/>
              <w:rPr>
                <w:rFonts w:ascii="方正书宋_GBK" w:eastAsia="方正书宋_GBK"/>
              </w:rPr>
            </w:pPr>
          </w:p>
        </w:tc>
        <w:tc>
          <w:tcPr>
            <w:tcW w:w="992" w:type="dxa"/>
            <w:vAlign w:val="center"/>
          </w:tcPr>
          <w:p>
            <w:pPr>
              <w:spacing w:line="700" w:lineRule="exact"/>
              <w:jc w:val="lef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34" w:type="dxa"/>
            <w:vAlign w:val="center"/>
          </w:tcPr>
          <w:p>
            <w:pPr>
              <w:spacing w:line="700" w:lineRule="exact"/>
              <w:jc w:val="right"/>
              <w:rPr>
                <w:rFonts w:ascii="方正书宋_GBK" w:eastAsia="方正书宋_GBK"/>
              </w:rPr>
            </w:pPr>
          </w:p>
        </w:tc>
        <w:tc>
          <w:tcPr>
            <w:tcW w:w="709" w:type="dxa"/>
            <w:vAlign w:val="center"/>
          </w:tcPr>
          <w:p>
            <w:pPr>
              <w:spacing w:line="700" w:lineRule="exact"/>
              <w:jc w:val="right"/>
              <w:rPr>
                <w:rFonts w:ascii="方正书宋_GBK" w:eastAsia="方正书宋_GBK"/>
              </w:rPr>
            </w:pPr>
          </w:p>
        </w:tc>
        <w:tc>
          <w:tcPr>
            <w:tcW w:w="992" w:type="dxa"/>
            <w:vAlign w:val="center"/>
          </w:tcPr>
          <w:p>
            <w:pPr>
              <w:spacing w:line="700" w:lineRule="exact"/>
              <w:jc w:val="right"/>
              <w:rPr>
                <w:rFonts w:ascii="方正书宋_GBK" w:eastAsia="方正书宋_GBK"/>
              </w:rPr>
            </w:pPr>
          </w:p>
        </w:tc>
        <w:tc>
          <w:tcPr>
            <w:tcW w:w="1134"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c>
          <w:tcPr>
            <w:tcW w:w="851" w:type="dxa"/>
            <w:vAlign w:val="center"/>
          </w:tcPr>
          <w:p>
            <w:pPr>
              <w:spacing w:line="700" w:lineRule="exact"/>
              <w:jc w:val="right"/>
              <w:rPr>
                <w:rFonts w:ascii="方正书宋_GBK" w:eastAsia="方正书宋_GBK"/>
              </w:rPr>
            </w:pPr>
          </w:p>
        </w:tc>
        <w:tc>
          <w:tcPr>
            <w:tcW w:w="850" w:type="dxa"/>
            <w:vAlign w:val="center"/>
          </w:tcPr>
          <w:p>
            <w:pPr>
              <w:spacing w:line="700" w:lineRule="exact"/>
              <w:jc w:val="right"/>
              <w:rPr>
                <w:rFonts w:ascii="方正书宋_GBK" w:eastAsia="方正书宋_GBK"/>
              </w:rPr>
            </w:pPr>
          </w:p>
        </w:tc>
      </w:tr>
    </w:tbl>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上年末我部门固定资产总金额为244.74万元（详见下表）。</w:t>
      </w:r>
      <w:r>
        <w:rPr>
          <w:rFonts w:ascii="仿宋" w:hAnsi="仿宋" w:eastAsia="仿宋"/>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6"/>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244.74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1350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92.99</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1350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92.99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29.66</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122.09</w:t>
            </w:r>
          </w:p>
        </w:tc>
      </w:tr>
    </w:tbl>
    <w:p>
      <w:pPr>
        <w:spacing w:line="360" w:lineRule="auto"/>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5373602"/>
      <w:docPartObj>
        <w:docPartGallery w:val="autotext"/>
      </w:docPartObj>
    </w:sdtPr>
    <w:sdtContent>
      <w:p>
        <w:pPr>
          <w:pStyle w:val="3"/>
          <w:jc w:val="center"/>
        </w:pPr>
        <w:r>
          <w:fldChar w:fldCharType="begin"/>
        </w:r>
        <w:r>
          <w:instrText xml:space="preserve">PAGE   \* MERGEFORMAT</w:instrText>
        </w:r>
        <w:r>
          <w:fldChar w:fldCharType="separate"/>
        </w:r>
        <w:r>
          <w:rPr>
            <w:lang w:val="zh-CN"/>
          </w:rPr>
          <w:t>23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4YzEyZmQwZjE5NmU5NTI4NTkxZTY2OTUyYTdkNmYifQ=="/>
  </w:docVars>
  <w:rsids>
    <w:rsidRoot w:val="00055F1F"/>
    <w:rsid w:val="00013B8A"/>
    <w:rsid w:val="00044FBC"/>
    <w:rsid w:val="00055F1F"/>
    <w:rsid w:val="00057F18"/>
    <w:rsid w:val="000A445D"/>
    <w:rsid w:val="00131DEC"/>
    <w:rsid w:val="001462BD"/>
    <w:rsid w:val="00152380"/>
    <w:rsid w:val="001638BE"/>
    <w:rsid w:val="00181777"/>
    <w:rsid w:val="001978A3"/>
    <w:rsid w:val="001B4688"/>
    <w:rsid w:val="001F4875"/>
    <w:rsid w:val="002918C6"/>
    <w:rsid w:val="00296524"/>
    <w:rsid w:val="002A166E"/>
    <w:rsid w:val="002E01F6"/>
    <w:rsid w:val="002E47EC"/>
    <w:rsid w:val="002F530F"/>
    <w:rsid w:val="00305E97"/>
    <w:rsid w:val="0032782B"/>
    <w:rsid w:val="00340B3D"/>
    <w:rsid w:val="00367A30"/>
    <w:rsid w:val="003A06D2"/>
    <w:rsid w:val="003C2317"/>
    <w:rsid w:val="003C442E"/>
    <w:rsid w:val="003D1092"/>
    <w:rsid w:val="003D37CD"/>
    <w:rsid w:val="003D3D1C"/>
    <w:rsid w:val="003E5531"/>
    <w:rsid w:val="0040243C"/>
    <w:rsid w:val="00406BD1"/>
    <w:rsid w:val="00426C19"/>
    <w:rsid w:val="00450FD9"/>
    <w:rsid w:val="00453CE0"/>
    <w:rsid w:val="00470BBB"/>
    <w:rsid w:val="0048611E"/>
    <w:rsid w:val="004A09E9"/>
    <w:rsid w:val="004B6929"/>
    <w:rsid w:val="004F3C52"/>
    <w:rsid w:val="00510A1E"/>
    <w:rsid w:val="005366C0"/>
    <w:rsid w:val="00570142"/>
    <w:rsid w:val="0057586C"/>
    <w:rsid w:val="00585789"/>
    <w:rsid w:val="005B1B6F"/>
    <w:rsid w:val="005B6CCB"/>
    <w:rsid w:val="005C54AA"/>
    <w:rsid w:val="005C7B89"/>
    <w:rsid w:val="0062788A"/>
    <w:rsid w:val="00641F8A"/>
    <w:rsid w:val="006C62DF"/>
    <w:rsid w:val="006F5104"/>
    <w:rsid w:val="00735B02"/>
    <w:rsid w:val="007657C8"/>
    <w:rsid w:val="00771E49"/>
    <w:rsid w:val="00782208"/>
    <w:rsid w:val="007C7FD7"/>
    <w:rsid w:val="007F3746"/>
    <w:rsid w:val="00833132"/>
    <w:rsid w:val="00834801"/>
    <w:rsid w:val="008672EA"/>
    <w:rsid w:val="00891680"/>
    <w:rsid w:val="008A0B5F"/>
    <w:rsid w:val="008B5402"/>
    <w:rsid w:val="0090527E"/>
    <w:rsid w:val="00905BB7"/>
    <w:rsid w:val="00912DA4"/>
    <w:rsid w:val="009302B8"/>
    <w:rsid w:val="009305C6"/>
    <w:rsid w:val="00944C92"/>
    <w:rsid w:val="00982F3D"/>
    <w:rsid w:val="0099046B"/>
    <w:rsid w:val="00A03364"/>
    <w:rsid w:val="00A36EEC"/>
    <w:rsid w:val="00A8079E"/>
    <w:rsid w:val="00A92D66"/>
    <w:rsid w:val="00AA4262"/>
    <w:rsid w:val="00AB5A90"/>
    <w:rsid w:val="00AE4AA5"/>
    <w:rsid w:val="00AE7FA9"/>
    <w:rsid w:val="00AF5C64"/>
    <w:rsid w:val="00B147EB"/>
    <w:rsid w:val="00B80FAB"/>
    <w:rsid w:val="00B81C88"/>
    <w:rsid w:val="00BA5C83"/>
    <w:rsid w:val="00BC6A7D"/>
    <w:rsid w:val="00BD719F"/>
    <w:rsid w:val="00C177A5"/>
    <w:rsid w:val="00C6153C"/>
    <w:rsid w:val="00C87BA5"/>
    <w:rsid w:val="00CC7D74"/>
    <w:rsid w:val="00D02F97"/>
    <w:rsid w:val="00D1573F"/>
    <w:rsid w:val="00D23C60"/>
    <w:rsid w:val="00D45530"/>
    <w:rsid w:val="00DA5DA7"/>
    <w:rsid w:val="00DE3935"/>
    <w:rsid w:val="00E06876"/>
    <w:rsid w:val="00E2325B"/>
    <w:rsid w:val="00E24075"/>
    <w:rsid w:val="00E35F38"/>
    <w:rsid w:val="00E46F27"/>
    <w:rsid w:val="00E509CC"/>
    <w:rsid w:val="00E71A04"/>
    <w:rsid w:val="00E96342"/>
    <w:rsid w:val="00F000B1"/>
    <w:rsid w:val="00F012D3"/>
    <w:rsid w:val="00F10D04"/>
    <w:rsid w:val="00F572CB"/>
    <w:rsid w:val="00F621AF"/>
    <w:rsid w:val="00F82447"/>
    <w:rsid w:val="00FB2F32"/>
    <w:rsid w:val="00FE0F1F"/>
    <w:rsid w:val="00FE17D7"/>
    <w:rsid w:val="00FF61F3"/>
    <w:rsid w:val="30A360CA"/>
    <w:rsid w:val="44521255"/>
    <w:rsid w:val="4CA35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unhideWhenUsed/>
    <w:uiPriority w:val="99"/>
    <w:pPr>
      <w:snapToGrid w:val="0"/>
      <w:jc w:val="left"/>
    </w:pPr>
    <w:rPr>
      <w:rFonts w:ascii="Calibri" w:hAnsi="Calibri" w:eastAsia="宋体" w:cs="Times New Roman"/>
      <w:sz w:val="18"/>
      <w:szCs w:val="18"/>
    </w:rPr>
  </w:style>
  <w:style w:type="character" w:styleId="8">
    <w:name w:val="footnote reference"/>
    <w:semiHidden/>
    <w:unhideWhenUsed/>
    <w:qFormat/>
    <w:uiPriority w:val="99"/>
    <w:rPr>
      <w:vertAlign w:val="superscript"/>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customStyle="1" w:styleId="12">
    <w:name w:val="[Normal]"/>
    <w:qFormat/>
    <w:uiPriority w:val="99"/>
    <w:pPr>
      <w:widowControl w:val="0"/>
      <w:autoSpaceDE w:val="0"/>
      <w:autoSpaceDN w:val="0"/>
      <w:adjustRightInd w:val="0"/>
    </w:pPr>
    <w:rPr>
      <w:rFonts w:ascii="宋体" w:hAnsi="Times New Roman" w:eastAsia="宋体" w:cs="宋体"/>
      <w:kern w:val="0"/>
      <w:sz w:val="24"/>
      <w:szCs w:val="24"/>
      <w:lang w:val="en-US" w:eastAsia="zh-CN" w:bidi="ar-SA"/>
    </w:rPr>
  </w:style>
  <w:style w:type="character" w:customStyle="1" w:styleId="13">
    <w:name w:val="脚注文本 Char"/>
    <w:basedOn w:val="7"/>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48061-0106-4FE3-B7D6-094D5B10F6EC}">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2082</Words>
  <Characters>11874</Characters>
  <Lines>98</Lines>
  <Paragraphs>27</Paragraphs>
  <TotalTime>509</TotalTime>
  <ScaleCrop>false</ScaleCrop>
  <LinksUpToDate>false</LinksUpToDate>
  <CharactersWithSpaces>13929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2024-03-14T00:55:55Z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FC9517FB81E6442A8C810813A3BFBB39_13</vt:lpwstr>
  </property>
</Properties>
</file>