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保定市徐水区城市管理综合执法局</w:t>
      </w:r>
    </w:p>
    <w:p>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firstLineChars="200"/>
        <w:rPr>
          <w:rFonts w:ascii="仿宋_GB2312" w:eastAsia="仿宋_GB2312"/>
          <w:bCs/>
          <w:sz w:val="32"/>
          <w:szCs w:val="32"/>
        </w:rPr>
      </w:pPr>
      <w:r>
        <w:rPr>
          <w:rFonts w:hint="eastAsia" w:ascii="仿宋_GB2312" w:eastAsia="仿宋_GB2312"/>
          <w:sz w:val="32"/>
          <w:szCs w:val="32"/>
        </w:rPr>
        <w:t>根据中共河北省委、河北省人民政府《关于推进城市执法体制改革改进城市管理工作实施意见》（冀发〔2016〕23号）和保定市编委办《关于调整保定市徐水区城市管理执法机构的批复》（保编办[2017]279号）</w:t>
      </w:r>
      <w:r>
        <w:rPr>
          <w:rFonts w:hint="eastAsia" w:ascii="仿宋_GB2312" w:hAnsi="仿宋" w:eastAsia="仿宋_GB2312"/>
          <w:sz w:val="32"/>
          <w:szCs w:val="32"/>
        </w:rPr>
        <w:t>精神，</w:t>
      </w:r>
      <w:r>
        <w:rPr>
          <w:rFonts w:hint="eastAsia" w:ascii="仿宋_GB2312" w:eastAsia="仿宋_GB2312"/>
          <w:bCs/>
          <w:sz w:val="32"/>
          <w:szCs w:val="32"/>
        </w:rPr>
        <w:t>区城市管理行政执法局更名为区城市管理综合执法局，为政府直属事业单位，</w:t>
      </w:r>
      <w:r>
        <w:rPr>
          <w:rFonts w:hint="eastAsia" w:ascii="仿宋_GB2312" w:eastAsia="仿宋_GB2312"/>
          <w:sz w:val="32"/>
          <w:szCs w:val="32"/>
        </w:rPr>
        <w:t>加挂区园林绿化管理局牌子。</w:t>
      </w:r>
      <w:r>
        <w:rPr>
          <w:rFonts w:hint="eastAsia" w:ascii="仿宋_GB2312" w:eastAsia="仿宋_GB2312"/>
          <w:bCs/>
          <w:sz w:val="32"/>
          <w:szCs w:val="32"/>
        </w:rPr>
        <w:t>区城市管理综合执法局具有行政执法主体资格，依法独立履行城区规划区内相对集中的行政处罚权，并承担相应的法律责任。</w:t>
      </w:r>
    </w:p>
    <w:p>
      <w:pPr>
        <w:spacing w:line="500" w:lineRule="exact"/>
        <w:ind w:firstLine="640" w:firstLineChars="200"/>
        <w:rPr>
          <w:rFonts w:ascii="黑体" w:hAnsi="黑体" w:eastAsia="黑体"/>
          <w:bCs/>
          <w:sz w:val="32"/>
          <w:szCs w:val="32"/>
        </w:rPr>
      </w:pPr>
      <w:r>
        <w:rPr>
          <w:rFonts w:hint="eastAsia" w:ascii="黑体" w:hAnsi="黑体" w:eastAsia="黑体"/>
          <w:bCs/>
          <w:sz w:val="32"/>
          <w:szCs w:val="32"/>
        </w:rPr>
        <w:t>一、职责调整</w:t>
      </w:r>
    </w:p>
    <w:p>
      <w:pPr>
        <w:spacing w:line="500" w:lineRule="exact"/>
        <w:ind w:firstLine="640" w:firstLineChars="200"/>
        <w:rPr>
          <w:rFonts w:ascii="仿宋_GB2312" w:eastAsia="仿宋_GB2312"/>
          <w:bCs/>
          <w:sz w:val="32"/>
          <w:szCs w:val="32"/>
        </w:rPr>
      </w:pPr>
      <w:r>
        <w:rPr>
          <w:rFonts w:hint="eastAsia" w:ascii="仿宋_GB2312" w:eastAsia="仿宋_GB2312"/>
          <w:bCs/>
          <w:sz w:val="32"/>
          <w:szCs w:val="32"/>
        </w:rPr>
        <w:t>整合市政公用、市容环卫、园林绿化、城市管理执法等城市管理相关职能，由区住房和城乡建设局调整至区城市管理综合执法局。</w:t>
      </w:r>
    </w:p>
    <w:p>
      <w:pPr>
        <w:spacing w:line="500" w:lineRule="exact"/>
        <w:ind w:firstLine="640" w:firstLineChars="200"/>
        <w:rPr>
          <w:rFonts w:ascii="黑体" w:hAnsi="黑体" w:eastAsia="黑体"/>
          <w:bCs/>
          <w:sz w:val="32"/>
          <w:szCs w:val="32"/>
        </w:rPr>
      </w:pPr>
      <w:r>
        <w:rPr>
          <w:rFonts w:hint="eastAsia" w:ascii="黑体" w:hAnsi="黑体" w:eastAsia="黑体"/>
          <w:bCs/>
          <w:sz w:val="32"/>
          <w:szCs w:val="32"/>
        </w:rPr>
        <w:t>二、主要职责</w:t>
      </w:r>
    </w:p>
    <w:p>
      <w:pPr>
        <w:pStyle w:val="11"/>
        <w:widowControl w:val="0"/>
        <w:spacing w:line="500" w:lineRule="exact"/>
        <w:ind w:firstLine="480" w:firstLineChars="150"/>
        <w:rPr>
          <w:rFonts w:ascii="仿宋_GB2312" w:eastAsia="仿宋_GB2312" w:cs="仿宋_GB2312"/>
          <w:sz w:val="32"/>
          <w:szCs w:val="32"/>
        </w:rPr>
      </w:pPr>
      <w:r>
        <w:rPr>
          <w:rFonts w:hint="eastAsia" w:ascii="仿宋_GB2312" w:eastAsia="仿宋_GB2312"/>
          <w:bCs/>
          <w:sz w:val="32"/>
          <w:szCs w:val="32"/>
        </w:rPr>
        <w:t>（一）</w:t>
      </w:r>
      <w:r>
        <w:rPr>
          <w:rFonts w:hint="eastAsia" w:ascii="仿宋_GB2312" w:eastAsia="仿宋_GB2312" w:cs="仿宋_GB2312"/>
          <w:sz w:val="32"/>
          <w:szCs w:val="32"/>
        </w:rPr>
        <w:t>宣传贯彻国家和省、市有关城市管理的政策和法规；拟订和实施城市管理有关规定。</w:t>
      </w:r>
    </w:p>
    <w:p>
      <w:pPr>
        <w:pStyle w:val="11"/>
        <w:widowControl w:val="0"/>
        <w:spacing w:line="50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（二）负责全区城市管理工作的业务指导、组织协调、监督检查和考核评价。</w:t>
      </w:r>
    </w:p>
    <w:p>
      <w:pPr>
        <w:pStyle w:val="11"/>
        <w:widowControl w:val="0"/>
        <w:spacing w:line="50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（三）拟订和实施城市管理长期规划和年度计划，推进数字城管智慧化。</w:t>
      </w:r>
    </w:p>
    <w:p>
      <w:pPr>
        <w:pStyle w:val="11"/>
        <w:widowControl w:val="0"/>
        <w:spacing w:line="50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（四）负责城市道路、桥梁、照明、供水、排水、燃气、供热、污水和垃圾处理等市政公用设施运行管理、城市容貌和环境卫生管理、城市园林绿化管理等方面的全部工作。</w:t>
      </w:r>
    </w:p>
    <w:p>
      <w:pPr>
        <w:pStyle w:val="11"/>
        <w:widowControl w:val="0"/>
        <w:spacing w:line="50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（五）负责城市公共空间秩序管理方面的户外广告设置，门头牌匾外立面装修、“街道家具”管理工作。</w:t>
      </w:r>
    </w:p>
    <w:p>
      <w:pPr>
        <w:pStyle w:val="11"/>
        <w:widowControl w:val="0"/>
        <w:spacing w:line="50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（六）负责城市交通管理方面的便道</w:t>
      </w:r>
      <w:r>
        <w:rPr>
          <w:rFonts w:hint="eastAsia" w:ascii="仿宋_GB2312" w:eastAsia="仿宋_GB2312"/>
          <w:color w:val="000000"/>
          <w:spacing w:val="-8"/>
          <w:sz w:val="32"/>
          <w:szCs w:val="32"/>
        </w:rPr>
        <w:t>（人行道）、广场（游园）</w:t>
      </w:r>
      <w:r>
        <w:rPr>
          <w:rFonts w:hint="eastAsia" w:ascii="仿宋_GB2312" w:eastAsia="仿宋_GB2312" w:cs="仿宋_GB2312"/>
          <w:sz w:val="32"/>
          <w:szCs w:val="32"/>
        </w:rPr>
        <w:t>车辆停放管理工作。</w:t>
      </w:r>
    </w:p>
    <w:p>
      <w:pPr>
        <w:pStyle w:val="11"/>
        <w:widowControl w:val="0"/>
        <w:spacing w:line="50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（七）负责城市环境保护管理方面的道路扬尘、露天烧烤整治工作。</w:t>
      </w:r>
    </w:p>
    <w:p>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（八）负责城市应急管理等方面的道路清融雪以及城市道路、桥梁、照明应急保障，供水、燃气、污水处理应急工作的指导工作。</w:t>
      </w:r>
    </w:p>
    <w:p>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（九）集中行使“与群众生产生活密切相关、执法频率高、多头执法扰民问题突出、专业技术要求适宜、与城市管理密切相关”的行政处罚权，具体包括：</w:t>
      </w:r>
    </w:p>
    <w:p>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1.城市道路、桥梁、照明、供水、排水、燃气、供热、污水等市政公用设施运行方面法律、法规、规章规定的行政处罚权；</w:t>
      </w:r>
    </w:p>
    <w:p>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2.市容环境卫生管理方面法律、法规、规章规定的行政</w:t>
      </w:r>
    </w:p>
    <w:p>
      <w:pPr>
        <w:pStyle w:val="11"/>
        <w:widowControl w:val="0"/>
        <w:spacing w:line="500" w:lineRule="exact"/>
        <w:rPr>
          <w:rFonts w:ascii="仿宋_GB2312" w:eastAsia="仿宋_GB2312" w:cs="仿宋_GB2312"/>
          <w:sz w:val="32"/>
          <w:szCs w:val="32"/>
        </w:rPr>
      </w:pPr>
      <w:r>
        <w:rPr>
          <w:rFonts w:hint="eastAsia" w:ascii="仿宋_GB2312" w:eastAsia="仿宋_GB2312" w:cs="仿宋_GB2312"/>
          <w:sz w:val="32"/>
          <w:szCs w:val="32"/>
        </w:rPr>
        <w:t>处罚权；</w:t>
      </w:r>
    </w:p>
    <w:p>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3.城市绿化管理方面法律、法规、规章规定的行政处罚权；</w:t>
      </w:r>
    </w:p>
    <w:p>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4.城乡规划管理方面在规划区内未取得《建设工程规划许可证》或者违反《建设工程规划许可证》规定进行建设，严重影响城市规划行为的行政处罚权；</w:t>
      </w:r>
    </w:p>
    <w:p>
      <w:pPr>
        <w:pStyle w:val="11"/>
        <w:widowControl w:val="0"/>
        <w:spacing w:line="500" w:lineRule="exact"/>
        <w:rPr>
          <w:rFonts w:ascii="仿宋_GB2312" w:eastAsia="仿宋_GB2312" w:cs="仿宋_GB2312"/>
          <w:sz w:val="32"/>
          <w:szCs w:val="32"/>
        </w:rPr>
      </w:pPr>
      <w:r>
        <w:rPr>
          <w:rFonts w:hint="eastAsia" w:ascii="仿宋_GB2312" w:eastAsia="仿宋_GB2312" w:cs="仿宋_GB2312"/>
          <w:sz w:val="32"/>
          <w:szCs w:val="32"/>
        </w:rPr>
        <w:t xml:space="preserve">    5.住房和城乡建设管理方面未取得施工许可证或者开工报告未经批准擅自施工的法律、法规、规章规定的行政处罚权；</w:t>
      </w:r>
    </w:p>
    <w:p>
      <w:pPr>
        <w:pStyle w:val="11"/>
        <w:widowControl w:val="0"/>
        <w:spacing w:line="500" w:lineRule="exact"/>
        <w:ind w:firstLine="600"/>
        <w:rPr>
          <w:rFonts w:ascii="仿宋_GB2312" w:eastAsia="仿宋_GB2312" w:cs="仿宋_GB2312"/>
          <w:sz w:val="32"/>
          <w:szCs w:val="32"/>
        </w:rPr>
      </w:pPr>
      <w:r>
        <w:rPr>
          <w:rFonts w:hint="eastAsia" w:ascii="仿宋_GB2312" w:eastAsia="仿宋_GB2312" w:cs="仿宋_GB2312"/>
          <w:sz w:val="32"/>
          <w:szCs w:val="32"/>
        </w:rPr>
        <w:t>6.公安交通管理方面侵占城市行车道路、违法停放车辆，在人行道、广场等公共场所内违反机动车停放、临时停车规定行为法律、法规、规章规定的行政处罚权；</w:t>
      </w:r>
    </w:p>
    <w:p>
      <w:pPr>
        <w:pStyle w:val="11"/>
        <w:widowControl w:val="0"/>
        <w:spacing w:line="500" w:lineRule="exact"/>
        <w:ind w:firstLine="600"/>
        <w:rPr>
          <w:rFonts w:ascii="仿宋_GB2312" w:eastAsia="仿宋_GB2312" w:cs="仿宋_GB2312"/>
          <w:sz w:val="32"/>
          <w:szCs w:val="32"/>
        </w:rPr>
      </w:pPr>
      <w:r>
        <w:rPr>
          <w:rFonts w:hint="eastAsia" w:ascii="仿宋_GB2312" w:eastAsia="仿宋_GB2312" w:cs="仿宋_GB2312"/>
          <w:sz w:val="32"/>
          <w:szCs w:val="32"/>
        </w:rPr>
        <w:t>7.环境保护管理方面社会生活噪音污染、建筑施工噪音污染、建筑施工扬尘污染、餐饮服务业油烟污染、露天烧烤污染、焚烧沥青塑料垃圾等烟尘和恶臭污染、露天焚烧秸</w:t>
      </w:r>
      <w:r>
        <w:rPr>
          <w:rFonts w:hint="eastAsia" w:ascii="仿宋_GB2312" w:eastAsia="仿宋_GB2312" w:cs="仿宋_GB2312"/>
          <w:sz w:val="32"/>
          <w:szCs w:val="32"/>
          <w:lang w:val="en-US" w:eastAsia="zh-CN"/>
        </w:rPr>
        <w:t>秆</w:t>
      </w:r>
      <w:bookmarkStart w:id="0" w:name="_GoBack"/>
      <w:bookmarkEnd w:id="0"/>
      <w:r>
        <w:rPr>
          <w:rFonts w:hint="eastAsia" w:ascii="仿宋_GB2312" w:eastAsia="仿宋_GB2312" w:cs="仿宋_GB2312"/>
          <w:sz w:val="32"/>
          <w:szCs w:val="32"/>
        </w:rPr>
        <w:t>落叶</w:t>
      </w:r>
      <w:r>
        <w:rPr>
          <w:rFonts w:hint="eastAsia" w:ascii="仿宋_GB2312" w:eastAsia="仿宋_GB2312"/>
          <w:color w:val="000000"/>
          <w:spacing w:val="-8"/>
          <w:sz w:val="32"/>
          <w:szCs w:val="32"/>
        </w:rPr>
        <w:t>污染</w:t>
      </w:r>
      <w:r>
        <w:rPr>
          <w:rFonts w:hint="eastAsia" w:ascii="仿宋_GB2312" w:eastAsia="仿宋_GB2312" w:cs="仿宋_GB2312"/>
          <w:sz w:val="32"/>
          <w:szCs w:val="32"/>
        </w:rPr>
        <w:t>等烟尘污染等行为法律、法规、规章规定的行政处罚权；</w:t>
      </w:r>
    </w:p>
    <w:p>
      <w:pPr>
        <w:shd w:val="clear" w:color="auto" w:fill="FFFFFF"/>
        <w:spacing w:line="500" w:lineRule="exact"/>
        <w:ind w:firstLine="600"/>
        <w:rPr>
          <w:rFonts w:ascii="仿宋_GB2312" w:eastAsia="仿宋_GB2312"/>
          <w:color w:val="000000"/>
          <w:spacing w:val="-8"/>
          <w:sz w:val="32"/>
          <w:szCs w:val="32"/>
        </w:rPr>
      </w:pPr>
      <w:r>
        <w:rPr>
          <w:rFonts w:hint="eastAsia" w:ascii="仿宋_GB2312" w:eastAsia="仿宋_GB2312" w:cs="仿宋_GB2312"/>
          <w:sz w:val="32"/>
          <w:szCs w:val="32"/>
        </w:rPr>
        <w:t>8.</w:t>
      </w:r>
      <w:r>
        <w:rPr>
          <w:rFonts w:hint="eastAsia" w:ascii="仿宋_GB2312" w:eastAsia="仿宋_GB2312"/>
          <w:color w:val="000000"/>
          <w:spacing w:val="-8"/>
          <w:sz w:val="32"/>
          <w:szCs w:val="32"/>
        </w:rPr>
        <w:t>水务管理方面法律、法规、规章规定的向城市河道倾倒废弃物和垃圾、城市河道违法建筑物拆除、河道内违法取土行为的行政处罚权；</w:t>
      </w:r>
    </w:p>
    <w:p>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9.市场监督管理</w:t>
      </w:r>
      <w:r>
        <w:rPr>
          <w:rFonts w:hint="eastAsia" w:ascii="仿宋_GB2312" w:eastAsia="仿宋_GB2312"/>
          <w:color w:val="000000"/>
          <w:spacing w:val="-8"/>
          <w:sz w:val="32"/>
          <w:szCs w:val="32"/>
        </w:rPr>
        <w:t>方面法律、法规、规章规定的户外公共场所无证、无照经营，违规设置户外广告、违法回收贩卖药品行为的行政处罚权</w:t>
      </w:r>
      <w:r>
        <w:rPr>
          <w:rFonts w:hint="eastAsia" w:ascii="仿宋_GB2312" w:eastAsia="仿宋_GB2312" w:cs="仿宋_GB2312"/>
          <w:sz w:val="32"/>
          <w:szCs w:val="32"/>
        </w:rPr>
        <w:t>。</w:t>
      </w:r>
    </w:p>
    <w:p>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10.上述规定未涉及的住房和城乡建设领域法律、法规、规章规定的全部行政处罚权。</w:t>
      </w:r>
    </w:p>
    <w:p>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城市管理综合执法部门可以实施与上述范围内法律、法规、规章规定的行政处罚权有关的行政强制措施。</w:t>
      </w:r>
    </w:p>
    <w:p>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（十）承办市、区人民政府决定调整的城市管理领域的其他职责。</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 w:hAnsi="仿宋" w:eastAsia="仿宋" w:cs="宋体"/>
                <w:color w:val="000000"/>
                <w:kern w:val="0"/>
                <w:sz w:val="24"/>
                <w:szCs w:val="24"/>
              </w:rPr>
              <w:t>保定市徐水区城市管理综合执法局（行政）</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 w:hAnsi="仿宋" w:eastAsia="仿宋" w:cs="宋体"/>
                <w:color w:val="000000"/>
                <w:kern w:val="0"/>
                <w:sz w:val="24"/>
                <w:szCs w:val="24"/>
              </w:rPr>
              <w:t>保定市徐水区城市管理行政执法局</w:t>
            </w:r>
            <w:r>
              <w:rPr>
                <w:rFonts w:hint="eastAsia" w:ascii="仿宋" w:hAnsi="仿宋" w:eastAsia="仿宋"/>
                <w:sz w:val="24"/>
                <w:szCs w:val="24"/>
              </w:rPr>
              <w:t>（事业）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2019年预算收入为</w:t>
      </w:r>
      <w:r>
        <w:rPr>
          <w:rFonts w:hint="eastAsia" w:ascii="仿宋" w:hAnsi="仿宋" w:eastAsia="仿宋"/>
          <w:sz w:val="32"/>
          <w:szCs w:val="32"/>
        </w:rPr>
        <w:t>11116.16</w:t>
      </w:r>
      <w:r>
        <w:rPr>
          <w:rFonts w:ascii="仿宋" w:hAnsi="仿宋" w:eastAsia="仿宋"/>
          <w:sz w:val="32"/>
          <w:szCs w:val="32"/>
        </w:rPr>
        <w:t>万元,其中：一般公共预算收入</w:t>
      </w:r>
      <w:r>
        <w:rPr>
          <w:rFonts w:hint="eastAsia" w:ascii="仿宋" w:hAnsi="仿宋" w:eastAsia="仿宋"/>
          <w:sz w:val="32"/>
          <w:szCs w:val="32"/>
        </w:rPr>
        <w:t>7121.00</w:t>
      </w:r>
      <w:r>
        <w:rPr>
          <w:rFonts w:ascii="仿宋" w:hAnsi="仿宋" w:eastAsia="仿宋"/>
          <w:sz w:val="32"/>
          <w:szCs w:val="32"/>
        </w:rPr>
        <w:t>万元，基金预算收入</w:t>
      </w:r>
      <w:r>
        <w:rPr>
          <w:rFonts w:hint="eastAsia" w:ascii="仿宋" w:hAnsi="仿宋" w:eastAsia="仿宋"/>
          <w:sz w:val="32"/>
          <w:szCs w:val="32"/>
        </w:rPr>
        <w:t>3995.16</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2019年部门支出预算：</w:t>
      </w:r>
      <w:r>
        <w:rPr>
          <w:rFonts w:hint="eastAsia" w:ascii="仿宋" w:hAnsi="仿宋" w:eastAsia="仿宋"/>
          <w:sz w:val="32"/>
          <w:szCs w:val="32"/>
        </w:rPr>
        <w:t>11116.16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基本支出2646.81万元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其中：人员经费2514.54万元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132.27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8469.35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8469.35</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本年度预算收支安排11116.16万元，较上年增加6235.71</w:t>
      </w:r>
      <w:r>
        <w:rPr>
          <w:rFonts w:ascii="仿宋" w:hAnsi="仿宋" w:eastAsia="仿宋"/>
          <w:sz w:val="32"/>
          <w:szCs w:val="32"/>
        </w:rPr>
        <w:t>万元。其中:基本支出增加</w:t>
      </w:r>
      <w:r>
        <w:rPr>
          <w:rFonts w:hint="eastAsia" w:ascii="仿宋" w:hAnsi="仿宋" w:eastAsia="仿宋"/>
          <w:sz w:val="32"/>
          <w:szCs w:val="32"/>
        </w:rPr>
        <w:t>748.98</w:t>
      </w:r>
      <w:r>
        <w:rPr>
          <w:rFonts w:ascii="仿宋" w:hAnsi="仿宋" w:eastAsia="仿宋"/>
          <w:sz w:val="32"/>
          <w:szCs w:val="32"/>
        </w:rPr>
        <w:t>万元，主要原因是</w:t>
      </w:r>
      <w:r>
        <w:rPr>
          <w:rFonts w:hint="eastAsia" w:ascii="仿宋" w:hAnsi="仿宋" w:eastAsia="仿宋"/>
          <w:sz w:val="32"/>
          <w:szCs w:val="32"/>
        </w:rPr>
        <w:t>有建设局划转人员</w:t>
      </w:r>
      <w:r>
        <w:rPr>
          <w:rFonts w:ascii="仿宋" w:hAnsi="仿宋" w:eastAsia="仿宋"/>
          <w:sz w:val="32"/>
          <w:szCs w:val="32"/>
        </w:rPr>
        <w:t>；项目支出增加</w:t>
      </w:r>
      <w:r>
        <w:rPr>
          <w:rFonts w:hint="eastAsia" w:ascii="仿宋" w:hAnsi="仿宋" w:eastAsia="仿宋"/>
          <w:sz w:val="32"/>
          <w:szCs w:val="32"/>
        </w:rPr>
        <w:t>5486.73</w:t>
      </w:r>
      <w:r>
        <w:rPr>
          <w:rFonts w:ascii="仿宋" w:hAnsi="仿宋" w:eastAsia="仿宋"/>
          <w:sz w:val="32"/>
          <w:szCs w:val="32"/>
        </w:rPr>
        <w:t>万元，主要原因是</w:t>
      </w:r>
      <w:r>
        <w:rPr>
          <w:rFonts w:hint="eastAsia" w:ascii="仿宋" w:hAnsi="仿宋" w:eastAsia="仿宋"/>
          <w:sz w:val="32"/>
          <w:szCs w:val="32"/>
        </w:rPr>
        <w:t>有建设局划转项目</w:t>
      </w:r>
      <w:r>
        <w:rPr>
          <w:rFonts w:ascii="仿宋" w:hAnsi="仿宋" w:eastAsia="仿宋"/>
          <w:sz w:val="32"/>
          <w:szCs w:val="32"/>
        </w:rPr>
        <w:t>。</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2019年我部门机关运行经费安排</w:t>
      </w:r>
      <w:r>
        <w:rPr>
          <w:rFonts w:hint="eastAsia" w:ascii="仿宋" w:hAnsi="仿宋" w:eastAsia="仿宋"/>
          <w:sz w:val="32"/>
          <w:szCs w:val="32"/>
        </w:rPr>
        <w:t>132.27</w:t>
      </w:r>
      <w:r>
        <w:rPr>
          <w:rFonts w:ascii="仿宋" w:hAnsi="仿宋" w:eastAsia="仿宋"/>
          <w:sz w:val="32"/>
          <w:szCs w:val="32"/>
        </w:rPr>
        <w:t>万元，其中办公费</w:t>
      </w:r>
      <w:r>
        <w:rPr>
          <w:rFonts w:hint="eastAsia" w:ascii="仿宋" w:hAnsi="仿宋" w:eastAsia="仿宋"/>
          <w:sz w:val="32"/>
          <w:szCs w:val="32"/>
        </w:rPr>
        <w:t>80.97</w:t>
      </w:r>
      <w:r>
        <w:rPr>
          <w:rFonts w:ascii="仿宋" w:hAnsi="仿宋" w:eastAsia="仿宋"/>
          <w:sz w:val="32"/>
          <w:szCs w:val="32"/>
        </w:rPr>
        <w:t>万元，邮电费</w:t>
      </w:r>
      <w:r>
        <w:rPr>
          <w:rFonts w:hint="eastAsia" w:ascii="仿宋" w:hAnsi="仿宋" w:eastAsia="仿宋"/>
          <w:sz w:val="32"/>
          <w:szCs w:val="32"/>
        </w:rPr>
        <w:t>1.62</w:t>
      </w:r>
      <w:r>
        <w:rPr>
          <w:rFonts w:ascii="仿宋" w:hAnsi="仿宋" w:eastAsia="仿宋"/>
          <w:sz w:val="32"/>
          <w:szCs w:val="32"/>
        </w:rPr>
        <w:t>万元，工会经费、福利费</w:t>
      </w:r>
      <w:r>
        <w:rPr>
          <w:rFonts w:hint="eastAsia" w:ascii="仿宋" w:hAnsi="仿宋" w:eastAsia="仿宋"/>
          <w:sz w:val="32"/>
          <w:szCs w:val="32"/>
        </w:rPr>
        <w:t>40.93</w:t>
      </w:r>
      <w:r>
        <w:rPr>
          <w:rFonts w:ascii="仿宋" w:hAnsi="仿宋" w:eastAsia="仿宋"/>
          <w:sz w:val="32"/>
          <w:szCs w:val="32"/>
        </w:rPr>
        <w:t>万元</w:t>
      </w:r>
      <w:r>
        <w:rPr>
          <w:rFonts w:hint="eastAsia" w:ascii="仿宋" w:hAnsi="仿宋" w:eastAsia="仿宋"/>
          <w:sz w:val="32"/>
          <w:szCs w:val="32"/>
        </w:rPr>
        <w:t>。</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p>
            <w:pPr>
              <w:widowControl/>
              <w:spacing w:line="520" w:lineRule="exact"/>
              <w:rPr>
                <w:rFonts w:ascii="黑体" w:hAnsi="黑体" w:eastAsia="黑体"/>
                <w:sz w:val="32"/>
                <w:szCs w:val="32"/>
              </w:rPr>
            </w:pPr>
          </w:p>
          <w:tbl>
            <w:tblPr>
              <w:tblStyle w:val="5"/>
              <w:tblW w:w="0" w:type="auto"/>
              <w:tblInd w:w="0" w:type="dxa"/>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169.46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166.46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w:t>
                  </w:r>
                  <w:r>
                    <w:rPr>
                      <w:rFonts w:hint="eastAsia"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1辆租用车辆交回</w:t>
                  </w:r>
                </w:p>
              </w:tc>
            </w:tr>
            <w:tr>
              <w:tblPrEx>
                <w:tblCellMar>
                  <w:top w:w="0" w:type="dxa"/>
                  <w:left w:w="108" w:type="dxa"/>
                  <w:bottom w:w="0" w:type="dxa"/>
                  <w:right w:w="108" w:type="dxa"/>
                </w:tblCellMar>
              </w:tblPrEx>
              <w:trPr>
                <w:trHeight w:val="85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169.46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166.46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w:t>
                  </w:r>
                  <w:r>
                    <w:rPr>
                      <w:rFonts w:hint="eastAsia"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2019年，我部门针对三公经费支出制定了严格的管理制度，认真执行中央八项规定，厉行节约，杜绝浪费。从总量来讲，我局的三公经费与上年相比减少了3万元。</w:t>
                  </w:r>
                </w:p>
              </w:tc>
            </w:tr>
            <w:tr>
              <w:tblPrEx>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firstLineChars="200"/>
        <w:rPr>
          <w:rFonts w:ascii="仿宋" w:hAnsi="仿宋" w:eastAsia="仿宋"/>
          <w:sz w:val="32"/>
          <w:szCs w:val="32"/>
        </w:rPr>
      </w:pPr>
      <w:r>
        <w:rPr>
          <w:rFonts w:ascii="MingLiU-ExtB" w:hAnsi="MingLiU-ExtB" w:eastAsia="MingLiU-ExtB"/>
          <w:sz w:val="28"/>
        </w:rPr>
        <w:t>健</w:t>
      </w:r>
      <w:r>
        <w:rPr>
          <w:rFonts w:ascii="仿宋" w:hAnsi="仿宋" w:eastAsia="仿宋"/>
          <w:sz w:val="32"/>
          <w:szCs w:val="32"/>
        </w:rPr>
        <w:t>全城市管理综合协调长效机制，营造齐抓共管城市管理工作的整体合力；健全城市管理委员会高位协调工作机制；建立数字化、网格化、精细化城市管理机制。加快建设国家标准数字化城市管理指挥平台，全面提高我区综合执法管理工作的数字化、网格化、精细化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150"/>
        <w:rPr>
          <w:rFonts w:ascii="仿宋" w:hAnsi="仿宋" w:eastAsia="仿宋"/>
          <w:sz w:val="32"/>
          <w:szCs w:val="32"/>
        </w:rPr>
      </w:pPr>
      <w:r>
        <w:rPr>
          <w:rFonts w:ascii="仿宋" w:hAnsi="仿宋" w:eastAsia="仿宋"/>
          <w:sz w:val="32"/>
          <w:szCs w:val="32"/>
        </w:rPr>
        <w:t>开展市容环境综合整治活动，打造整洁优美、和谐有序城区。强化市容环境综合整治，开展市容环境综合整治载体活动，健全完善城管执法长效工作机制。</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二、部门职责及工作活动绩效目标指标</w:t>
      </w:r>
    </w:p>
    <w:p>
      <w:pPr>
        <w:jc w:val="center"/>
        <w:outlineLvl w:val="0"/>
        <w:rPr>
          <w:rFonts w:ascii="黑体" w:hAnsi="黑体" w:eastAsia="黑体"/>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linePitch="312" w:charSpace="0"/>
        </w:sectPr>
      </w:pPr>
    </w:p>
    <w:p>
      <w:pPr>
        <w:jc w:val="center"/>
        <w:outlineLvl w:val="0"/>
        <w:rPr>
          <w:rFonts w:ascii="黑体" w:hAnsi="黑体" w:eastAsia="黑体"/>
          <w:b/>
          <w:sz w:val="32"/>
        </w:rPr>
      </w:pPr>
      <w:r>
        <w:rPr>
          <w:rFonts w:hint="eastAsia" w:ascii="黑体" w:hAnsi="黑体" w:eastAsia="黑体"/>
          <w:b/>
          <w:sz w:val="32"/>
        </w:rPr>
        <w:t>部门职责-工作活动绩效目标</w:t>
      </w:r>
    </w:p>
    <w:p>
      <w:pPr>
        <w:jc w:val="center"/>
        <w:outlineLvl w:val="0"/>
        <w:rPr>
          <w:rFonts w:ascii="黑体" w:hAnsi="黑体" w:eastAsia="黑体"/>
          <w:b/>
          <w:sz w:val="32"/>
        </w:rPr>
      </w:pPr>
    </w:p>
    <w:p>
      <w:pPr>
        <w:jc w:val="center"/>
        <w:outlineLvl w:val="0"/>
        <w:rPr>
          <w:rFonts w:ascii="黑体" w:hAnsi="黑体" w:eastAsia="黑体"/>
          <w:b/>
          <w:sz w:val="32"/>
        </w:rPr>
      </w:pPr>
    </w:p>
    <w:p>
      <w:pPr>
        <w:spacing w:line="300" w:lineRule="exact"/>
        <w:jc w:val="left"/>
        <w:outlineLvl w:val="0"/>
      </w:pPr>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506</w:t>
            </w:r>
            <w:r>
              <w:rPr>
                <w:rFonts w:hint="eastAsia" w:ascii="方正小标宋_GBK" w:eastAsia="方正小标宋_GBK"/>
                <w:sz w:val="24"/>
              </w:rPr>
              <w:t>保定市徐水区城市管理综合执法局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城乡建设管理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8469.35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负责市政公用设施建设、安全和应急管理；负责农村住房建设、住房安全和危房改造；改善小城镇和村庄人居环境。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加强管理，提高城市承载能力和宜居度。加强村镇建设，改善农村人居环境，实现城乡统筹发展。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市政公用设施建设与管理</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3995.16</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负责市政公用事业建设、市政公用设施安全和应急管理；逐步推进供热计量改革，开展燃气行业安全监督检查；开展城市园林水域安全监管、公园和绿地技术评估和动态监测。</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市政公用事业建设、市政公用设施安全和应急管理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星级公园、园林式单位、小区创建数量（个）</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城市公园绿地、城市植树、城镇古树名木和风景名胜资源保护完成率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市政公用事业基础设施建设及维护工作目标完成率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城市容貌环境综合整治</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4474.19</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负责城区市容环境治理、城建监察等各项工作，改善人居环境，大气污染治理。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推进洁净城市创建进程，加强大气污染治理力度。</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机械化清扫率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57%</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市容环境治理完成率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推进城镇化建设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农村住房建设、住房安全和危房改造，推进小城镇村庄人居环境改善；推进城镇化工作，开展城乡规划提升、基础设施建设、公共服务设施配套、环境容貌治理、建筑能效提升等工作，全面提升区城建设质量和水平。</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加强村镇建设，改善农村人居环境，实现城乡统筹发展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垃圾处理率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危房改造完成率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城管政务管理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负责城管系统综合业务管理和机关综合事务管理。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加强全区城管执法人才队伍建设，提高人才业务素质，提高行业水平。提升机关及行业信息化水平，保障各类业务系统安全稳定运行。规范审批行为，推进政务公开，增加服务意识，提高工作效率。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调研提出城管执法工作规划和建议，工作部署、协调推动、督促指导、行政审批、业务监管及区委、政府交办的其他事项等行政管理事项。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加强管理，圆满完成区委、区政府交办任务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加强机关事务性管理，开展机关自身能力建设。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加强机关事务性管理，提高机关自身工作能力。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pPr>
        <w:spacing w:line="600" w:lineRule="exact"/>
        <w:ind w:left="643"/>
        <w:rPr>
          <w:rStyle w:val="7"/>
          <w:rFonts w:ascii="黑体" w:eastAsia="黑体"/>
          <w:b w:val="0"/>
          <w:bCs w:val="0"/>
          <w:sz w:val="32"/>
          <w:szCs w:val="21"/>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2019年我部门安排政府采购预算</w:t>
      </w:r>
      <w:r>
        <w:rPr>
          <w:rFonts w:hint="eastAsia" w:ascii="仿宋" w:hAnsi="仿宋" w:eastAsia="仿宋"/>
          <w:sz w:val="32"/>
          <w:szCs w:val="32"/>
        </w:rPr>
        <w:t>623.7</w:t>
      </w:r>
      <w:r>
        <w:rPr>
          <w:rFonts w:ascii="仿宋" w:hAnsi="仿宋" w:eastAsia="仿宋"/>
          <w:sz w:val="32"/>
          <w:szCs w:val="32"/>
        </w:rPr>
        <w:t>万元，具体内容见下表：</w:t>
      </w:r>
    </w:p>
    <w:tbl>
      <w:tblPr>
        <w:tblStyle w:val="5"/>
        <w:tblW w:w="155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69"/>
        <w:gridCol w:w="851"/>
        <w:gridCol w:w="708"/>
        <w:gridCol w:w="826"/>
        <w:gridCol w:w="549"/>
        <w:gridCol w:w="555"/>
        <w:gridCol w:w="500"/>
        <w:gridCol w:w="897"/>
        <w:gridCol w:w="992"/>
        <w:gridCol w:w="1134"/>
        <w:gridCol w:w="851"/>
        <w:gridCol w:w="850"/>
        <w:gridCol w:w="851"/>
        <w:gridCol w:w="10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958" w:type="dxa"/>
            <w:gridSpan w:val="7"/>
            <w:tcBorders>
              <w:top w:val="single" w:color="FFFFFF" w:sz="6" w:space="0"/>
              <w:left w:val="single" w:color="FFFFFF" w:sz="6" w:space="0"/>
              <w:right w:val="single" w:color="FFFFFF" w:sz="6" w:space="0"/>
            </w:tcBorders>
            <w:vAlign w:val="center"/>
          </w:tcPr>
          <w:p>
            <w:pPr>
              <w:spacing w:line="700" w:lineRule="exact"/>
              <w:jc w:val="left"/>
              <w:rPr>
                <w:rFonts w:ascii="方正小标宋_GBK" w:eastAsia="方正小标宋_GBK"/>
                <w:sz w:val="24"/>
              </w:rPr>
            </w:pPr>
            <w:r>
              <w:rPr>
                <w:rFonts w:hint="eastAsia" w:ascii="方正小标宋_GBK" w:hAnsi="方正小标宋_GBK" w:eastAsia="方正小标宋_GBK" w:cs="方正小标宋_GBK"/>
                <w:sz w:val="24"/>
              </w:rPr>
              <w:t>©</w:t>
            </w:r>
          </w:p>
        </w:tc>
        <w:tc>
          <w:tcPr>
            <w:tcW w:w="66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820"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708"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826"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549"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555"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500"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6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69"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708" w:type="dxa"/>
            <w:vMerge w:val="continue"/>
            <w:vAlign w:val="center"/>
          </w:tcPr>
          <w:p>
            <w:pPr>
              <w:spacing w:line="700" w:lineRule="exact"/>
              <w:jc w:val="left"/>
              <w:outlineLvl w:val="0"/>
            </w:pPr>
          </w:p>
        </w:tc>
        <w:tc>
          <w:tcPr>
            <w:tcW w:w="826" w:type="dxa"/>
            <w:vMerge w:val="continue"/>
            <w:vAlign w:val="center"/>
          </w:tcPr>
          <w:p>
            <w:pPr>
              <w:spacing w:line="700" w:lineRule="exact"/>
              <w:jc w:val="left"/>
              <w:outlineLvl w:val="0"/>
            </w:pPr>
          </w:p>
        </w:tc>
        <w:tc>
          <w:tcPr>
            <w:tcW w:w="549" w:type="dxa"/>
            <w:vMerge w:val="continue"/>
            <w:vAlign w:val="center"/>
          </w:tcPr>
          <w:p>
            <w:pPr>
              <w:spacing w:line="700" w:lineRule="exact"/>
              <w:jc w:val="left"/>
              <w:outlineLvl w:val="0"/>
            </w:pPr>
          </w:p>
        </w:tc>
        <w:tc>
          <w:tcPr>
            <w:tcW w:w="555" w:type="dxa"/>
            <w:vMerge w:val="continue"/>
            <w:vAlign w:val="center"/>
          </w:tcPr>
          <w:p>
            <w:pPr>
              <w:spacing w:line="700" w:lineRule="exact"/>
              <w:jc w:val="left"/>
              <w:outlineLvl w:val="0"/>
            </w:pPr>
          </w:p>
        </w:tc>
        <w:tc>
          <w:tcPr>
            <w:tcW w:w="500" w:type="dxa"/>
            <w:vMerge w:val="continue"/>
            <w:vAlign w:val="center"/>
          </w:tcPr>
          <w:p>
            <w:pPr>
              <w:spacing w:line="700" w:lineRule="exact"/>
              <w:jc w:val="left"/>
              <w:outlineLvl w:val="0"/>
            </w:pPr>
          </w:p>
        </w:tc>
        <w:tc>
          <w:tcPr>
            <w:tcW w:w="897"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1062"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69"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708" w:type="dxa"/>
            <w:vMerge w:val="continue"/>
            <w:vAlign w:val="center"/>
          </w:tcPr>
          <w:p>
            <w:pPr>
              <w:spacing w:line="700" w:lineRule="exact"/>
              <w:jc w:val="left"/>
              <w:outlineLvl w:val="0"/>
            </w:pPr>
          </w:p>
        </w:tc>
        <w:tc>
          <w:tcPr>
            <w:tcW w:w="826" w:type="dxa"/>
            <w:vMerge w:val="continue"/>
            <w:vAlign w:val="center"/>
          </w:tcPr>
          <w:p>
            <w:pPr>
              <w:spacing w:line="700" w:lineRule="exact"/>
              <w:jc w:val="left"/>
              <w:outlineLvl w:val="0"/>
            </w:pPr>
          </w:p>
        </w:tc>
        <w:tc>
          <w:tcPr>
            <w:tcW w:w="549" w:type="dxa"/>
            <w:vMerge w:val="continue"/>
            <w:vAlign w:val="center"/>
          </w:tcPr>
          <w:p>
            <w:pPr>
              <w:spacing w:line="700" w:lineRule="exact"/>
              <w:jc w:val="left"/>
              <w:outlineLvl w:val="0"/>
            </w:pPr>
          </w:p>
        </w:tc>
        <w:tc>
          <w:tcPr>
            <w:tcW w:w="555" w:type="dxa"/>
            <w:vMerge w:val="continue"/>
            <w:vAlign w:val="center"/>
          </w:tcPr>
          <w:p>
            <w:pPr>
              <w:spacing w:line="700" w:lineRule="exact"/>
              <w:jc w:val="left"/>
              <w:outlineLvl w:val="0"/>
            </w:pPr>
          </w:p>
        </w:tc>
        <w:tc>
          <w:tcPr>
            <w:tcW w:w="500" w:type="dxa"/>
            <w:vMerge w:val="continue"/>
            <w:vAlign w:val="center"/>
          </w:tcPr>
          <w:p>
            <w:pPr>
              <w:spacing w:line="700" w:lineRule="exact"/>
              <w:jc w:val="left"/>
              <w:outlineLvl w:val="0"/>
            </w:pPr>
          </w:p>
        </w:tc>
        <w:tc>
          <w:tcPr>
            <w:tcW w:w="897"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1062"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4969" w:type="dxa"/>
            <w:vAlign w:val="center"/>
          </w:tcPr>
          <w:p>
            <w:pPr>
              <w:spacing w:line="700" w:lineRule="exact"/>
              <w:jc w:val="left"/>
              <w:rPr>
                <w:rFonts w:ascii="方正书宋_GBK" w:eastAsia="方正书宋_GBK"/>
                <w:b/>
              </w:rPr>
            </w:pPr>
            <w:r>
              <w:rPr>
                <w:rFonts w:hint="eastAsia" w:ascii="方正书宋_GBK" w:eastAsia="方正书宋_GBK"/>
              </w:rPr>
              <w:t>执法局巡逻盯守治理西部山区乱采砂石服务项目</w:t>
            </w:r>
          </w:p>
        </w:tc>
        <w:tc>
          <w:tcPr>
            <w:tcW w:w="851" w:type="dxa"/>
            <w:vAlign w:val="center"/>
          </w:tcPr>
          <w:p>
            <w:pPr>
              <w:spacing w:line="700" w:lineRule="exact"/>
              <w:jc w:val="right"/>
              <w:rPr>
                <w:rFonts w:ascii="方正书宋_GBK" w:eastAsia="方正书宋_GBK"/>
              </w:rPr>
            </w:pPr>
            <w:r>
              <w:rPr>
                <w:rFonts w:hint="eastAsia" w:ascii="方正书宋_GBK" w:eastAsia="方正书宋_GBK"/>
              </w:rPr>
              <w:t>487</w:t>
            </w:r>
          </w:p>
        </w:tc>
        <w:tc>
          <w:tcPr>
            <w:tcW w:w="708" w:type="dxa"/>
            <w:vAlign w:val="center"/>
          </w:tcPr>
          <w:p>
            <w:pPr>
              <w:spacing w:line="700" w:lineRule="exact"/>
              <w:jc w:val="left"/>
              <w:rPr>
                <w:rFonts w:ascii="方正书宋_GBK" w:eastAsia="方正书宋_GBK"/>
              </w:rPr>
            </w:pPr>
            <w:r>
              <w:rPr>
                <w:rFonts w:hint="eastAsia" w:ascii="方正书宋_GBK" w:eastAsia="方正书宋_GBK"/>
              </w:rPr>
              <w:t>服务</w:t>
            </w:r>
          </w:p>
        </w:tc>
        <w:tc>
          <w:tcPr>
            <w:tcW w:w="826" w:type="dxa"/>
            <w:vAlign w:val="center"/>
          </w:tcPr>
          <w:p>
            <w:pPr>
              <w:spacing w:line="700" w:lineRule="exact"/>
              <w:jc w:val="left"/>
              <w:rPr>
                <w:rFonts w:ascii="方正书宋_GBK" w:eastAsia="方正书宋_GBK"/>
              </w:rPr>
            </w:pPr>
            <w:r>
              <w:rPr>
                <w:rFonts w:hint="eastAsia" w:ascii="方正书宋_GBK" w:eastAsia="方正书宋_GBK"/>
              </w:rPr>
              <w:t>C</w:t>
            </w:r>
          </w:p>
        </w:tc>
        <w:tc>
          <w:tcPr>
            <w:tcW w:w="549" w:type="dxa"/>
            <w:vAlign w:val="center"/>
          </w:tcPr>
          <w:p>
            <w:pPr>
              <w:spacing w:line="700" w:lineRule="exact"/>
              <w:jc w:val="left"/>
              <w:rPr>
                <w:rFonts w:ascii="方正书宋_GBK" w:eastAsia="方正书宋_GBK"/>
              </w:rPr>
            </w:pPr>
          </w:p>
        </w:tc>
        <w:tc>
          <w:tcPr>
            <w:tcW w:w="555" w:type="dxa"/>
            <w:vAlign w:val="center"/>
          </w:tcPr>
          <w:p>
            <w:pPr>
              <w:spacing w:line="700" w:lineRule="exact"/>
              <w:jc w:val="right"/>
              <w:rPr>
                <w:rFonts w:ascii="方正书宋_GBK" w:eastAsia="方正书宋_GBK"/>
              </w:rPr>
            </w:pPr>
            <w:r>
              <w:rPr>
                <w:rFonts w:hint="eastAsia" w:ascii="方正书宋_GBK" w:eastAsia="方正书宋_GBK"/>
              </w:rPr>
              <w:t>1</w:t>
            </w:r>
          </w:p>
        </w:tc>
        <w:tc>
          <w:tcPr>
            <w:tcW w:w="500" w:type="dxa"/>
            <w:vAlign w:val="center"/>
          </w:tcPr>
          <w:p>
            <w:pPr>
              <w:rPr>
                <w:rFonts w:ascii="方正书宋_GBK" w:eastAsia="方正书宋_GBK"/>
              </w:rPr>
            </w:pPr>
          </w:p>
        </w:tc>
        <w:tc>
          <w:tcPr>
            <w:tcW w:w="897" w:type="dxa"/>
            <w:vAlign w:val="center"/>
          </w:tcPr>
          <w:p>
            <w:pPr>
              <w:spacing w:line="700" w:lineRule="exact"/>
              <w:jc w:val="right"/>
              <w:rPr>
                <w:rFonts w:ascii="方正书宋_GBK" w:eastAsia="方正书宋_GBK"/>
              </w:rPr>
            </w:pPr>
            <w:r>
              <w:rPr>
                <w:rFonts w:hint="eastAsia" w:ascii="方正书宋_GBK" w:eastAsia="方正书宋_GBK"/>
              </w:rPr>
              <w:t>487</w:t>
            </w:r>
          </w:p>
        </w:tc>
        <w:tc>
          <w:tcPr>
            <w:tcW w:w="992" w:type="dxa"/>
            <w:vAlign w:val="center"/>
          </w:tcPr>
          <w:p>
            <w:pPr>
              <w:spacing w:line="700" w:lineRule="exact"/>
              <w:jc w:val="right"/>
              <w:rPr>
                <w:rFonts w:ascii="方正书宋_GBK" w:eastAsia="方正书宋_GBK"/>
              </w:rPr>
            </w:pPr>
            <w:r>
              <w:rPr>
                <w:rFonts w:hint="eastAsia" w:ascii="方正书宋_GBK" w:eastAsia="方正书宋_GBK"/>
              </w:rPr>
              <w:t>487</w:t>
            </w:r>
          </w:p>
        </w:tc>
        <w:tc>
          <w:tcPr>
            <w:tcW w:w="1134" w:type="dxa"/>
            <w:vAlign w:val="center"/>
          </w:tcPr>
          <w:p>
            <w:pPr>
              <w:spacing w:line="700" w:lineRule="exact"/>
              <w:jc w:val="right"/>
              <w:rPr>
                <w:rFonts w:ascii="方正书宋_GBK" w:eastAsia="方正书宋_GBK"/>
              </w:rPr>
            </w:pPr>
            <w:r>
              <w:rPr>
                <w:rFonts w:hint="eastAsia" w:ascii="方正书宋_GBK" w:eastAsia="方正书宋_GBK"/>
              </w:rPr>
              <w:t>487</w:t>
            </w: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1062"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4969" w:type="dxa"/>
            <w:vAlign w:val="center"/>
          </w:tcPr>
          <w:p>
            <w:pPr>
              <w:spacing w:line="700" w:lineRule="exact"/>
              <w:jc w:val="left"/>
              <w:rPr>
                <w:rFonts w:ascii="方正书宋_GBK" w:eastAsia="方正书宋_GBK"/>
              </w:rPr>
            </w:pPr>
            <w:r>
              <w:rPr>
                <w:rFonts w:hint="eastAsia" w:ascii="方正书宋_GBK" w:eastAsia="方正书宋_GBK"/>
              </w:rPr>
              <w:t>执法局城区“野广告”清理工作市场化运作服务项目</w:t>
            </w:r>
          </w:p>
        </w:tc>
        <w:tc>
          <w:tcPr>
            <w:tcW w:w="851" w:type="dxa"/>
            <w:vAlign w:val="center"/>
          </w:tcPr>
          <w:p>
            <w:pPr>
              <w:spacing w:line="700" w:lineRule="exact"/>
              <w:jc w:val="right"/>
              <w:rPr>
                <w:rFonts w:ascii="方正书宋_GBK" w:eastAsia="方正书宋_GBK"/>
              </w:rPr>
            </w:pPr>
            <w:r>
              <w:rPr>
                <w:rFonts w:hint="eastAsia" w:ascii="方正书宋_GBK" w:eastAsia="方正书宋_GBK"/>
              </w:rPr>
              <w:t>136.7</w:t>
            </w:r>
          </w:p>
        </w:tc>
        <w:tc>
          <w:tcPr>
            <w:tcW w:w="708" w:type="dxa"/>
            <w:vAlign w:val="center"/>
          </w:tcPr>
          <w:p>
            <w:pPr>
              <w:spacing w:line="700" w:lineRule="exact"/>
              <w:jc w:val="left"/>
              <w:rPr>
                <w:rFonts w:ascii="方正书宋_GBK" w:eastAsia="方正书宋_GBK"/>
              </w:rPr>
            </w:pPr>
            <w:r>
              <w:rPr>
                <w:rFonts w:hint="eastAsia" w:ascii="方正书宋_GBK" w:eastAsia="方正书宋_GBK"/>
              </w:rPr>
              <w:t>服务</w:t>
            </w:r>
          </w:p>
        </w:tc>
        <w:tc>
          <w:tcPr>
            <w:tcW w:w="826" w:type="dxa"/>
            <w:vAlign w:val="center"/>
          </w:tcPr>
          <w:p>
            <w:pPr>
              <w:spacing w:line="700" w:lineRule="exact"/>
              <w:jc w:val="left"/>
              <w:rPr>
                <w:rFonts w:ascii="方正书宋_GBK" w:eastAsia="方正书宋_GBK"/>
              </w:rPr>
            </w:pPr>
            <w:r>
              <w:rPr>
                <w:rFonts w:hint="eastAsia" w:ascii="方正书宋_GBK" w:eastAsia="方正书宋_GBK"/>
              </w:rPr>
              <w:t>C</w:t>
            </w:r>
          </w:p>
        </w:tc>
        <w:tc>
          <w:tcPr>
            <w:tcW w:w="549" w:type="dxa"/>
            <w:vAlign w:val="center"/>
          </w:tcPr>
          <w:p>
            <w:pPr>
              <w:spacing w:line="700" w:lineRule="exact"/>
              <w:jc w:val="left"/>
              <w:rPr>
                <w:rFonts w:ascii="方正书宋_GBK" w:eastAsia="方正书宋_GBK"/>
              </w:rPr>
            </w:pPr>
          </w:p>
        </w:tc>
        <w:tc>
          <w:tcPr>
            <w:tcW w:w="555" w:type="dxa"/>
            <w:vAlign w:val="center"/>
          </w:tcPr>
          <w:p>
            <w:pPr>
              <w:spacing w:line="700" w:lineRule="exact"/>
              <w:jc w:val="right"/>
              <w:rPr>
                <w:rFonts w:ascii="方正书宋_GBK" w:eastAsia="方正书宋_GBK"/>
              </w:rPr>
            </w:pPr>
            <w:r>
              <w:rPr>
                <w:rFonts w:hint="eastAsia" w:ascii="方正书宋_GBK" w:eastAsia="方正书宋_GBK"/>
              </w:rPr>
              <w:t>1</w:t>
            </w:r>
          </w:p>
        </w:tc>
        <w:tc>
          <w:tcPr>
            <w:tcW w:w="500" w:type="dxa"/>
            <w:vAlign w:val="center"/>
          </w:tcPr>
          <w:p>
            <w:pPr>
              <w:spacing w:line="700" w:lineRule="exact"/>
              <w:jc w:val="right"/>
              <w:rPr>
                <w:rFonts w:ascii="方正书宋_GBK" w:eastAsia="方正书宋_GBK"/>
              </w:rPr>
            </w:pPr>
          </w:p>
        </w:tc>
        <w:tc>
          <w:tcPr>
            <w:tcW w:w="897" w:type="dxa"/>
            <w:vAlign w:val="center"/>
          </w:tcPr>
          <w:p>
            <w:pPr>
              <w:spacing w:line="700" w:lineRule="exact"/>
              <w:jc w:val="right"/>
              <w:rPr>
                <w:rFonts w:ascii="方正书宋_GBK" w:eastAsia="方正书宋_GBK"/>
              </w:rPr>
            </w:pPr>
            <w:r>
              <w:rPr>
                <w:rFonts w:hint="eastAsia" w:ascii="方正书宋_GBK" w:eastAsia="方正书宋_GBK"/>
              </w:rPr>
              <w:t>136.7</w:t>
            </w:r>
          </w:p>
        </w:tc>
        <w:tc>
          <w:tcPr>
            <w:tcW w:w="992" w:type="dxa"/>
            <w:vAlign w:val="center"/>
          </w:tcPr>
          <w:p>
            <w:pPr>
              <w:spacing w:line="700" w:lineRule="exact"/>
              <w:jc w:val="right"/>
              <w:rPr>
                <w:rFonts w:ascii="方正书宋_GBK" w:eastAsia="方正书宋_GBK"/>
              </w:rPr>
            </w:pPr>
            <w:r>
              <w:rPr>
                <w:rFonts w:hint="eastAsia" w:ascii="方正书宋_GBK" w:eastAsia="方正书宋_GBK"/>
              </w:rPr>
              <w:t>136.7</w:t>
            </w:r>
          </w:p>
        </w:tc>
        <w:tc>
          <w:tcPr>
            <w:tcW w:w="1134" w:type="dxa"/>
            <w:vAlign w:val="center"/>
          </w:tcPr>
          <w:p>
            <w:pPr>
              <w:spacing w:line="700" w:lineRule="exact"/>
              <w:jc w:val="right"/>
              <w:rPr>
                <w:rFonts w:ascii="方正书宋_GBK" w:eastAsia="方正书宋_GBK"/>
              </w:rPr>
            </w:pPr>
            <w:r>
              <w:rPr>
                <w:rFonts w:hint="eastAsia" w:ascii="方正书宋_GBK" w:eastAsia="方正书宋_GBK"/>
              </w:rPr>
              <w:t>136.7</w:t>
            </w: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1062"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linePitch="312" w:charSpace="0"/>
        </w:sectPr>
      </w:pPr>
    </w:p>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上年末我部门固定资产总金额为1475.59万元</w:t>
      </w:r>
      <w:r>
        <w:rPr>
          <w:rFonts w:ascii="仿宋" w:hAnsi="仿宋" w:eastAsia="仿宋"/>
          <w:sz w:val="32"/>
          <w:szCs w:val="32"/>
        </w:rPr>
        <w:t>。</w:t>
      </w:r>
      <w:r>
        <w:rPr>
          <w:rFonts w:hint="eastAsia" w:ascii="仿宋" w:hAnsi="仿宋" w:eastAsia="仿宋"/>
          <w:sz w:val="32"/>
          <w:szCs w:val="32"/>
        </w:rPr>
        <w:t>本年度</w:t>
      </w:r>
      <w:r>
        <w:rPr>
          <w:rFonts w:ascii="仿宋" w:hAnsi="仿宋" w:eastAsia="仿宋"/>
          <w:sz w:val="32"/>
          <w:szCs w:val="32"/>
        </w:rPr>
        <w:t>拟购量</w:t>
      </w:r>
      <w:r>
        <w:rPr>
          <w:rFonts w:hint="eastAsia" w:ascii="仿宋" w:hAnsi="仿宋" w:eastAsia="仿宋"/>
          <w:sz w:val="32"/>
          <w:szCs w:val="32"/>
        </w:rPr>
        <w:t>0元</w:t>
      </w:r>
      <w:r>
        <w:rPr>
          <w:rFonts w:ascii="仿宋" w:hAnsi="仿宋" w:eastAsia="仿宋"/>
          <w:sz w:val="32"/>
          <w:szCs w:val="32"/>
        </w:rPr>
        <w:t>。</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kern w:val="0"/>
                <w:sz w:val="24"/>
                <w:szCs w:val="24"/>
              </w:rPr>
              <w:t>1475.59</w:t>
            </w:r>
            <w:r>
              <w:rPr>
                <w:rFonts w:ascii="仿宋_GB2312" w:hAnsi="仿宋" w:eastAsia="仿宋_GB2312" w:cs="宋体"/>
                <w:b/>
                <w:kern w:val="0"/>
                <w:sz w:val="24"/>
                <w:szCs w:val="24"/>
              </w:rPr>
              <w:t xml:space="preserve"> </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47</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1100.84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374.75</w:t>
            </w: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ingLiU-ExtB">
    <w:panose1 w:val="02020500000000000000"/>
    <w:charset w:val="88"/>
    <w:family w:val="roman"/>
    <w:pitch w:val="default"/>
    <w:sig w:usb0="8000002F" w:usb1="02000008" w:usb2="00000000"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5670415"/>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MjQ0NzM1ZTg4NjUyMzZjNjBlMjEyNDkwMTI2YWMifQ=="/>
  </w:docVars>
  <w:rsids>
    <w:rsidRoot w:val="00055F1F"/>
    <w:rsid w:val="00013B8A"/>
    <w:rsid w:val="00044FBC"/>
    <w:rsid w:val="00054306"/>
    <w:rsid w:val="00055F1F"/>
    <w:rsid w:val="00057F18"/>
    <w:rsid w:val="000A445D"/>
    <w:rsid w:val="00131DEC"/>
    <w:rsid w:val="001462BD"/>
    <w:rsid w:val="00152380"/>
    <w:rsid w:val="001638BE"/>
    <w:rsid w:val="00181777"/>
    <w:rsid w:val="001B4688"/>
    <w:rsid w:val="001E6BDB"/>
    <w:rsid w:val="001F4875"/>
    <w:rsid w:val="00256F64"/>
    <w:rsid w:val="002918C6"/>
    <w:rsid w:val="00296524"/>
    <w:rsid w:val="002E01F6"/>
    <w:rsid w:val="002F530F"/>
    <w:rsid w:val="00305E97"/>
    <w:rsid w:val="00311FE1"/>
    <w:rsid w:val="0032782B"/>
    <w:rsid w:val="003278E4"/>
    <w:rsid w:val="00340B3D"/>
    <w:rsid w:val="003579C4"/>
    <w:rsid w:val="00367A30"/>
    <w:rsid w:val="00384E13"/>
    <w:rsid w:val="003A06D2"/>
    <w:rsid w:val="003A1DA9"/>
    <w:rsid w:val="003A3A92"/>
    <w:rsid w:val="003C2317"/>
    <w:rsid w:val="003C442E"/>
    <w:rsid w:val="003D1092"/>
    <w:rsid w:val="003D37CD"/>
    <w:rsid w:val="003E5531"/>
    <w:rsid w:val="0040243C"/>
    <w:rsid w:val="00406BD1"/>
    <w:rsid w:val="00426C19"/>
    <w:rsid w:val="00450FD9"/>
    <w:rsid w:val="00453CE0"/>
    <w:rsid w:val="004703B4"/>
    <w:rsid w:val="00470BBB"/>
    <w:rsid w:val="0048611E"/>
    <w:rsid w:val="004B6929"/>
    <w:rsid w:val="004E4E7C"/>
    <w:rsid w:val="004F099E"/>
    <w:rsid w:val="004F3C52"/>
    <w:rsid w:val="00510A1E"/>
    <w:rsid w:val="0054128D"/>
    <w:rsid w:val="00570142"/>
    <w:rsid w:val="005B1B6F"/>
    <w:rsid w:val="005B6CCB"/>
    <w:rsid w:val="005C54AA"/>
    <w:rsid w:val="005C7B89"/>
    <w:rsid w:val="005D58B0"/>
    <w:rsid w:val="0062491C"/>
    <w:rsid w:val="0062788A"/>
    <w:rsid w:val="00641F8A"/>
    <w:rsid w:val="0066284D"/>
    <w:rsid w:val="006A4FE2"/>
    <w:rsid w:val="006C62DF"/>
    <w:rsid w:val="006F5104"/>
    <w:rsid w:val="00735B02"/>
    <w:rsid w:val="007657C8"/>
    <w:rsid w:val="00771E49"/>
    <w:rsid w:val="00782208"/>
    <w:rsid w:val="007C7FD7"/>
    <w:rsid w:val="007E1C7E"/>
    <w:rsid w:val="007F3746"/>
    <w:rsid w:val="00833132"/>
    <w:rsid w:val="008672EA"/>
    <w:rsid w:val="00891680"/>
    <w:rsid w:val="008A0B5F"/>
    <w:rsid w:val="008B5402"/>
    <w:rsid w:val="008C5E5C"/>
    <w:rsid w:val="00904434"/>
    <w:rsid w:val="0090527E"/>
    <w:rsid w:val="00905BB7"/>
    <w:rsid w:val="00912DA4"/>
    <w:rsid w:val="009302B8"/>
    <w:rsid w:val="009305C6"/>
    <w:rsid w:val="00982F3D"/>
    <w:rsid w:val="009B0096"/>
    <w:rsid w:val="009C15EE"/>
    <w:rsid w:val="009D470C"/>
    <w:rsid w:val="00A8079E"/>
    <w:rsid w:val="00A82232"/>
    <w:rsid w:val="00A92D66"/>
    <w:rsid w:val="00AA4262"/>
    <w:rsid w:val="00AA4766"/>
    <w:rsid w:val="00AB5A90"/>
    <w:rsid w:val="00AD3B3C"/>
    <w:rsid w:val="00AE4AA5"/>
    <w:rsid w:val="00AE7FA9"/>
    <w:rsid w:val="00B147EB"/>
    <w:rsid w:val="00B772C3"/>
    <w:rsid w:val="00B80FAB"/>
    <w:rsid w:val="00B81C88"/>
    <w:rsid w:val="00BA2ED8"/>
    <w:rsid w:val="00BA5C83"/>
    <w:rsid w:val="00BC6A7D"/>
    <w:rsid w:val="00BD42F7"/>
    <w:rsid w:val="00BD719F"/>
    <w:rsid w:val="00BF79FC"/>
    <w:rsid w:val="00C177A5"/>
    <w:rsid w:val="00C6153C"/>
    <w:rsid w:val="00C64191"/>
    <w:rsid w:val="00CC7D74"/>
    <w:rsid w:val="00D02F97"/>
    <w:rsid w:val="00D22464"/>
    <w:rsid w:val="00D45530"/>
    <w:rsid w:val="00DA5A9C"/>
    <w:rsid w:val="00DA5DA7"/>
    <w:rsid w:val="00DC56DC"/>
    <w:rsid w:val="00DE3935"/>
    <w:rsid w:val="00E2325B"/>
    <w:rsid w:val="00E24075"/>
    <w:rsid w:val="00E35F38"/>
    <w:rsid w:val="00E46F27"/>
    <w:rsid w:val="00E509CC"/>
    <w:rsid w:val="00E71A04"/>
    <w:rsid w:val="00E724C6"/>
    <w:rsid w:val="00E96342"/>
    <w:rsid w:val="00F000B1"/>
    <w:rsid w:val="00F012D3"/>
    <w:rsid w:val="00F10D04"/>
    <w:rsid w:val="00F572CB"/>
    <w:rsid w:val="00F621AF"/>
    <w:rsid w:val="00F82447"/>
    <w:rsid w:val="00F96A29"/>
    <w:rsid w:val="00FB2F32"/>
    <w:rsid w:val="00FE0F1F"/>
    <w:rsid w:val="00FF61F3"/>
    <w:rsid w:val="1BDD71C8"/>
    <w:rsid w:val="3AD05557"/>
    <w:rsid w:val="4B064850"/>
    <w:rsid w:val="4BE47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uiPriority w:val="99"/>
    <w:rPr>
      <w:sz w:val="18"/>
      <w:szCs w:val="18"/>
    </w:rPr>
  </w:style>
  <w:style w:type="paragraph" w:customStyle="1" w:styleId="11">
    <w:name w:val="p0"/>
    <w:basedOn w:val="1"/>
    <w:uiPriority w:val="0"/>
    <w:pPr>
      <w:widowControl/>
    </w:pPr>
    <w:rPr>
      <w:rFonts w:ascii="Times New Roman" w:hAnsi="Times New Roman" w:eastAsia="宋体" w:cs="Times New Roman"/>
      <w:kern w:val="0"/>
      <w:szCs w:val="21"/>
    </w:rPr>
  </w:style>
  <w:style w:type="paragraph" w:customStyle="1" w:styleId="12">
    <w:name w:val="Char"/>
    <w:basedOn w:val="1"/>
    <w:uiPriority w:val="0"/>
    <w:pPr>
      <w:tabs>
        <w:tab w:val="left" w:pos="360"/>
      </w:tabs>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F5CEB-234F-41D2-87FB-85C685A0B019}">
  <ds:schemaRefs/>
</ds:datastoreItem>
</file>

<file path=docProps/app.xml><?xml version="1.0" encoding="utf-8"?>
<Properties xmlns="http://schemas.openxmlformats.org/officeDocument/2006/extended-properties" xmlns:vt="http://schemas.openxmlformats.org/officeDocument/2006/docPropsVTypes">
  <Template>Normal</Template>
  <Pages>12</Pages>
  <Words>724</Words>
  <Characters>4133</Characters>
  <Lines>34</Lines>
  <Paragraphs>9</Paragraphs>
  <TotalTime>548</TotalTime>
  <ScaleCrop>false</ScaleCrop>
  <LinksUpToDate>false</LinksUpToDate>
  <CharactersWithSpaces>4848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2019-02-19T07:03:00Z</cp:lastPrinted>
  <dcterms:modified xsi:type="dcterms:W3CDTF">2024-03-14T01:16:35Z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E0A72EBA0C8D464492BFA5B6B207E8E4_12</vt:lpwstr>
  </property>
</Properties>
</file>