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保定市徐水区正村镇人民政府(事业)</w:t>
      </w:r>
    </w:p>
    <w:p>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（一）负责镇综合行政执法工作，承担镇本级、区直单位下放乡镇和区直单位委托乡镇的行政处罚工作</w:t>
      </w:r>
      <w:r>
        <w:rPr>
          <w:rFonts w:ascii="仿宋" w:hAnsi="仿宋" w:eastAsia="仿宋"/>
          <w:sz w:val="32"/>
          <w:szCs w:val="32"/>
        </w:rPr>
        <w:t>;负责本区域内执法工作的</w:t>
      </w:r>
      <w:r>
        <w:rPr>
          <w:rFonts w:hint="eastAsia" w:ascii="仿宋" w:hAnsi="仿宋" w:eastAsia="仿宋"/>
          <w:sz w:val="32"/>
          <w:szCs w:val="32"/>
        </w:rPr>
        <w:t>日常巡查监管</w:t>
      </w:r>
      <w:r>
        <w:rPr>
          <w:rFonts w:ascii="仿宋" w:hAnsi="仿宋" w:eastAsia="仿宋"/>
          <w:sz w:val="32"/>
          <w:szCs w:val="32"/>
        </w:rPr>
        <w:t>;负责协助区直单位在本行政区域内进行的其他行政执法工作。负责辖区网格管理工作的指导、监督和管理工作，协调、指导、推动辖区内网格化管理工作的落实，履行信息收集汇总、分析研判、呈报交办、信息反馈及督办职能;负责向本镇工作机构、</w:t>
      </w:r>
      <w:bookmarkStart w:id="0" w:name="_GoBack"/>
      <w:bookmarkEnd w:id="0"/>
      <w:r>
        <w:rPr>
          <w:rFonts w:ascii="仿宋" w:hAnsi="仿宋" w:eastAsia="仿宋"/>
          <w:sz w:val="32"/>
          <w:szCs w:val="32"/>
        </w:rPr>
        <w:t>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w:t>
      </w:r>
      <w:r>
        <w:rPr>
          <w:rFonts w:hint="eastAsia" w:ascii="仿宋" w:hAnsi="仿宋" w:eastAsia="仿宋"/>
          <w:sz w:val="32"/>
          <w:szCs w:val="32"/>
        </w:rPr>
        <w:t>导、推动辖区内网格化管理工作的落实，对辖区内各单位社会治安综</w:t>
      </w:r>
      <w:r>
        <w:rPr>
          <w:rFonts w:hint="eastAsia" w:ascii="仿宋" w:hAnsi="仿宋" w:eastAsia="仿宋"/>
          <w:sz w:val="32"/>
          <w:szCs w:val="32"/>
          <w:lang w:eastAsia="zh-CN"/>
        </w:rPr>
        <w:t>合</w:t>
      </w:r>
      <w:r>
        <w:rPr>
          <w:rFonts w:hint="eastAsia" w:ascii="仿宋" w:hAnsi="仿宋" w:eastAsia="仿宋"/>
          <w:sz w:val="32"/>
          <w:szCs w:val="32"/>
        </w:rPr>
        <w:t>治理工作进行督导、检查，开展综治工作</w:t>
      </w:r>
      <w:r>
        <w:rPr>
          <w:rFonts w:ascii="仿宋" w:hAnsi="仿宋" w:eastAsia="仿宋"/>
          <w:sz w:val="32"/>
          <w:szCs w:val="32"/>
        </w:rPr>
        <w:t>(平安建设)考核评价。</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（二）负责集中办理行政审批和民政、劳动就业、卫生健康等民生保障的公共服务事项</w:t>
      </w:r>
      <w:r>
        <w:rPr>
          <w:rFonts w:ascii="仿宋" w:hAnsi="仿宋" w:eastAsia="仿宋"/>
          <w:sz w:val="32"/>
          <w:szCs w:val="32"/>
        </w:rPr>
        <w:t>;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w:t>
      </w:r>
      <w:r>
        <w:rPr>
          <w:rFonts w:hint="eastAsia" w:ascii="仿宋" w:hAnsi="仿宋" w:eastAsia="仿宋"/>
          <w:sz w:val="32"/>
          <w:szCs w:val="32"/>
        </w:rPr>
        <w:t>开办图书室，组织群众开展读书活动</w:t>
      </w:r>
      <w:r>
        <w:rPr>
          <w:rFonts w:ascii="仿宋" w:hAnsi="仿宋" w:eastAsia="仿宋"/>
          <w:sz w:val="32"/>
          <w:szCs w:val="32"/>
        </w:rPr>
        <w:t>;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spacing w:line="360" w:lineRule="auto"/>
        <w:ind w:firstLine="640" w:firstLineChars="200"/>
        <w:rPr>
          <w:rFonts w:ascii="仿宋" w:hAnsi="仿宋" w:eastAsia="仿宋"/>
          <w:sz w:val="32"/>
          <w:szCs w:val="32"/>
        </w:rPr>
      </w:pPr>
      <w:r>
        <w:rPr>
          <w:rFonts w:ascii="仿宋" w:hAnsi="仿宋" w:eastAsia="仿宋"/>
          <w:sz w:val="32"/>
          <w:szCs w:val="32"/>
        </w:rPr>
        <w:t>(三)</w:t>
      </w:r>
      <w:r>
        <w:rPr>
          <w:rFonts w:hint="eastAsia"/>
        </w:rPr>
        <w:t xml:space="preserve"> </w:t>
      </w:r>
      <w:r>
        <w:rPr>
          <w:rFonts w:hint="eastAsia" w:ascii="仿宋" w:hAnsi="仿宋" w:eastAsia="仿宋"/>
          <w:sz w:val="32"/>
          <w:szCs w:val="32"/>
        </w:rPr>
        <w:t>负责农业、林业、水利、农业机械、畜牧兽医等基层农业技术推广，负责农产品质量安全监测、监管巡查和安全知识的宣传，做好农作物病虫害和农业灾害的监测预报预防、动植物疫病防控防治、防汛抗旱、农田水利建设等工作</w:t>
      </w:r>
      <w:r>
        <w:rPr>
          <w:rFonts w:ascii="仿宋" w:hAnsi="仿宋" w:eastAsia="仿宋"/>
          <w:sz w:val="32"/>
          <w:szCs w:val="32"/>
        </w:rPr>
        <w:t>;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spacing w:line="360" w:lineRule="auto"/>
        <w:ind w:firstLine="640" w:firstLineChars="200"/>
        <w:rPr>
          <w:rFonts w:ascii="仿宋" w:hAnsi="仿宋" w:eastAsia="仿宋"/>
          <w:sz w:val="32"/>
          <w:szCs w:val="32"/>
        </w:rPr>
      </w:pPr>
      <w:r>
        <w:rPr>
          <w:rFonts w:ascii="仿宋" w:hAnsi="仿宋" w:eastAsia="仿宋"/>
          <w:sz w:val="32"/>
          <w:szCs w:val="32"/>
        </w:rPr>
        <w:t>(四)</w:t>
      </w:r>
      <w:r>
        <w:rPr>
          <w:rFonts w:hint="eastAsia"/>
        </w:rPr>
        <w:t xml:space="preserve"> </w:t>
      </w:r>
      <w:r>
        <w:rPr>
          <w:rFonts w:hint="eastAsia" w:ascii="仿宋" w:hAnsi="仿宋" w:eastAsia="仿宋"/>
          <w:sz w:val="32"/>
          <w:szCs w:val="32"/>
        </w:rPr>
        <w:t>负责拥军优属、退役军人服务等工作</w:t>
      </w:r>
      <w:r>
        <w:rPr>
          <w:rFonts w:ascii="仿宋" w:hAnsi="仿宋" w:eastAsia="仿宋"/>
          <w:sz w:val="32"/>
          <w:szCs w:val="32"/>
        </w:rPr>
        <w:t>;负责退役军人就业创业扶持、走访慰问、帮扶援助、信息采集、优抚服务、培树典型、建档立卡、党员管理、政策调研、政策宣传、职业教育和技能培训等工作。负责对村级退役军人服务站业务指导工作。</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保定市徐水区正村镇人民政府（事业）</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pPr>
            <w:r>
              <w:rPr>
                <w:rFonts w:hint="eastAsia"/>
              </w:rPr>
              <w:t>正</w:t>
            </w:r>
            <w:r>
              <w:rPr>
                <w:rFonts w:hint="eastAsia" w:ascii="仿宋_GB2312" w:hAnsi="仿宋" w:eastAsia="仿宋_GB2312"/>
                <w:bCs/>
                <w:sz w:val="24"/>
                <w:szCs w:val="24"/>
              </w:rPr>
              <w:t>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898.07</w:t>
      </w:r>
      <w:r>
        <w:rPr>
          <w:rFonts w:ascii="仿宋" w:hAnsi="仿宋" w:eastAsia="仿宋"/>
          <w:sz w:val="32"/>
          <w:szCs w:val="32"/>
        </w:rPr>
        <w:t>万元,其中：一般公共预算收入</w:t>
      </w:r>
      <w:r>
        <w:rPr>
          <w:rFonts w:hint="eastAsia" w:ascii="仿宋" w:hAnsi="仿宋" w:eastAsia="仿宋"/>
          <w:sz w:val="32"/>
          <w:szCs w:val="32"/>
        </w:rPr>
        <w:t>898.07</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898.07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基本支出898.07万元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867.7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日常公用经费30.37万元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11"/>
          <w:szCs w:val="11"/>
        </w:rPr>
      </w:pPr>
      <w:r>
        <w:rPr>
          <w:rFonts w:hint="eastAsia" w:ascii="仿宋" w:hAnsi="仿宋" w:eastAsia="仿宋"/>
          <w:sz w:val="32"/>
          <w:szCs w:val="32"/>
        </w:rPr>
        <w:t>本年度预算收支安排898.07万元，较上年增加213.97</w:t>
      </w:r>
      <w:r>
        <w:rPr>
          <w:rFonts w:ascii="仿宋" w:hAnsi="仿宋" w:eastAsia="仿宋"/>
          <w:sz w:val="32"/>
          <w:szCs w:val="32"/>
        </w:rPr>
        <w:t>万元。</w:t>
      </w:r>
      <w:r>
        <w:rPr>
          <w:rFonts w:hint="eastAsia" w:ascii="仿宋" w:hAnsi="仿宋" w:eastAsia="仿宋"/>
          <w:sz w:val="32"/>
          <w:szCs w:val="32"/>
        </w:rPr>
        <w:t>主要是</w:t>
      </w:r>
      <w:r>
        <w:rPr>
          <w:rFonts w:ascii="仿宋" w:hAnsi="仿宋" w:eastAsia="仿宋"/>
          <w:sz w:val="32"/>
          <w:szCs w:val="32"/>
        </w:rPr>
        <w:t>基本支出增加</w:t>
      </w:r>
      <w:r>
        <w:rPr>
          <w:rFonts w:hint="eastAsia" w:ascii="仿宋" w:hAnsi="仿宋" w:eastAsia="仿宋"/>
          <w:sz w:val="32"/>
          <w:szCs w:val="32"/>
        </w:rPr>
        <w:t>213.97</w:t>
      </w:r>
      <w:r>
        <w:rPr>
          <w:rFonts w:ascii="仿宋" w:hAnsi="仿宋" w:eastAsia="仿宋"/>
          <w:sz w:val="32"/>
          <w:szCs w:val="32"/>
        </w:rPr>
        <w:t>万元，主要原因是</w:t>
      </w:r>
      <w:r>
        <w:rPr>
          <w:rFonts w:hint="eastAsia" w:ascii="仿宋" w:hAnsi="仿宋" w:eastAsia="仿宋"/>
          <w:sz w:val="32"/>
          <w:szCs w:val="32"/>
        </w:rPr>
        <w:t>人员经费和日常公用经费增加</w:t>
      </w:r>
      <w:r>
        <w:rPr>
          <w:rFonts w:ascii="仿宋" w:hAnsi="仿宋" w:eastAsia="仿宋"/>
          <w:sz w:val="32"/>
          <w:szCs w:val="32"/>
        </w:rPr>
        <w:t>。</w:t>
      </w:r>
    </w:p>
    <w:p>
      <w:pPr>
        <w:spacing w:line="360" w:lineRule="auto"/>
        <w:ind w:firstLine="220" w:firstLineChars="200"/>
        <w:rPr>
          <w:rFonts w:ascii="仿宋" w:hAnsi="仿宋" w:eastAsia="仿宋"/>
          <w:sz w:val="11"/>
          <w:szCs w:val="11"/>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方正小标宋_GBK" w:eastAsia="方正小标宋_GBK"/>
          <w:sz w:val="44"/>
        </w:rPr>
      </w:pPr>
      <w:r>
        <w:rPr>
          <w:rFonts w:ascii="仿宋" w:hAnsi="仿宋" w:eastAsia="仿宋"/>
          <w:sz w:val="32"/>
          <w:szCs w:val="32"/>
        </w:rPr>
        <w:t>2022年我单位机关运行经费安排</w:t>
      </w:r>
      <w:r>
        <w:rPr>
          <w:rFonts w:hint="eastAsia" w:ascii="仿宋" w:hAnsi="仿宋" w:eastAsia="仿宋"/>
          <w:sz w:val="32"/>
          <w:szCs w:val="32"/>
        </w:rPr>
        <w:t>30.37</w:t>
      </w:r>
      <w:r>
        <w:rPr>
          <w:rFonts w:ascii="仿宋" w:hAnsi="仿宋" w:eastAsia="仿宋"/>
          <w:sz w:val="32"/>
          <w:szCs w:val="32"/>
        </w:rPr>
        <w:t>万元，其中办公费</w:t>
      </w:r>
      <w:r>
        <w:rPr>
          <w:rFonts w:hint="eastAsia" w:ascii="仿宋" w:hAnsi="仿宋" w:eastAsia="仿宋"/>
          <w:sz w:val="32"/>
          <w:szCs w:val="32"/>
        </w:rPr>
        <w:t>17.5</w:t>
      </w:r>
      <w:r>
        <w:rPr>
          <w:rFonts w:ascii="仿宋" w:hAnsi="仿宋" w:eastAsia="仿宋"/>
          <w:sz w:val="32"/>
          <w:szCs w:val="32"/>
        </w:rPr>
        <w:t>万元，邮电费</w:t>
      </w:r>
      <w:r>
        <w:rPr>
          <w:rFonts w:hint="eastAsia" w:ascii="仿宋" w:hAnsi="仿宋" w:eastAsia="仿宋"/>
          <w:sz w:val="32"/>
          <w:szCs w:val="32"/>
        </w:rPr>
        <w:t>0.86</w:t>
      </w:r>
      <w:r>
        <w:rPr>
          <w:rFonts w:ascii="仿宋" w:hAnsi="仿宋" w:eastAsia="仿宋"/>
          <w:sz w:val="32"/>
          <w:szCs w:val="32"/>
        </w:rPr>
        <w:t>万元，工会经费、福利费11.64万元，公务用车运行维护费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0.37</w:t>
      </w:r>
      <w:r>
        <w:rPr>
          <w:rFonts w:ascii="仿宋" w:hAnsi="仿宋" w:eastAsia="仿宋"/>
          <w:sz w:val="32"/>
          <w:szCs w:val="32"/>
        </w:rPr>
        <w:t>万元。</w:t>
      </w:r>
    </w:p>
    <w:p>
      <w:pPr>
        <w:jc w:val="center"/>
        <w:outlineLvl w:val="0"/>
        <w:rPr>
          <w:rFonts w:ascii="方正小标宋_GBK" w:eastAsia="方正小标宋_GBK"/>
          <w:szCs w:val="21"/>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634"/>
            </w:tblGrid>
            <w:tr>
              <w:tblPrEx>
                <w:tblCellMar>
                  <w:top w:w="0" w:type="dxa"/>
                  <w:left w:w="108" w:type="dxa"/>
                  <w:bottom w:w="0" w:type="dxa"/>
                  <w:right w:w="108" w:type="dxa"/>
                </w:tblCellMar>
              </w:tblPrEx>
              <w:trPr>
                <w:trHeight w:val="405" w:hRule="atLeast"/>
                <w:jc w:val="center"/>
              </w:trPr>
              <w:tc>
                <w:tcPr>
                  <w:tcW w:w="8327"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634"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63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518"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6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398"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6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41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6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6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6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6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63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634"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认真贯彻落实区委、区政府各项决策部署，持续以党建为引领，以高质量发展为主题；着眼产业兴旺，努力建设农业强镇，规划提升现有农业发展水平，突出特色，增强市场竞争力和影响力；着眼信访稳定，努力营造和谐环境，完善社会治理工作机制，依托“司法、调解、综治网格”体系，提升社会治理工作水平；努力实现各项事业持续发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二、工作保障措施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（一）强化政治理论武装，健全完善制度机制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坚持把学习贯彻习近平新时代中国特色社会主义思想和党的全会精神作为首要政治任务，全面落实省委会议决策部署，根据中央和省委省政府全面实施预算绩效管理的意见，以及我省预算绩效管理相关要求，健全完善我镇预算绩效管理、预算资金管理等制度规定，按要求开展单位预算绩效实时监控、绩效自评等工作，确保全年绩效目标圆满完成。</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（二）加强预算支出管理，确保支出进度达标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编细编实预算，将项目细化到可执行程度，确保批复即可执行。调整优化支出结构，及时支付资金。加强预算资金支出动态过程管理，及时协调解决预算执行中遇到的困难问题，实时掌握预算支出进度，按照区财政局关于支出进度的关键时间节点，对预算资金进行支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（三）做好绩效自评，确保自评工作取得实效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细化自评内容，确保自评工作取得实效。评价内容包括预算执行情况、年度总体绩效目标完成情况、绩效指标完成情况等，并对未完成绩效目标的或者完成情况较差的逐条分析原因并提出改进措施，有效提升绩效自评约束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（四）加强绩效运行监控，提高预算资金使用效益</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按照“谁支出、谁负责”的原则，完善用款计划管理，适时采取相应措施警示督促、纠偏纠错，提高预算资金在预算执行中效益，并按照年初制定的绩效目标安全有序的运行。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（五）加强内部监督管理，确保资金安全有效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完善财务管理制度，严格财务资金审批程序，完善内部监督制度，对会计资料开展常态化内部审计，配合做好审计、财政监督等外部监督工作。严格落实领导干部重大事项报告制度和离任审计制度，确保财政资金安全有效。</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（六）加强宣传培训调研，确保绩效目标实现</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jc w:val="center"/>
        <w:outlineLvl w:val="1"/>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rPr>
        <w:t>单位</w:t>
      </w:r>
      <w:r>
        <w:rPr>
          <w:rFonts w:ascii="仿宋" w:hAnsi="仿宋" w:eastAsia="仿宋"/>
          <w:sz w:val="32"/>
          <w:szCs w:val="32"/>
        </w:rPr>
        <w:t>无政府采购预算，空表列示。</w:t>
      </w:r>
    </w:p>
    <w:p>
      <w:pPr>
        <w:jc w:val="center"/>
        <w:outlineLvl w:val="1"/>
        <w:rPr>
          <w:rFonts w:ascii="Times New Roman" w:hAnsi="宋体" w:eastAsia="宋体"/>
          <w:sz w:val="32"/>
        </w:rPr>
      </w:pPr>
      <w:r>
        <w:rPr>
          <w:rFonts w:ascii="方正小标宋_GBK" w:eastAsia="方正小标宋_GBK"/>
          <w:sz w:val="32"/>
        </w:rPr>
        <w:t>单位政府采购预算</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保定市徐水区正村镇人民政府（事业）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1</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ascii="仿宋" w:hAnsi="仿宋" w:eastAsia="仿宋"/>
          <w:sz w:val="32"/>
          <w:szCs w:val="32"/>
        </w:rPr>
        <w:br w:type="page"/>
      </w:r>
    </w:p>
    <w:p>
      <w:pPr>
        <w:spacing w:line="360" w:lineRule="auto"/>
        <w:rPr>
          <w:rFonts w:ascii="仿宋" w:hAnsi="仿宋" w:eastAsia="仿宋"/>
          <w:sz w:val="32"/>
          <w:szCs w:val="32"/>
        </w:rPr>
        <w:sectPr>
          <w:footerReference r:id="rId3" w:type="default"/>
          <w:pgSz w:w="16838" w:h="11906" w:orient="landscape"/>
          <w:pgMar w:top="1800" w:right="1440" w:bottom="1800" w:left="1440" w:header="851" w:footer="992" w:gutter="0"/>
          <w:cols w:space="425" w:num="1"/>
          <w:docGrid w:type="line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上年末我单位固定资产总金额为0万元（详见下表）。我单位本年度无国有资产购置计划，拟购置金额为</w:t>
      </w:r>
      <w:r>
        <w:rPr>
          <w:rFonts w:ascii="仿宋" w:hAnsi="仿宋" w:eastAsia="仿宋"/>
          <w:sz w:val="32"/>
          <w:szCs w:val="32"/>
        </w:rPr>
        <w:t>0。</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962780"/>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32A95"/>
    <w:rsid w:val="00044FBC"/>
    <w:rsid w:val="00051069"/>
    <w:rsid w:val="00055F1F"/>
    <w:rsid w:val="000577EF"/>
    <w:rsid w:val="00057F18"/>
    <w:rsid w:val="0007616B"/>
    <w:rsid w:val="000A445D"/>
    <w:rsid w:val="000B1F87"/>
    <w:rsid w:val="000C178B"/>
    <w:rsid w:val="0012099A"/>
    <w:rsid w:val="00123DD4"/>
    <w:rsid w:val="00131DEC"/>
    <w:rsid w:val="00136AB3"/>
    <w:rsid w:val="001462BD"/>
    <w:rsid w:val="00152380"/>
    <w:rsid w:val="001638BE"/>
    <w:rsid w:val="00164810"/>
    <w:rsid w:val="001704D7"/>
    <w:rsid w:val="00172C7A"/>
    <w:rsid w:val="0018106F"/>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355A8"/>
    <w:rsid w:val="00340B3D"/>
    <w:rsid w:val="0034253A"/>
    <w:rsid w:val="003669CF"/>
    <w:rsid w:val="00367A30"/>
    <w:rsid w:val="003719C4"/>
    <w:rsid w:val="003A06D2"/>
    <w:rsid w:val="003A4557"/>
    <w:rsid w:val="003A6366"/>
    <w:rsid w:val="003C2317"/>
    <w:rsid w:val="003C442E"/>
    <w:rsid w:val="003D1092"/>
    <w:rsid w:val="003D37CD"/>
    <w:rsid w:val="003E5531"/>
    <w:rsid w:val="003E555C"/>
    <w:rsid w:val="003E6AF3"/>
    <w:rsid w:val="00400F9A"/>
    <w:rsid w:val="0040243C"/>
    <w:rsid w:val="00406BD1"/>
    <w:rsid w:val="0042046A"/>
    <w:rsid w:val="00426C19"/>
    <w:rsid w:val="0044245B"/>
    <w:rsid w:val="00450FD9"/>
    <w:rsid w:val="00453CE0"/>
    <w:rsid w:val="00470736"/>
    <w:rsid w:val="00470BBB"/>
    <w:rsid w:val="0048611E"/>
    <w:rsid w:val="004B6929"/>
    <w:rsid w:val="004E2F43"/>
    <w:rsid w:val="004E3572"/>
    <w:rsid w:val="004F3C52"/>
    <w:rsid w:val="00510A1E"/>
    <w:rsid w:val="005158E2"/>
    <w:rsid w:val="00524204"/>
    <w:rsid w:val="005325A3"/>
    <w:rsid w:val="00542595"/>
    <w:rsid w:val="00550049"/>
    <w:rsid w:val="00553F7E"/>
    <w:rsid w:val="00570142"/>
    <w:rsid w:val="00586C35"/>
    <w:rsid w:val="005A5AB9"/>
    <w:rsid w:val="005B1B6F"/>
    <w:rsid w:val="005B6CCB"/>
    <w:rsid w:val="005C54AA"/>
    <w:rsid w:val="005C7B89"/>
    <w:rsid w:val="0062788A"/>
    <w:rsid w:val="00641F8A"/>
    <w:rsid w:val="0066383B"/>
    <w:rsid w:val="0068366D"/>
    <w:rsid w:val="00695CD1"/>
    <w:rsid w:val="006A51B4"/>
    <w:rsid w:val="006A6FA2"/>
    <w:rsid w:val="006B5117"/>
    <w:rsid w:val="006C62DF"/>
    <w:rsid w:val="006F5104"/>
    <w:rsid w:val="006F6549"/>
    <w:rsid w:val="007041C3"/>
    <w:rsid w:val="00735B02"/>
    <w:rsid w:val="00745F82"/>
    <w:rsid w:val="007657C8"/>
    <w:rsid w:val="00767A77"/>
    <w:rsid w:val="00771E49"/>
    <w:rsid w:val="00782208"/>
    <w:rsid w:val="00791938"/>
    <w:rsid w:val="007A5999"/>
    <w:rsid w:val="007C7FD7"/>
    <w:rsid w:val="007D4024"/>
    <w:rsid w:val="007F10EF"/>
    <w:rsid w:val="007F302B"/>
    <w:rsid w:val="007F3746"/>
    <w:rsid w:val="007F60C8"/>
    <w:rsid w:val="0080383B"/>
    <w:rsid w:val="0081176C"/>
    <w:rsid w:val="00832C61"/>
    <w:rsid w:val="00833132"/>
    <w:rsid w:val="00845C67"/>
    <w:rsid w:val="00857A3F"/>
    <w:rsid w:val="0086454E"/>
    <w:rsid w:val="008672EA"/>
    <w:rsid w:val="00891680"/>
    <w:rsid w:val="008A0099"/>
    <w:rsid w:val="008A0B5F"/>
    <w:rsid w:val="008B4468"/>
    <w:rsid w:val="008B5402"/>
    <w:rsid w:val="008D11BC"/>
    <w:rsid w:val="0090212D"/>
    <w:rsid w:val="0090527E"/>
    <w:rsid w:val="00905BB7"/>
    <w:rsid w:val="0090620C"/>
    <w:rsid w:val="00912DA4"/>
    <w:rsid w:val="00922B4B"/>
    <w:rsid w:val="009302B8"/>
    <w:rsid w:val="009305C6"/>
    <w:rsid w:val="009752AE"/>
    <w:rsid w:val="009771C8"/>
    <w:rsid w:val="00982F3D"/>
    <w:rsid w:val="00983232"/>
    <w:rsid w:val="009A278A"/>
    <w:rsid w:val="009B6368"/>
    <w:rsid w:val="009D3C62"/>
    <w:rsid w:val="009D403B"/>
    <w:rsid w:val="009F63C4"/>
    <w:rsid w:val="00A16957"/>
    <w:rsid w:val="00A37975"/>
    <w:rsid w:val="00A575B8"/>
    <w:rsid w:val="00A6155C"/>
    <w:rsid w:val="00A8079E"/>
    <w:rsid w:val="00A90328"/>
    <w:rsid w:val="00A92D66"/>
    <w:rsid w:val="00AA4262"/>
    <w:rsid w:val="00AB5A90"/>
    <w:rsid w:val="00AB7449"/>
    <w:rsid w:val="00AC7A0A"/>
    <w:rsid w:val="00AE4AA5"/>
    <w:rsid w:val="00AE7FA9"/>
    <w:rsid w:val="00B147EB"/>
    <w:rsid w:val="00B22155"/>
    <w:rsid w:val="00B246A3"/>
    <w:rsid w:val="00B3752B"/>
    <w:rsid w:val="00B76AA9"/>
    <w:rsid w:val="00B80FAB"/>
    <w:rsid w:val="00B81C88"/>
    <w:rsid w:val="00B97F6D"/>
    <w:rsid w:val="00BA5C83"/>
    <w:rsid w:val="00BC6A7D"/>
    <w:rsid w:val="00BD4829"/>
    <w:rsid w:val="00BD6002"/>
    <w:rsid w:val="00BD719F"/>
    <w:rsid w:val="00BF5442"/>
    <w:rsid w:val="00C177A5"/>
    <w:rsid w:val="00C35FEE"/>
    <w:rsid w:val="00C50535"/>
    <w:rsid w:val="00C54E54"/>
    <w:rsid w:val="00C6153C"/>
    <w:rsid w:val="00C7077C"/>
    <w:rsid w:val="00C906EF"/>
    <w:rsid w:val="00CB5961"/>
    <w:rsid w:val="00CC7D74"/>
    <w:rsid w:val="00CF4AC2"/>
    <w:rsid w:val="00D02F97"/>
    <w:rsid w:val="00D45530"/>
    <w:rsid w:val="00D45A0E"/>
    <w:rsid w:val="00D45D23"/>
    <w:rsid w:val="00D723D1"/>
    <w:rsid w:val="00D80C60"/>
    <w:rsid w:val="00D8525F"/>
    <w:rsid w:val="00DA0C4D"/>
    <w:rsid w:val="00DA5DA7"/>
    <w:rsid w:val="00DC3182"/>
    <w:rsid w:val="00DE3935"/>
    <w:rsid w:val="00DE6B32"/>
    <w:rsid w:val="00DF26B8"/>
    <w:rsid w:val="00DF75C0"/>
    <w:rsid w:val="00E12C68"/>
    <w:rsid w:val="00E2325B"/>
    <w:rsid w:val="00E236D4"/>
    <w:rsid w:val="00E24075"/>
    <w:rsid w:val="00E270C9"/>
    <w:rsid w:val="00E358C9"/>
    <w:rsid w:val="00E35F38"/>
    <w:rsid w:val="00E46F27"/>
    <w:rsid w:val="00E509CC"/>
    <w:rsid w:val="00E56DC0"/>
    <w:rsid w:val="00E71A04"/>
    <w:rsid w:val="00E90DA6"/>
    <w:rsid w:val="00E96342"/>
    <w:rsid w:val="00EA2FEA"/>
    <w:rsid w:val="00EA3B50"/>
    <w:rsid w:val="00EA56CB"/>
    <w:rsid w:val="00EA7853"/>
    <w:rsid w:val="00EF376D"/>
    <w:rsid w:val="00F000B1"/>
    <w:rsid w:val="00F012D3"/>
    <w:rsid w:val="00F044C3"/>
    <w:rsid w:val="00F10D04"/>
    <w:rsid w:val="00F169E3"/>
    <w:rsid w:val="00F35D4B"/>
    <w:rsid w:val="00F3746B"/>
    <w:rsid w:val="00F572CB"/>
    <w:rsid w:val="00F621AF"/>
    <w:rsid w:val="00F63B13"/>
    <w:rsid w:val="00F8024E"/>
    <w:rsid w:val="00F82447"/>
    <w:rsid w:val="00F868E5"/>
    <w:rsid w:val="00FB2F32"/>
    <w:rsid w:val="00FC3191"/>
    <w:rsid w:val="00FE0F1F"/>
    <w:rsid w:val="00FF61F3"/>
    <w:rsid w:val="0A214432"/>
    <w:rsid w:val="1F420D12"/>
    <w:rsid w:val="27733670"/>
    <w:rsid w:val="640B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character" w:customStyle="1" w:styleId="10">
    <w:name w:val="批注框文本 Char"/>
    <w:basedOn w:val="9"/>
    <w:link w:val="2"/>
    <w:semiHidden/>
    <w:qFormat/>
    <w:uiPriority w:val="99"/>
    <w:rPr>
      <w:sz w:val="18"/>
      <w:szCs w:val="18"/>
    </w:rPr>
  </w:style>
  <w:style w:type="character" w:customStyle="1" w:styleId="11">
    <w:name w:val="页脚 Char"/>
    <w:basedOn w:val="9"/>
    <w:link w:val="3"/>
    <w:qFormat/>
    <w:uiPriority w:val="99"/>
    <w:rPr>
      <w:sz w:val="18"/>
      <w:szCs w:val="18"/>
    </w:rPr>
  </w:style>
  <w:style w:type="character" w:customStyle="1" w:styleId="12">
    <w:name w:val="页眉 Char"/>
    <w:basedOn w:val="9"/>
    <w:link w:val="4"/>
    <w:qFormat/>
    <w:uiPriority w:val="99"/>
    <w:rPr>
      <w:sz w:val="18"/>
      <w:szCs w:val="18"/>
    </w:rPr>
  </w:style>
  <w:style w:type="paragraph" w:customStyle="1" w:styleId="1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7">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1">
    <w:name w:val="单元格样式23"/>
    <w:basedOn w:val="1"/>
    <w:qFormat/>
    <w:uiPriority w:val="0"/>
    <w:pPr>
      <w:widowControl/>
      <w:jc w:val="right"/>
    </w:pPr>
    <w:rPr>
      <w:rFonts w:ascii="方正书宋_GBK" w:hAnsi="方正书宋_GBK" w:eastAsia="方正书宋_GBK" w:cs="方正书宋_GBK"/>
      <w:kern w:val="0"/>
      <w:sz w:val="24"/>
      <w:szCs w:val="24"/>
      <w:lang w:eastAsia="uk-UA"/>
    </w:rPr>
  </w:style>
  <w:style w:type="paragraph" w:customStyle="1" w:styleId="22">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23">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4">
    <w:name w:val="单元格样式7"/>
    <w:basedOn w:val="1"/>
    <w:qFormat/>
    <w:uiPriority w:val="0"/>
    <w:pPr>
      <w:widowControl/>
      <w:jc w:val="righ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37A07-49B0-4F0C-B7C2-7E304E6C85E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596</Words>
  <Characters>3402</Characters>
  <Lines>28</Lines>
  <Paragraphs>7</Paragraphs>
  <TotalTime>841</TotalTime>
  <ScaleCrop>false</ScaleCrop>
  <LinksUpToDate>false</LinksUpToDate>
  <CharactersWithSpaces>3991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xd</cp:lastModifiedBy>
  <cp:lastPrinted>2021-04-14T02:06:00Z</cp:lastPrinted>
  <dcterms:modified xsi:type="dcterms:W3CDTF">2024-03-14T01:08:57Z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76EAFEA3433E47EF9BBEB116C4FC5C2C</vt:lpwstr>
  </property>
</Properties>
</file>