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  <w:lang w:eastAsia="zh-CN"/>
        </w:rPr>
        <w:t>保定市徐水区</w:t>
      </w:r>
      <w:r>
        <w:rPr>
          <w:rFonts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</w:rPr>
        <w:t>城市管理综合行政执法局</w:t>
      </w:r>
    </w:p>
    <w:p>
      <w:pPr>
        <w:widowControl/>
        <w:spacing w:line="600" w:lineRule="exact"/>
        <w:jc w:val="center"/>
        <w:rPr>
          <w:rFonts w:hint="default"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  <w:lang w:val="en-US" w:eastAsia="zh-CN"/>
        </w:rPr>
        <w:t>行政执法救济渠道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/>
        <w:jc w:val="left"/>
        <w:rPr>
          <w:rFonts w:hint="eastAsia" w:ascii="仿宋_GB2312" w:hAnsi="Arial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第一条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当事人对本局实施的行政执法行为，依法享有陈述权和申辩权。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第二条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在本局作出具体行政处罚决定之前，依法符合听证条件的，当事人有权要求听证。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第三条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当事人对本局的行政处罚决定不服的，可以自收到行政处罚决定书之日起60日内向保定市徐水区人民政府申请行政复议，或者自收到行政处罚决定书之日起6个月内直接向保定市徐水区人民法院起诉，法律另有规定的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第四条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因本局违法实施行政执法行为受到损害的，当事人有权提出赔偿要求。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  <w:t xml:space="preserve">第五条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本局行政执法各类违法违规违纪行为24小时投诉举报电话：0312-8685071，邮箱：xsxzfj@163.com。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简体"/>
          <w:b w:val="0"/>
          <w:bCs w:val="0"/>
          <w:color w:val="000000"/>
          <w:kern w:val="0"/>
          <w:sz w:val="44"/>
          <w:szCs w:val="44"/>
          <w:shd w:val="clear" w:color="0B0000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ZkYTVhYzg4MDJiMWIxMjE1MzMxYTI2M2Y4MmEifQ=="/>
  </w:docVars>
  <w:rsids>
    <w:rsidRoot w:val="00000000"/>
    <w:rsid w:val="027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0" w:lineRule="atLeast"/>
      <w:jc w:val="both"/>
    </w:pPr>
    <w:rPr>
      <w:rFonts w:ascii="Calibri" w:hAnsi="Calibri" w:eastAsia="小标宋" w:cs="Times New Roman"/>
      <w:kern w:val="2"/>
      <w:sz w:val="44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2024-03-06T03:07:06Z</dcterms:created>
  <dc:creator>Administrator</dc:creator>
  <cp:lastModifiedBy>Administrator</cp:lastModifiedBy>
  <dcterms:modified xsi:type="dcterms:W3CDTF">2024-03-06T03:08:23Z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8AB8E49BB0ED443C927ECC2ACD28DE45_12</vt:lpwstr>
  </property>
</Properties>
</file>