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fldLock="1"/>
      </w:r>
      <w:r>
        <w:instrText xml:space="preserve">TOC \o "2-2" \h \z \u</w:instrText>
      </w:r>
      <w:r>
        <w:fldChar w:fldCharType="separate"/>
      </w:r>
      <w:r>
        <w:fldChar w:fldCharType="begin" w:fldLock="1"/>
      </w:r>
      <w:r>
        <w:instrText xml:space="preserve"> HYPERLINK \l "_Toc_2_2_0000000001" </w:instrText>
      </w:r>
      <w:r>
        <w:fldChar w:fldCharType="separate"/>
      </w:r>
      <w:r>
        <w:rPr>
          <w:rFonts w:hint="eastAsia"/>
          <w:lang w:eastAsia="zh-CN"/>
        </w:rPr>
        <w:t>单位</w:t>
      </w:r>
      <w:r>
        <w:t>预算收支总表</w:t>
      </w:r>
      <w:r>
        <w:tab/>
      </w:r>
      <w:r>
        <w:rPr>
          <w:rFonts w:hint="default"/>
          <w:lang w:val="en-US"/>
        </w:rPr>
        <w:t>1</w:t>
      </w:r>
      <w:r>
        <w:fldChar w:fldCharType="end"/>
      </w:r>
    </w:p>
    <w:p>
      <w:pPr>
        <w:pStyle w:val="3"/>
        <w:tabs>
          <w:tab w:val="right" w:leader="dot" w:pos="14562"/>
        </w:tabs>
      </w:pPr>
      <w:r>
        <w:fldChar w:fldCharType="begin" w:fldLock="1"/>
      </w:r>
      <w:r>
        <w:instrText xml:space="preserve"> HYPERLINK \l "_Toc_2_2_0000000002" </w:instrText>
      </w:r>
      <w:r>
        <w:fldChar w:fldCharType="separate"/>
      </w:r>
      <w:r>
        <w:rPr>
          <w:rFonts w:hint="eastAsia"/>
          <w:lang w:eastAsia="zh-CN"/>
        </w:rPr>
        <w:t>单位</w:t>
      </w:r>
      <w:r>
        <w:t>预算收入总表</w:t>
      </w:r>
      <w:r>
        <w:tab/>
      </w:r>
      <w:r>
        <w:rPr>
          <w:rFonts w:hint="default"/>
          <w:lang w:val="en-US"/>
        </w:rPr>
        <w:t>4</w:t>
      </w:r>
      <w:r>
        <w:fldChar w:fldCharType="end"/>
      </w:r>
    </w:p>
    <w:p>
      <w:pPr>
        <w:pStyle w:val="3"/>
        <w:tabs>
          <w:tab w:val="right" w:leader="dot" w:pos="14562"/>
        </w:tabs>
      </w:pPr>
      <w:r>
        <w:fldChar w:fldCharType="begin" w:fldLock="1"/>
      </w:r>
      <w:r>
        <w:instrText xml:space="preserve"> HYPERLINK \l "_Toc_2_2_0000000003" </w:instrText>
      </w:r>
      <w:r>
        <w:fldChar w:fldCharType="separate"/>
      </w:r>
      <w:r>
        <w:rPr>
          <w:rFonts w:hint="eastAsia"/>
          <w:lang w:eastAsia="zh-CN"/>
        </w:rPr>
        <w:t>单位</w:t>
      </w:r>
      <w:r>
        <w:t>预算支出总表</w:t>
      </w:r>
      <w:r>
        <w:tab/>
      </w:r>
      <w:r>
        <w:rPr>
          <w:rFonts w:hint="default"/>
          <w:lang w:val="en-US"/>
        </w:rPr>
        <w:t>8</w:t>
      </w:r>
      <w:r>
        <w:fldChar w:fldCharType="end"/>
      </w:r>
    </w:p>
    <w:p>
      <w:pPr>
        <w:pStyle w:val="3"/>
        <w:tabs>
          <w:tab w:val="right" w:leader="dot" w:pos="14562"/>
        </w:tabs>
        <w:rPr>
          <w:rFonts w:hint="default"/>
          <w:lang w:val="en-US"/>
        </w:rPr>
      </w:pPr>
      <w:r>
        <w:fldChar w:fldCharType="begin" w:fldLock="1"/>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1</w:t>
      </w:r>
      <w:r>
        <w:fldChar w:fldCharType="end"/>
      </w:r>
      <w:r>
        <w:rPr>
          <w:rFonts w:hint="default"/>
          <w:lang w:val="en-US"/>
        </w:rPr>
        <w:t>0</w:t>
      </w:r>
    </w:p>
    <w:p>
      <w:pPr>
        <w:pStyle w:val="3"/>
        <w:tabs>
          <w:tab w:val="right" w:leader="dot" w:pos="14562"/>
        </w:tabs>
        <w:rPr>
          <w:rFonts w:hint="default"/>
          <w:lang w:val="en-US"/>
        </w:rPr>
      </w:pPr>
      <w:r>
        <w:fldChar w:fldCharType="begin" w:fldLock="1"/>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1</w:t>
      </w:r>
      <w:r>
        <w:fldChar w:fldCharType="end"/>
      </w:r>
      <w:r>
        <w:rPr>
          <w:rFonts w:hint="default"/>
          <w:lang w:val="en-US"/>
        </w:rPr>
        <w:t>7</w:t>
      </w:r>
    </w:p>
    <w:p>
      <w:pPr>
        <w:pStyle w:val="3"/>
        <w:tabs>
          <w:tab w:val="right" w:leader="dot" w:pos="14562"/>
        </w:tabs>
        <w:rPr>
          <w:rFonts w:hint="default"/>
          <w:lang w:val="en-US"/>
        </w:rPr>
      </w:pPr>
      <w:r>
        <w:fldChar w:fldCharType="begin" w:fldLock="1"/>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1</w:t>
      </w:r>
      <w:r>
        <w:fldChar w:fldCharType="end"/>
      </w:r>
      <w:r>
        <w:rPr>
          <w:rFonts w:hint="default"/>
          <w:lang w:val="en-US"/>
        </w:rPr>
        <w:t>9</w:t>
      </w:r>
    </w:p>
    <w:p>
      <w:pPr>
        <w:pStyle w:val="3"/>
        <w:tabs>
          <w:tab w:val="right" w:leader="dot" w:pos="14562"/>
        </w:tabs>
        <w:rPr>
          <w:rFonts w:hint="default"/>
          <w:lang w:val="en-US"/>
        </w:rPr>
      </w:pPr>
      <w:r>
        <w:fldChar w:fldCharType="begin" w:fldLock="1"/>
      </w:r>
      <w:r>
        <w:instrText xml:space="preserve"> HYPERLINK \l "_Toc_2_2_0000000007" </w:instrText>
      </w:r>
      <w:r>
        <w:fldChar w:fldCharType="separate"/>
      </w:r>
      <w:r>
        <w:rPr>
          <w:rFonts w:hint="eastAsia"/>
          <w:lang w:eastAsia="zh-CN"/>
        </w:rPr>
        <w:t>单位</w:t>
      </w:r>
      <w:r>
        <w:t>预算政府性基金预算财政拨款支出表</w:t>
      </w:r>
      <w:r>
        <w:tab/>
      </w:r>
      <w:r>
        <w:rPr>
          <w:rFonts w:hint="default"/>
          <w:lang w:val="en-US"/>
        </w:rPr>
        <w:t>2</w:t>
      </w:r>
      <w:r>
        <w:fldChar w:fldCharType="end"/>
      </w:r>
      <w:r>
        <w:rPr>
          <w:rFonts w:hint="default"/>
          <w:lang w:val="en-US"/>
        </w:rPr>
        <w:t>1</w:t>
      </w:r>
    </w:p>
    <w:p>
      <w:pPr>
        <w:pStyle w:val="3"/>
        <w:tabs>
          <w:tab w:val="right" w:leader="dot" w:pos="14562"/>
        </w:tabs>
        <w:rPr>
          <w:rFonts w:hint="default"/>
          <w:lang w:val="en-US"/>
        </w:rPr>
      </w:pPr>
      <w:r>
        <w:fldChar w:fldCharType="begin" w:fldLock="1"/>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2</w:t>
      </w:r>
      <w:r>
        <w:fldChar w:fldCharType="end"/>
      </w:r>
      <w:r>
        <w:rPr>
          <w:rFonts w:hint="default"/>
          <w:lang w:val="en-US"/>
        </w:rPr>
        <w:t>2</w:t>
      </w:r>
    </w:p>
    <w:p>
      <w:pPr>
        <w:pStyle w:val="3"/>
        <w:tabs>
          <w:tab w:val="right" w:leader="dot" w:pos="14562"/>
        </w:tabs>
        <w:rPr>
          <w:rFonts w:hint="default"/>
          <w:lang w:val="en-US"/>
        </w:rPr>
      </w:pPr>
      <w:r>
        <w:fldChar w:fldCharType="begin" w:fldLock="1"/>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2</w:t>
      </w:r>
      <w:r>
        <w:fldChar w:fldCharType="end"/>
      </w:r>
      <w:r>
        <w:rPr>
          <w:rFonts w:hint="default"/>
          <w:lang w:val="en-US"/>
        </w:rPr>
        <w:t>3</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w:t>
      </w:r>
      <w:bookmarkStart w:id="0" w:name="_GoBack"/>
      <w:bookmarkEnd w:id="0"/>
      <w:r>
        <w:rPr>
          <w:rFonts w:ascii="方正楷体_GBK" w:hAnsi="方正楷体_GBK" w:eastAsia="方正楷体_GBK" w:cs="方正楷体_GBK"/>
          <w:b/>
          <w:color w:val="000000"/>
          <w:sz w:val="28"/>
        </w:rPr>
        <w:t>开情况说明</w:t>
      </w:r>
    </w:p>
    <w:p>
      <w:pPr>
        <w:pStyle w:val="3"/>
        <w:tabs>
          <w:tab w:val="right" w:leader="dot" w:pos="14562"/>
        </w:tabs>
        <w:rPr>
          <w:rFonts w:hint="default"/>
          <w:lang w:val="en-US"/>
        </w:rPr>
      </w:pPr>
      <w:r>
        <w:fldChar w:fldCharType="begin" w:fldLock="1"/>
      </w:r>
      <w:r>
        <w:instrText xml:space="preserve">TOC \o "3-3" \h \z \u</w:instrText>
      </w:r>
      <w:r>
        <w:fldChar w:fldCharType="separate"/>
      </w:r>
      <w:r>
        <w:fldChar w:fldCharType="begin" w:fldLock="1"/>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2</w:t>
      </w:r>
      <w:r>
        <w:fldChar w:fldCharType="end"/>
      </w:r>
      <w:r>
        <w:rPr>
          <w:rFonts w:hint="default"/>
          <w:lang w:val="en-US"/>
        </w:rPr>
        <w:t>5</w:t>
      </w:r>
    </w:p>
    <w:p>
      <w:pPr>
        <w:pStyle w:val="3"/>
        <w:tabs>
          <w:tab w:val="right" w:leader="dot" w:pos="14562"/>
        </w:tabs>
        <w:rPr>
          <w:rFonts w:hint="default"/>
          <w:lang w:val="en-US"/>
        </w:rPr>
      </w:pPr>
      <w:r>
        <w:fldChar w:fldCharType="begin" w:fldLock="1"/>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2</w:t>
      </w:r>
      <w:r>
        <w:fldChar w:fldCharType="end"/>
      </w:r>
      <w:r>
        <w:rPr>
          <w:rFonts w:hint="default"/>
          <w:lang w:val="en-US"/>
        </w:rPr>
        <w:t>6</w:t>
      </w:r>
    </w:p>
    <w:p>
      <w:pPr>
        <w:pStyle w:val="3"/>
        <w:tabs>
          <w:tab w:val="right" w:leader="dot" w:pos="14562"/>
        </w:tabs>
        <w:rPr>
          <w:rFonts w:hint="default"/>
          <w:lang w:val="en-US"/>
        </w:rPr>
      </w:pPr>
      <w:r>
        <w:fldChar w:fldCharType="begin" w:fldLock="1"/>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6</w:t>
      </w:r>
    </w:p>
    <w:p>
      <w:pPr>
        <w:pStyle w:val="3"/>
        <w:tabs>
          <w:tab w:val="right" w:leader="dot" w:pos="14562"/>
        </w:tabs>
        <w:rPr>
          <w:rFonts w:hint="default"/>
          <w:lang w:val="en-US"/>
        </w:rPr>
      </w:pPr>
      <w:r>
        <w:fldChar w:fldCharType="begin" w:fldLock="1"/>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7</w:t>
      </w:r>
    </w:p>
    <w:p>
      <w:pPr>
        <w:pStyle w:val="3"/>
        <w:tabs>
          <w:tab w:val="right" w:leader="dot" w:pos="14562"/>
        </w:tabs>
        <w:rPr>
          <w:rFonts w:hint="default"/>
          <w:lang w:val="en-US"/>
        </w:rPr>
      </w:pPr>
      <w:r>
        <w:fldChar w:fldCharType="begin" w:fldLock="1"/>
      </w:r>
      <w:r>
        <w:instrText xml:space="preserve"> HYPERLINK \l "_Toc_3_3_0000000016" </w:instrText>
      </w:r>
      <w:r>
        <w:fldChar w:fldCharType="separate"/>
      </w:r>
      <w:r>
        <w:rPr>
          <w:rFonts w:hint="eastAsia"/>
          <w:lang w:val="en-US" w:eastAsia="zh-CN"/>
        </w:rPr>
        <w:t>五</w:t>
      </w:r>
      <w:r>
        <w:t>、</w:t>
      </w:r>
      <w:r>
        <w:rPr>
          <w:rFonts w:hint="eastAsia"/>
          <w:lang w:eastAsia="zh-CN"/>
        </w:rPr>
        <w:t>单位</w:t>
      </w:r>
      <w:r>
        <w:t>项目预算安排情况及绩效目标</w:t>
      </w:r>
      <w:r>
        <w:tab/>
      </w:r>
      <w:r>
        <w:rPr>
          <w:rFonts w:hint="default"/>
          <w:lang w:val="en-US"/>
        </w:rPr>
        <w:t>2</w:t>
      </w:r>
      <w:r>
        <w:fldChar w:fldCharType="end"/>
      </w:r>
      <w:r>
        <w:rPr>
          <w:rFonts w:hint="default"/>
          <w:lang w:val="en-US"/>
        </w:rPr>
        <w:t>7</w:t>
      </w:r>
    </w:p>
    <w:p>
      <w:pPr>
        <w:pStyle w:val="3"/>
        <w:tabs>
          <w:tab w:val="right" w:leader="dot" w:pos="14562"/>
        </w:tabs>
        <w:rPr>
          <w:rFonts w:hint="default"/>
          <w:lang w:val="en-US"/>
        </w:rPr>
      </w:pPr>
      <w:r>
        <w:fldChar w:fldCharType="begin" w:fldLock="1"/>
      </w:r>
      <w:r>
        <w:instrText xml:space="preserve"> HYPERLINK \l "_Toc_3_3_0000000017" </w:instrText>
      </w:r>
      <w:r>
        <w:fldChar w:fldCharType="separate"/>
      </w:r>
      <w:r>
        <w:rPr>
          <w:rFonts w:hint="eastAsia"/>
          <w:lang w:val="en-US" w:eastAsia="zh-CN"/>
        </w:rPr>
        <w:t>六</w:t>
      </w:r>
      <w:r>
        <w:t>、政府采购预算情况</w:t>
      </w:r>
      <w:r>
        <w:tab/>
      </w:r>
      <w:r>
        <w:rPr>
          <w:rFonts w:hint="default"/>
          <w:lang w:val="en-US"/>
        </w:rPr>
        <w:t>4</w:t>
      </w:r>
      <w:r>
        <w:fldChar w:fldCharType="end"/>
      </w:r>
      <w:r>
        <w:rPr>
          <w:rFonts w:hint="default"/>
          <w:lang w:val="en-US"/>
        </w:rPr>
        <w:t>2</w:t>
      </w:r>
    </w:p>
    <w:p>
      <w:pPr>
        <w:pStyle w:val="3"/>
        <w:tabs>
          <w:tab w:val="right" w:leader="dot" w:pos="14562"/>
        </w:tabs>
        <w:rPr>
          <w:rFonts w:hint="default"/>
          <w:lang w:val="en-US"/>
        </w:rPr>
      </w:pPr>
      <w:r>
        <w:fldChar w:fldCharType="begin" w:fldLock="1"/>
      </w:r>
      <w:r>
        <w:instrText xml:space="preserve"> HYPERLINK \l "_Toc_3_3_0000000018" </w:instrText>
      </w:r>
      <w:r>
        <w:fldChar w:fldCharType="separate"/>
      </w:r>
      <w:r>
        <w:rPr>
          <w:rFonts w:hint="eastAsia"/>
          <w:lang w:val="en-US" w:eastAsia="zh-CN"/>
        </w:rPr>
        <w:t>七</w:t>
      </w:r>
      <w:r>
        <w:t>、国有资产信息</w:t>
      </w:r>
      <w:r>
        <w:tab/>
      </w:r>
      <w:r>
        <w:rPr>
          <w:rFonts w:hint="default"/>
          <w:lang w:val="en-US"/>
        </w:rPr>
        <w:t>4</w:t>
      </w:r>
      <w:r>
        <w:fldChar w:fldCharType="end"/>
      </w:r>
      <w:r>
        <w:rPr>
          <w:rFonts w:hint="default"/>
          <w:lang w:val="en-US"/>
        </w:rPr>
        <w:t>4</w:t>
      </w:r>
    </w:p>
    <w:p>
      <w:pPr>
        <w:pStyle w:val="3"/>
        <w:tabs>
          <w:tab w:val="right" w:leader="dot" w:pos="14562"/>
        </w:tabs>
        <w:rPr>
          <w:rFonts w:hint="default"/>
          <w:lang w:val="en-US"/>
        </w:rPr>
      </w:pPr>
      <w:r>
        <w:fldChar w:fldCharType="begin" w:fldLock="1"/>
      </w:r>
      <w:r>
        <w:instrText xml:space="preserve"> HYPERLINK \l "_Toc_3_3_0000000019" </w:instrText>
      </w:r>
      <w:r>
        <w:fldChar w:fldCharType="separate"/>
      </w:r>
      <w:r>
        <w:rPr>
          <w:rFonts w:hint="eastAsia"/>
          <w:lang w:val="en-US" w:eastAsia="zh-CN"/>
        </w:rPr>
        <w:t>八</w:t>
      </w:r>
      <w:r>
        <w:t>、名词解释</w:t>
      </w:r>
      <w:r>
        <w:tab/>
      </w:r>
      <w:r>
        <w:rPr>
          <w:rFonts w:hint="default"/>
          <w:lang w:val="en-US"/>
        </w:rPr>
        <w:t>4</w:t>
      </w:r>
      <w:r>
        <w:fldChar w:fldCharType="end"/>
      </w:r>
      <w:r>
        <w:rPr>
          <w:rFonts w:hint="default"/>
          <w:lang w:val="en-US"/>
        </w:rPr>
        <w:t>5</w:t>
      </w:r>
    </w:p>
    <w:p>
      <w:pPr>
        <w:pStyle w:val="3"/>
        <w:tabs>
          <w:tab w:val="right" w:leader="dot" w:pos="14562"/>
        </w:tabs>
        <w:rPr>
          <w:rFonts w:hint="default"/>
          <w:lang w:val="en-US"/>
        </w:rPr>
      </w:pPr>
      <w:r>
        <w:fldChar w:fldCharType="begin" w:fldLock="1"/>
      </w:r>
      <w:r>
        <w:instrText xml:space="preserve"> HYPERLINK \l "_Toc_3_3_0000000020" </w:instrText>
      </w:r>
      <w:r>
        <w:fldChar w:fldCharType="separate"/>
      </w:r>
      <w:r>
        <w:rPr>
          <w:rFonts w:hint="eastAsia"/>
          <w:lang w:val="en-US" w:eastAsia="zh-CN"/>
        </w:rPr>
        <w:t>九</w:t>
      </w:r>
      <w:r>
        <w:t>、其他需要说明的事项</w:t>
      </w:r>
      <w:r>
        <w:tab/>
      </w:r>
      <w:r>
        <w:rPr>
          <w:rFonts w:hint="default"/>
          <w:lang w:val="en-US"/>
        </w:rPr>
        <w:t>4</w:t>
      </w:r>
      <w:r>
        <w:fldChar w:fldCharType="end"/>
      </w:r>
      <w:r>
        <w:rPr>
          <w:rFonts w:hint="default"/>
          <w:lang w:val="en-US"/>
        </w:rPr>
        <w:t>6</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1127.07</w:t>
            </w:r>
          </w:p>
        </w:tc>
        <w:tc>
          <w:tcPr>
            <w:tcW w:w="4535" w:type="dxa"/>
            <w:vAlign w:val="center"/>
          </w:tcPr>
          <w:p>
            <w:pPr>
              <w:pStyle w:val="13"/>
            </w:pPr>
            <w:r>
              <w:t>一、一般公共服务支出</w:t>
            </w:r>
          </w:p>
        </w:tc>
        <w:tc>
          <w:tcPr>
            <w:tcW w:w="2126" w:type="dxa"/>
            <w:vAlign w:val="center"/>
          </w:tcPr>
          <w:p>
            <w:pPr>
              <w:pStyle w:val="12"/>
            </w:pPr>
            <w:r>
              <w:t>935.11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1127.07</w:t>
            </w:r>
          </w:p>
        </w:tc>
        <w:tc>
          <w:tcPr>
            <w:tcW w:w="4535" w:type="dxa"/>
            <w:vAlign w:val="center"/>
          </w:tcPr>
          <w:p>
            <w:pPr>
              <w:pStyle w:val="15"/>
            </w:pPr>
            <w:r>
              <w:t>本年支出合计</w:t>
            </w:r>
          </w:p>
        </w:tc>
        <w:tc>
          <w:tcPr>
            <w:tcW w:w="2126" w:type="dxa"/>
            <w:vAlign w:val="center"/>
          </w:tcPr>
          <w:p>
            <w:pPr>
              <w:pStyle w:val="16"/>
            </w:pPr>
            <w:r>
              <w:t>1127.07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1127.07</w:t>
            </w:r>
          </w:p>
        </w:tc>
        <w:tc>
          <w:tcPr>
            <w:tcW w:w="4535" w:type="dxa"/>
            <w:vAlign w:val="center"/>
          </w:tcPr>
          <w:p>
            <w:pPr>
              <w:pStyle w:val="15"/>
            </w:pPr>
            <w:r>
              <w:t>支出总计</w:t>
            </w:r>
          </w:p>
        </w:tc>
        <w:tc>
          <w:tcPr>
            <w:tcW w:w="2126" w:type="dxa"/>
            <w:vAlign w:val="center"/>
          </w:tcPr>
          <w:p>
            <w:pPr>
              <w:pStyle w:val="16"/>
            </w:pPr>
            <w:r>
              <w:t>1127.07</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1127.07</w:t>
            </w:r>
          </w:p>
        </w:tc>
        <w:tc>
          <w:tcPr>
            <w:tcW w:w="1134" w:type="dxa"/>
            <w:vAlign w:val="center"/>
          </w:tcPr>
          <w:p>
            <w:pPr>
              <w:pStyle w:val="16"/>
            </w:pPr>
            <w:r>
              <w:t>1127.07</w:t>
            </w:r>
          </w:p>
        </w:tc>
        <w:tc>
          <w:tcPr>
            <w:tcW w:w="1134" w:type="dxa"/>
            <w:vAlign w:val="center"/>
          </w:tcPr>
          <w:p>
            <w:pPr>
              <w:pStyle w:val="16"/>
            </w:pPr>
            <w:r>
              <w:t>1127.07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2010303</w:t>
            </w:r>
          </w:p>
        </w:tc>
        <w:tc>
          <w:tcPr>
            <w:tcW w:w="1559" w:type="dxa"/>
            <w:vAlign w:val="center"/>
          </w:tcPr>
          <w:p>
            <w:pPr>
              <w:pStyle w:val="13"/>
            </w:pPr>
            <w:r>
              <w:t>机关服务</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159.43</w:t>
            </w:r>
          </w:p>
        </w:tc>
        <w:tc>
          <w:tcPr>
            <w:tcW w:w="1134" w:type="dxa"/>
            <w:vAlign w:val="center"/>
          </w:tcPr>
          <w:p>
            <w:pPr>
              <w:pStyle w:val="12"/>
            </w:pPr>
            <w:r>
              <w:t>159.43</w:t>
            </w:r>
          </w:p>
        </w:tc>
        <w:tc>
          <w:tcPr>
            <w:tcW w:w="1134" w:type="dxa"/>
            <w:vAlign w:val="center"/>
          </w:tcPr>
          <w:p>
            <w:pPr>
              <w:pStyle w:val="12"/>
            </w:pPr>
            <w:r>
              <w:t>159.43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159.43</w:t>
            </w:r>
          </w:p>
        </w:tc>
        <w:tc>
          <w:tcPr>
            <w:tcW w:w="1134" w:type="dxa"/>
            <w:vAlign w:val="center"/>
          </w:tcPr>
          <w:p>
            <w:pPr>
              <w:pStyle w:val="12"/>
            </w:pPr>
            <w:r>
              <w:t>159.43</w:t>
            </w:r>
          </w:p>
        </w:tc>
        <w:tc>
          <w:tcPr>
            <w:tcW w:w="1134" w:type="dxa"/>
            <w:vAlign w:val="center"/>
          </w:tcPr>
          <w:p>
            <w:pPr>
              <w:pStyle w:val="12"/>
            </w:pPr>
            <w:r>
              <w:t>159.43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131.37</w:t>
            </w:r>
          </w:p>
        </w:tc>
        <w:tc>
          <w:tcPr>
            <w:tcW w:w="1134" w:type="dxa"/>
            <w:vAlign w:val="center"/>
          </w:tcPr>
          <w:p>
            <w:pPr>
              <w:pStyle w:val="12"/>
            </w:pPr>
            <w:r>
              <w:t>131.37</w:t>
            </w:r>
          </w:p>
        </w:tc>
        <w:tc>
          <w:tcPr>
            <w:tcW w:w="1134" w:type="dxa"/>
            <w:vAlign w:val="center"/>
          </w:tcPr>
          <w:p>
            <w:pPr>
              <w:pStyle w:val="12"/>
            </w:pPr>
            <w:r>
              <w:t>131.37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28.06</w:t>
            </w:r>
          </w:p>
        </w:tc>
        <w:tc>
          <w:tcPr>
            <w:tcW w:w="1134" w:type="dxa"/>
            <w:vAlign w:val="center"/>
          </w:tcPr>
          <w:p>
            <w:pPr>
              <w:pStyle w:val="12"/>
            </w:pPr>
            <w:r>
              <w:t>28.06</w:t>
            </w:r>
          </w:p>
        </w:tc>
        <w:tc>
          <w:tcPr>
            <w:tcW w:w="1134" w:type="dxa"/>
            <w:vAlign w:val="center"/>
          </w:tcPr>
          <w:p>
            <w:pPr>
              <w:pStyle w:val="12"/>
            </w:pPr>
            <w:r>
              <w:t>28.06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footerReference r:id="rId5" w:type="default"/>
          <w:footerReference r:id="rId6"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1127.07</w:t>
            </w:r>
          </w:p>
        </w:tc>
        <w:tc>
          <w:tcPr>
            <w:tcW w:w="1361" w:type="dxa"/>
            <w:vAlign w:val="center"/>
          </w:tcPr>
          <w:p>
            <w:pPr>
              <w:pStyle w:val="16"/>
            </w:pPr>
            <w:r>
              <w:t>547.21</w:t>
            </w:r>
          </w:p>
        </w:tc>
        <w:tc>
          <w:tcPr>
            <w:tcW w:w="1361" w:type="dxa"/>
            <w:vAlign w:val="center"/>
          </w:tcPr>
          <w:p>
            <w:pPr>
              <w:pStyle w:val="16"/>
            </w:pPr>
            <w:r>
              <w:t>579.86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935.11</w:t>
            </w:r>
          </w:p>
        </w:tc>
        <w:tc>
          <w:tcPr>
            <w:tcW w:w="1361" w:type="dxa"/>
            <w:vAlign w:val="center"/>
          </w:tcPr>
          <w:p>
            <w:pPr>
              <w:pStyle w:val="12"/>
            </w:pPr>
            <w:r>
              <w:t>355.25</w:t>
            </w:r>
          </w:p>
        </w:tc>
        <w:tc>
          <w:tcPr>
            <w:tcW w:w="1361" w:type="dxa"/>
            <w:vAlign w:val="center"/>
          </w:tcPr>
          <w:p>
            <w:pPr>
              <w:pStyle w:val="12"/>
            </w:pPr>
            <w:r>
              <w:t>579.86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935.11</w:t>
            </w:r>
          </w:p>
        </w:tc>
        <w:tc>
          <w:tcPr>
            <w:tcW w:w="1361" w:type="dxa"/>
            <w:vAlign w:val="center"/>
          </w:tcPr>
          <w:p>
            <w:pPr>
              <w:pStyle w:val="12"/>
            </w:pPr>
            <w:r>
              <w:t>355.25</w:t>
            </w:r>
          </w:p>
        </w:tc>
        <w:tc>
          <w:tcPr>
            <w:tcW w:w="1361" w:type="dxa"/>
            <w:vAlign w:val="center"/>
          </w:tcPr>
          <w:p>
            <w:pPr>
              <w:pStyle w:val="12"/>
            </w:pPr>
            <w:r>
              <w:t>579.86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2010303</w:t>
            </w:r>
          </w:p>
        </w:tc>
        <w:tc>
          <w:tcPr>
            <w:tcW w:w="4535" w:type="dxa"/>
            <w:vAlign w:val="center"/>
          </w:tcPr>
          <w:p>
            <w:pPr>
              <w:pStyle w:val="13"/>
            </w:pPr>
            <w:r>
              <w:t>机关服务</w:t>
            </w:r>
          </w:p>
        </w:tc>
        <w:tc>
          <w:tcPr>
            <w:tcW w:w="1361" w:type="dxa"/>
            <w:vAlign w:val="center"/>
          </w:tcPr>
          <w:p>
            <w:pPr>
              <w:pStyle w:val="12"/>
            </w:pPr>
            <w:r>
              <w:t>935.11</w:t>
            </w:r>
          </w:p>
        </w:tc>
        <w:tc>
          <w:tcPr>
            <w:tcW w:w="1361" w:type="dxa"/>
            <w:vAlign w:val="center"/>
          </w:tcPr>
          <w:p>
            <w:pPr>
              <w:pStyle w:val="12"/>
            </w:pPr>
            <w:r>
              <w:t>355.25</w:t>
            </w:r>
          </w:p>
        </w:tc>
        <w:tc>
          <w:tcPr>
            <w:tcW w:w="1361" w:type="dxa"/>
            <w:vAlign w:val="center"/>
          </w:tcPr>
          <w:p>
            <w:pPr>
              <w:pStyle w:val="12"/>
            </w:pPr>
            <w:r>
              <w:t>579.86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159.43</w:t>
            </w:r>
          </w:p>
        </w:tc>
        <w:tc>
          <w:tcPr>
            <w:tcW w:w="1361" w:type="dxa"/>
            <w:vAlign w:val="center"/>
          </w:tcPr>
          <w:p>
            <w:pPr>
              <w:pStyle w:val="12"/>
            </w:pPr>
            <w:r>
              <w:t>159.43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159.43</w:t>
            </w:r>
          </w:p>
        </w:tc>
        <w:tc>
          <w:tcPr>
            <w:tcW w:w="1361" w:type="dxa"/>
            <w:vAlign w:val="center"/>
          </w:tcPr>
          <w:p>
            <w:pPr>
              <w:pStyle w:val="12"/>
            </w:pPr>
            <w:r>
              <w:t>159.43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131.37</w:t>
            </w:r>
          </w:p>
        </w:tc>
        <w:tc>
          <w:tcPr>
            <w:tcW w:w="1361" w:type="dxa"/>
            <w:vAlign w:val="center"/>
          </w:tcPr>
          <w:p>
            <w:pPr>
              <w:pStyle w:val="12"/>
            </w:pPr>
            <w:r>
              <w:t>131.37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28.06</w:t>
            </w:r>
          </w:p>
        </w:tc>
        <w:tc>
          <w:tcPr>
            <w:tcW w:w="1361" w:type="dxa"/>
            <w:vAlign w:val="center"/>
          </w:tcPr>
          <w:p>
            <w:pPr>
              <w:pStyle w:val="12"/>
            </w:pPr>
            <w:r>
              <w:t>28.06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9.45</w:t>
            </w:r>
          </w:p>
        </w:tc>
        <w:tc>
          <w:tcPr>
            <w:tcW w:w="1361" w:type="dxa"/>
            <w:vAlign w:val="center"/>
          </w:tcPr>
          <w:p>
            <w:pPr>
              <w:pStyle w:val="12"/>
            </w:pPr>
            <w:r>
              <w:t>9.45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9.45</w:t>
            </w:r>
          </w:p>
        </w:tc>
        <w:tc>
          <w:tcPr>
            <w:tcW w:w="1361" w:type="dxa"/>
            <w:vAlign w:val="center"/>
          </w:tcPr>
          <w:p>
            <w:pPr>
              <w:pStyle w:val="12"/>
            </w:pPr>
            <w:r>
              <w:t>9.45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9.45</w:t>
            </w:r>
          </w:p>
        </w:tc>
        <w:tc>
          <w:tcPr>
            <w:tcW w:w="1361" w:type="dxa"/>
            <w:vAlign w:val="center"/>
          </w:tcPr>
          <w:p>
            <w:pPr>
              <w:pStyle w:val="12"/>
            </w:pPr>
            <w:r>
              <w:t>9.45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23.07</w:t>
            </w:r>
          </w:p>
        </w:tc>
        <w:tc>
          <w:tcPr>
            <w:tcW w:w="1361" w:type="dxa"/>
            <w:vAlign w:val="center"/>
          </w:tcPr>
          <w:p>
            <w:pPr>
              <w:pStyle w:val="12"/>
            </w:pPr>
            <w:r>
              <w:t>23.07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23.07</w:t>
            </w:r>
          </w:p>
        </w:tc>
        <w:tc>
          <w:tcPr>
            <w:tcW w:w="1361" w:type="dxa"/>
            <w:vAlign w:val="center"/>
          </w:tcPr>
          <w:p>
            <w:pPr>
              <w:pStyle w:val="12"/>
            </w:pPr>
            <w:r>
              <w:t>23.07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23.07</w:t>
            </w:r>
          </w:p>
        </w:tc>
        <w:tc>
          <w:tcPr>
            <w:tcW w:w="1361" w:type="dxa"/>
            <w:vAlign w:val="center"/>
          </w:tcPr>
          <w:p>
            <w:pPr>
              <w:pStyle w:val="12"/>
            </w:pPr>
            <w:r>
              <w:t>23.07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1127.07</w:t>
            </w:r>
          </w:p>
        </w:tc>
        <w:tc>
          <w:tcPr>
            <w:tcW w:w="3402" w:type="dxa"/>
            <w:vAlign w:val="center"/>
          </w:tcPr>
          <w:p>
            <w:pPr>
              <w:pStyle w:val="13"/>
            </w:pPr>
            <w:r>
              <w:t>一、一般公共服务支出</w:t>
            </w:r>
          </w:p>
        </w:tc>
        <w:tc>
          <w:tcPr>
            <w:tcW w:w="1474" w:type="dxa"/>
            <w:vAlign w:val="center"/>
          </w:tcPr>
          <w:p>
            <w:pPr>
              <w:pStyle w:val="12"/>
            </w:pPr>
            <w:r>
              <w:t>935.11</w:t>
            </w:r>
          </w:p>
        </w:tc>
        <w:tc>
          <w:tcPr>
            <w:tcW w:w="1474" w:type="dxa"/>
            <w:vAlign w:val="center"/>
          </w:tcPr>
          <w:p>
            <w:pPr>
              <w:pStyle w:val="12"/>
            </w:pPr>
            <w:r>
              <w:t>935.11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159.43</w:t>
            </w:r>
          </w:p>
        </w:tc>
        <w:tc>
          <w:tcPr>
            <w:tcW w:w="1474" w:type="dxa"/>
            <w:vAlign w:val="center"/>
          </w:tcPr>
          <w:p>
            <w:pPr>
              <w:pStyle w:val="12"/>
            </w:pPr>
            <w:r>
              <w:t>159.43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9.45</w:t>
            </w:r>
          </w:p>
        </w:tc>
        <w:tc>
          <w:tcPr>
            <w:tcW w:w="1474" w:type="dxa"/>
            <w:vAlign w:val="center"/>
          </w:tcPr>
          <w:p>
            <w:pPr>
              <w:pStyle w:val="12"/>
            </w:pPr>
            <w:r>
              <w:t>9.45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23.07</w:t>
            </w:r>
          </w:p>
        </w:tc>
        <w:tc>
          <w:tcPr>
            <w:tcW w:w="1474" w:type="dxa"/>
            <w:vAlign w:val="center"/>
          </w:tcPr>
          <w:p>
            <w:pPr>
              <w:pStyle w:val="12"/>
            </w:pPr>
            <w:r>
              <w:t>23.07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1127.07</w:t>
            </w:r>
          </w:p>
        </w:tc>
        <w:tc>
          <w:tcPr>
            <w:tcW w:w="3402" w:type="dxa"/>
            <w:vAlign w:val="center"/>
          </w:tcPr>
          <w:p>
            <w:pPr>
              <w:pStyle w:val="15"/>
            </w:pPr>
            <w:r>
              <w:t>本年支出合计</w:t>
            </w:r>
          </w:p>
        </w:tc>
        <w:tc>
          <w:tcPr>
            <w:tcW w:w="1474" w:type="dxa"/>
            <w:vAlign w:val="center"/>
          </w:tcPr>
          <w:p>
            <w:pPr>
              <w:pStyle w:val="16"/>
            </w:pPr>
            <w:r>
              <w:t>1127.07</w:t>
            </w:r>
          </w:p>
        </w:tc>
        <w:tc>
          <w:tcPr>
            <w:tcW w:w="1474" w:type="dxa"/>
            <w:vAlign w:val="center"/>
          </w:tcPr>
          <w:p>
            <w:pPr>
              <w:pStyle w:val="16"/>
            </w:pPr>
            <w:r>
              <w:t>1127.07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1127.07</w:t>
            </w:r>
          </w:p>
        </w:tc>
        <w:tc>
          <w:tcPr>
            <w:tcW w:w="3402" w:type="dxa"/>
            <w:vAlign w:val="center"/>
          </w:tcPr>
          <w:p>
            <w:pPr>
              <w:pStyle w:val="15"/>
            </w:pPr>
            <w:r>
              <w:t>支出总计</w:t>
            </w:r>
          </w:p>
        </w:tc>
        <w:tc>
          <w:tcPr>
            <w:tcW w:w="1474" w:type="dxa"/>
            <w:vAlign w:val="center"/>
          </w:tcPr>
          <w:p>
            <w:pPr>
              <w:pStyle w:val="16"/>
            </w:pPr>
            <w:r>
              <w:t>1127.07</w:t>
            </w:r>
          </w:p>
        </w:tc>
        <w:tc>
          <w:tcPr>
            <w:tcW w:w="1474" w:type="dxa"/>
            <w:vAlign w:val="center"/>
          </w:tcPr>
          <w:p>
            <w:pPr>
              <w:pStyle w:val="16"/>
            </w:pPr>
            <w:r>
              <w:t>1127.07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1127.07</w:t>
            </w:r>
          </w:p>
        </w:tc>
        <w:tc>
          <w:tcPr>
            <w:tcW w:w="2551" w:type="dxa"/>
            <w:vAlign w:val="center"/>
          </w:tcPr>
          <w:p>
            <w:pPr>
              <w:pStyle w:val="16"/>
            </w:pPr>
            <w:r>
              <w:t>547.21</w:t>
            </w:r>
          </w:p>
        </w:tc>
        <w:tc>
          <w:tcPr>
            <w:tcW w:w="2551" w:type="dxa"/>
            <w:vAlign w:val="center"/>
          </w:tcPr>
          <w:p>
            <w:pPr>
              <w:pStyle w:val="16"/>
            </w:pPr>
            <w:r>
              <w:t>579.86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935.11</w:t>
            </w:r>
          </w:p>
        </w:tc>
        <w:tc>
          <w:tcPr>
            <w:tcW w:w="2551" w:type="dxa"/>
            <w:vAlign w:val="center"/>
          </w:tcPr>
          <w:p>
            <w:pPr>
              <w:pStyle w:val="12"/>
            </w:pPr>
            <w:r>
              <w:t>355.25</w:t>
            </w:r>
          </w:p>
        </w:tc>
        <w:tc>
          <w:tcPr>
            <w:tcW w:w="2551" w:type="dxa"/>
            <w:vAlign w:val="center"/>
          </w:tcPr>
          <w:p>
            <w:pPr>
              <w:pStyle w:val="12"/>
            </w:pPr>
            <w:r>
              <w:t>579.86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935.11</w:t>
            </w:r>
          </w:p>
        </w:tc>
        <w:tc>
          <w:tcPr>
            <w:tcW w:w="2551" w:type="dxa"/>
            <w:vAlign w:val="center"/>
          </w:tcPr>
          <w:p>
            <w:pPr>
              <w:pStyle w:val="12"/>
            </w:pPr>
            <w:r>
              <w:t>355.25</w:t>
            </w:r>
          </w:p>
        </w:tc>
        <w:tc>
          <w:tcPr>
            <w:tcW w:w="2551" w:type="dxa"/>
            <w:vAlign w:val="center"/>
          </w:tcPr>
          <w:p>
            <w:pPr>
              <w:pStyle w:val="12"/>
            </w:pPr>
            <w:r>
              <w:t>579.86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2010303</w:t>
            </w:r>
          </w:p>
        </w:tc>
        <w:tc>
          <w:tcPr>
            <w:tcW w:w="4535" w:type="dxa"/>
            <w:vAlign w:val="center"/>
          </w:tcPr>
          <w:p>
            <w:pPr>
              <w:pStyle w:val="13"/>
            </w:pPr>
            <w:r>
              <w:t>机关服务</w:t>
            </w:r>
          </w:p>
        </w:tc>
        <w:tc>
          <w:tcPr>
            <w:tcW w:w="2551" w:type="dxa"/>
            <w:vAlign w:val="center"/>
          </w:tcPr>
          <w:p>
            <w:pPr>
              <w:pStyle w:val="12"/>
            </w:pPr>
            <w:r>
              <w:t>935.11</w:t>
            </w:r>
          </w:p>
        </w:tc>
        <w:tc>
          <w:tcPr>
            <w:tcW w:w="2551" w:type="dxa"/>
            <w:vAlign w:val="center"/>
          </w:tcPr>
          <w:p>
            <w:pPr>
              <w:pStyle w:val="12"/>
            </w:pPr>
            <w:r>
              <w:t>355.25</w:t>
            </w:r>
          </w:p>
        </w:tc>
        <w:tc>
          <w:tcPr>
            <w:tcW w:w="2551" w:type="dxa"/>
            <w:vAlign w:val="center"/>
          </w:tcPr>
          <w:p>
            <w:pPr>
              <w:pStyle w:val="12"/>
            </w:pPr>
            <w:r>
              <w:t>579.86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159.43</w:t>
            </w:r>
          </w:p>
        </w:tc>
        <w:tc>
          <w:tcPr>
            <w:tcW w:w="2551" w:type="dxa"/>
            <w:vAlign w:val="center"/>
          </w:tcPr>
          <w:p>
            <w:pPr>
              <w:pStyle w:val="12"/>
            </w:pPr>
            <w:r>
              <w:t>159.43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159.43</w:t>
            </w:r>
          </w:p>
        </w:tc>
        <w:tc>
          <w:tcPr>
            <w:tcW w:w="2551" w:type="dxa"/>
            <w:vAlign w:val="center"/>
          </w:tcPr>
          <w:p>
            <w:pPr>
              <w:pStyle w:val="12"/>
            </w:pPr>
            <w:r>
              <w:t>159.43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131.37</w:t>
            </w:r>
          </w:p>
        </w:tc>
        <w:tc>
          <w:tcPr>
            <w:tcW w:w="2551" w:type="dxa"/>
            <w:vAlign w:val="center"/>
          </w:tcPr>
          <w:p>
            <w:pPr>
              <w:pStyle w:val="12"/>
            </w:pPr>
            <w:r>
              <w:t>131.37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28.06</w:t>
            </w:r>
          </w:p>
        </w:tc>
        <w:tc>
          <w:tcPr>
            <w:tcW w:w="2551" w:type="dxa"/>
            <w:vAlign w:val="center"/>
          </w:tcPr>
          <w:p>
            <w:pPr>
              <w:pStyle w:val="12"/>
            </w:pPr>
            <w:r>
              <w:t>28.06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9.45</w:t>
            </w:r>
          </w:p>
        </w:tc>
        <w:tc>
          <w:tcPr>
            <w:tcW w:w="2551" w:type="dxa"/>
            <w:vAlign w:val="center"/>
          </w:tcPr>
          <w:p>
            <w:pPr>
              <w:pStyle w:val="12"/>
            </w:pPr>
            <w:r>
              <w:t>9.45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9.45</w:t>
            </w:r>
          </w:p>
        </w:tc>
        <w:tc>
          <w:tcPr>
            <w:tcW w:w="2551" w:type="dxa"/>
            <w:vAlign w:val="center"/>
          </w:tcPr>
          <w:p>
            <w:pPr>
              <w:pStyle w:val="12"/>
            </w:pPr>
            <w:r>
              <w:t>9.45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9.45</w:t>
            </w:r>
          </w:p>
        </w:tc>
        <w:tc>
          <w:tcPr>
            <w:tcW w:w="2551" w:type="dxa"/>
            <w:vAlign w:val="center"/>
          </w:tcPr>
          <w:p>
            <w:pPr>
              <w:pStyle w:val="12"/>
            </w:pPr>
            <w:r>
              <w:t>9.45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23.07</w:t>
            </w:r>
          </w:p>
        </w:tc>
        <w:tc>
          <w:tcPr>
            <w:tcW w:w="2551" w:type="dxa"/>
            <w:vAlign w:val="center"/>
          </w:tcPr>
          <w:p>
            <w:pPr>
              <w:pStyle w:val="12"/>
            </w:pPr>
            <w:r>
              <w:t>23.07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23.07</w:t>
            </w:r>
          </w:p>
        </w:tc>
        <w:tc>
          <w:tcPr>
            <w:tcW w:w="2551" w:type="dxa"/>
            <w:vAlign w:val="center"/>
          </w:tcPr>
          <w:p>
            <w:pPr>
              <w:pStyle w:val="12"/>
            </w:pPr>
            <w:r>
              <w:t>23.07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23.07</w:t>
            </w:r>
          </w:p>
        </w:tc>
        <w:tc>
          <w:tcPr>
            <w:tcW w:w="2551" w:type="dxa"/>
            <w:vAlign w:val="center"/>
          </w:tcPr>
          <w:p>
            <w:pPr>
              <w:pStyle w:val="12"/>
            </w:pPr>
            <w:r>
              <w:t>23.07</w:t>
            </w:r>
          </w:p>
        </w:tc>
        <w:tc>
          <w:tcPr>
            <w:tcW w:w="255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w:t>
            </w:r>
            <w:r>
              <w:rPr>
                <w:rFonts w:hint="eastAsia"/>
                <w:lang w:eastAsia="zh-CN"/>
              </w:rPr>
              <w:t>单位</w:t>
            </w:r>
            <w:r>
              <w:t>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547.21</w:t>
            </w:r>
          </w:p>
        </w:tc>
        <w:tc>
          <w:tcPr>
            <w:tcW w:w="2551" w:type="dxa"/>
            <w:vAlign w:val="center"/>
          </w:tcPr>
          <w:p>
            <w:pPr>
              <w:pStyle w:val="16"/>
            </w:pPr>
            <w:r>
              <w:t>421.19</w:t>
            </w:r>
          </w:p>
        </w:tc>
        <w:tc>
          <w:tcPr>
            <w:tcW w:w="2551" w:type="dxa"/>
            <w:vAlign w:val="center"/>
          </w:tcPr>
          <w:p>
            <w:pPr>
              <w:pStyle w:val="16"/>
            </w:pPr>
            <w:r>
              <w:t>126.02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288.33</w:t>
            </w:r>
          </w:p>
        </w:tc>
        <w:tc>
          <w:tcPr>
            <w:tcW w:w="2551" w:type="dxa"/>
            <w:vAlign w:val="center"/>
          </w:tcPr>
          <w:p>
            <w:pPr>
              <w:pStyle w:val="12"/>
            </w:pPr>
            <w:r>
              <w:t>288.33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78.78</w:t>
            </w:r>
          </w:p>
        </w:tc>
        <w:tc>
          <w:tcPr>
            <w:tcW w:w="2551" w:type="dxa"/>
            <w:vAlign w:val="center"/>
          </w:tcPr>
          <w:p>
            <w:pPr>
              <w:pStyle w:val="12"/>
            </w:pPr>
            <w:r>
              <w:t>78.78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15.89</w:t>
            </w:r>
          </w:p>
        </w:tc>
        <w:tc>
          <w:tcPr>
            <w:tcW w:w="2551" w:type="dxa"/>
            <w:vAlign w:val="center"/>
          </w:tcPr>
          <w:p>
            <w:pPr>
              <w:pStyle w:val="12"/>
            </w:pPr>
            <w:r>
              <w:t>15.89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113.42</w:t>
            </w:r>
          </w:p>
        </w:tc>
        <w:tc>
          <w:tcPr>
            <w:tcW w:w="2551" w:type="dxa"/>
            <w:vAlign w:val="center"/>
          </w:tcPr>
          <w:p>
            <w:pPr>
              <w:pStyle w:val="12"/>
            </w:pPr>
            <w:r>
              <w:t>113.42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28.06</w:t>
            </w:r>
          </w:p>
        </w:tc>
        <w:tc>
          <w:tcPr>
            <w:tcW w:w="2551" w:type="dxa"/>
            <w:vAlign w:val="center"/>
          </w:tcPr>
          <w:p>
            <w:pPr>
              <w:pStyle w:val="12"/>
            </w:pPr>
            <w:r>
              <w:t>28.06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9.45</w:t>
            </w:r>
          </w:p>
        </w:tc>
        <w:tc>
          <w:tcPr>
            <w:tcW w:w="2551" w:type="dxa"/>
            <w:vAlign w:val="center"/>
          </w:tcPr>
          <w:p>
            <w:pPr>
              <w:pStyle w:val="12"/>
            </w:pPr>
            <w:r>
              <w:t>9.45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1.69</w:t>
            </w:r>
          </w:p>
        </w:tc>
        <w:tc>
          <w:tcPr>
            <w:tcW w:w="2551" w:type="dxa"/>
            <w:vAlign w:val="center"/>
          </w:tcPr>
          <w:p>
            <w:pPr>
              <w:pStyle w:val="12"/>
            </w:pPr>
            <w:r>
              <w:t>1.69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23.07</w:t>
            </w:r>
          </w:p>
        </w:tc>
        <w:tc>
          <w:tcPr>
            <w:tcW w:w="2551" w:type="dxa"/>
            <w:vAlign w:val="center"/>
          </w:tcPr>
          <w:p>
            <w:pPr>
              <w:pStyle w:val="12"/>
            </w:pPr>
            <w:r>
              <w:t>23.07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17.97</w:t>
            </w:r>
          </w:p>
        </w:tc>
        <w:tc>
          <w:tcPr>
            <w:tcW w:w="2551" w:type="dxa"/>
            <w:vAlign w:val="center"/>
          </w:tcPr>
          <w:p>
            <w:pPr>
              <w:pStyle w:val="12"/>
            </w:pPr>
            <w:r>
              <w:t>17.97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124.82</w:t>
            </w:r>
          </w:p>
        </w:tc>
        <w:tc>
          <w:tcPr>
            <w:tcW w:w="2551" w:type="dxa"/>
            <w:vAlign w:val="center"/>
          </w:tcPr>
          <w:p>
            <w:pPr>
              <w:pStyle w:val="12"/>
            </w:pPr>
          </w:p>
        </w:tc>
        <w:tc>
          <w:tcPr>
            <w:tcW w:w="2551" w:type="dxa"/>
            <w:vAlign w:val="center"/>
          </w:tcPr>
          <w:p>
            <w:pPr>
              <w:pStyle w:val="12"/>
            </w:pPr>
            <w:r>
              <w:t>124.82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3.93</w:t>
            </w:r>
          </w:p>
        </w:tc>
        <w:tc>
          <w:tcPr>
            <w:tcW w:w="2551" w:type="dxa"/>
            <w:vAlign w:val="center"/>
          </w:tcPr>
          <w:p>
            <w:pPr>
              <w:pStyle w:val="12"/>
            </w:pPr>
          </w:p>
        </w:tc>
        <w:tc>
          <w:tcPr>
            <w:tcW w:w="2551" w:type="dxa"/>
            <w:vAlign w:val="center"/>
          </w:tcPr>
          <w:p>
            <w:pPr>
              <w:pStyle w:val="12"/>
            </w:pPr>
            <w: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1.01</w:t>
            </w:r>
          </w:p>
        </w:tc>
        <w:tc>
          <w:tcPr>
            <w:tcW w:w="2551" w:type="dxa"/>
            <w:vAlign w:val="center"/>
          </w:tcPr>
          <w:p>
            <w:pPr>
              <w:pStyle w:val="12"/>
            </w:pPr>
          </w:p>
        </w:tc>
        <w:tc>
          <w:tcPr>
            <w:tcW w:w="2551" w:type="dxa"/>
            <w:vAlign w:val="center"/>
          </w:tcPr>
          <w:p>
            <w:pPr>
              <w:pStyle w:val="12"/>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110.80</w:t>
            </w:r>
          </w:p>
        </w:tc>
        <w:tc>
          <w:tcPr>
            <w:tcW w:w="2551" w:type="dxa"/>
            <w:vAlign w:val="center"/>
          </w:tcPr>
          <w:p>
            <w:pPr>
              <w:pStyle w:val="12"/>
            </w:pPr>
          </w:p>
        </w:tc>
        <w:tc>
          <w:tcPr>
            <w:tcW w:w="2551" w:type="dxa"/>
            <w:vAlign w:val="center"/>
          </w:tcPr>
          <w:p>
            <w:pPr>
              <w:pStyle w:val="12"/>
            </w:pPr>
            <w:r>
              <w:t>110.80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2.81</w:t>
            </w:r>
          </w:p>
        </w:tc>
        <w:tc>
          <w:tcPr>
            <w:tcW w:w="2551" w:type="dxa"/>
            <w:vAlign w:val="center"/>
          </w:tcPr>
          <w:p>
            <w:pPr>
              <w:pStyle w:val="12"/>
            </w:pPr>
          </w:p>
        </w:tc>
        <w:tc>
          <w:tcPr>
            <w:tcW w:w="2551" w:type="dxa"/>
            <w:vAlign w:val="center"/>
          </w:tcPr>
          <w:p>
            <w:pPr>
              <w:pStyle w:val="12"/>
            </w:pPr>
            <w: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3.01</w:t>
            </w:r>
          </w:p>
        </w:tc>
        <w:tc>
          <w:tcPr>
            <w:tcW w:w="2551" w:type="dxa"/>
            <w:vAlign w:val="center"/>
          </w:tcPr>
          <w:p>
            <w:pPr>
              <w:pStyle w:val="12"/>
            </w:pPr>
          </w:p>
        </w:tc>
        <w:tc>
          <w:tcPr>
            <w:tcW w:w="2551" w:type="dxa"/>
            <w:vAlign w:val="center"/>
          </w:tcPr>
          <w:p>
            <w:pPr>
              <w:pStyle w:val="12"/>
            </w:pPr>
            <w:r>
              <w:t>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0.82</w:t>
            </w:r>
          </w:p>
        </w:tc>
        <w:tc>
          <w:tcPr>
            <w:tcW w:w="2551" w:type="dxa"/>
            <w:vAlign w:val="center"/>
          </w:tcPr>
          <w:p>
            <w:pPr>
              <w:pStyle w:val="12"/>
            </w:pPr>
          </w:p>
        </w:tc>
        <w:tc>
          <w:tcPr>
            <w:tcW w:w="2551" w:type="dxa"/>
            <w:vAlign w:val="center"/>
          </w:tcPr>
          <w:p>
            <w:pPr>
              <w:pStyle w:val="12"/>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132.86</w:t>
            </w:r>
          </w:p>
        </w:tc>
        <w:tc>
          <w:tcPr>
            <w:tcW w:w="2551" w:type="dxa"/>
            <w:vAlign w:val="center"/>
          </w:tcPr>
          <w:p>
            <w:pPr>
              <w:pStyle w:val="12"/>
            </w:pPr>
            <w:r>
              <w:t>132.86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130.65</w:t>
            </w:r>
          </w:p>
        </w:tc>
        <w:tc>
          <w:tcPr>
            <w:tcW w:w="2551" w:type="dxa"/>
            <w:vAlign w:val="center"/>
          </w:tcPr>
          <w:p>
            <w:pPr>
              <w:pStyle w:val="12"/>
            </w:pPr>
            <w:r>
              <w:t>130.65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2.18</w:t>
            </w:r>
          </w:p>
        </w:tc>
        <w:tc>
          <w:tcPr>
            <w:tcW w:w="2551" w:type="dxa"/>
            <w:vAlign w:val="center"/>
          </w:tcPr>
          <w:p>
            <w:pPr>
              <w:pStyle w:val="12"/>
            </w:pPr>
            <w:r>
              <w:t>2.18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0.03</w:t>
            </w:r>
          </w:p>
        </w:tc>
        <w:tc>
          <w:tcPr>
            <w:tcW w:w="2551" w:type="dxa"/>
            <w:vAlign w:val="center"/>
          </w:tcPr>
          <w:p>
            <w:pPr>
              <w:pStyle w:val="12"/>
            </w:pPr>
            <w:r>
              <w:t>0.03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2.43</w:t>
            </w:r>
          </w:p>
        </w:tc>
        <w:tc>
          <w:tcPr>
            <w:tcW w:w="2381" w:type="dxa"/>
            <w:vAlign w:val="center"/>
          </w:tcPr>
          <w:p>
            <w:pPr>
              <w:pStyle w:val="16"/>
            </w:pPr>
            <w:r>
              <w:t>2.43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保定市徐水区机关服务中心本级2024年单位预算信息公开情况说明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按照《中华人民共和国预算法》、《地方预决算公开操作规程》和《关于进一步推进预算公开工作的实施意见》规定，现将保定市徐水区机关服务中心本级2024年单位预算公开如下：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8"/>
      </w:pPr>
      <w:r>
        <w:t>根据《保定市徐水区机关服务中心职能配置、内设机构和人员编制规定》，保定市徐水区机关服务中心的主要职责是：</w:t>
      </w:r>
    </w:p>
    <w:p>
      <w:pPr>
        <w:pStyle w:val="18"/>
      </w:pPr>
      <w:r>
        <w:t>根据中共徐水区委、徐水区人民政府《关于县直机关机构改革实施方案》（徐发[2002]26号），现将保定市徐水区机关服务中心概况说明如下：</w:t>
      </w:r>
    </w:p>
    <w:p>
      <w:pPr>
        <w:pStyle w:val="18"/>
      </w:pPr>
      <w:r>
        <w:t>（一）负责区委、区政府、人大、政协等机关和归属政府所有权的房产及设施的登记、分配、维修、改造和建设任务。</w:t>
      </w:r>
    </w:p>
    <w:p>
      <w:pPr>
        <w:pStyle w:val="18"/>
      </w:pPr>
      <w:r>
        <w:t>（二）负责区委、区政府、人大、政协等机关大院和科委、科协、信访局等单位的冬季取暖及所属锅炉和设备的保养、维修和使用。</w:t>
      </w:r>
    </w:p>
    <w:p>
      <w:pPr>
        <w:pStyle w:val="18"/>
      </w:pPr>
      <w:r>
        <w:t>（三）负责区委、区政府、人大、政协机关大院的干部、职工就餐和开水供应。</w:t>
      </w:r>
    </w:p>
    <w:p>
      <w:pPr>
        <w:pStyle w:val="18"/>
      </w:pPr>
      <w:r>
        <w:t>（四）负责区委、区政府、人大、政协等机关的安全保卫、环境卫生、绿化、美化和形象建设。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保定市徐水区机关服务中心本级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pPr>
      <w:r>
        <w:t>一、收入说明</w:t>
      </w:r>
    </w:p>
    <w:p>
      <w:pPr>
        <w:pStyle w:val="19"/>
      </w:pPr>
      <w:r>
        <w:t>反应本单位当年全部收入。2024年预算收入1127.07万元，其中：一般公共预算收入1127.07万元，基金预算收入0万元，国有资本经营预算收入0万元，财政专户核拨收入0万元，单位资金收入0万元，上年结转结余0万元。</w:t>
      </w:r>
    </w:p>
    <w:p>
      <w:pPr>
        <w:pStyle w:val="19"/>
      </w:pPr>
      <w:r>
        <w:t>二、支出说明</w:t>
      </w:r>
    </w:p>
    <w:p>
      <w:pPr>
        <w:pStyle w:val="19"/>
      </w:pPr>
      <w:r>
        <w:t>收支预算总表支出栏、基本支出表、项目支出表按经济分类和支出功能分类科目编制，反映保定市徐水区机关服务中心年度单位预算的总体情况。2024年支出预算1127.07万元，其中基本支出547.21万元，包括人员经费421.19万元和日常公用经费126.02万元，项目支出579.86万元，主要为保安服务费、保洁费、政府机关电费、政府机关水费及净水设备租赁费、零星维修费等。</w:t>
      </w:r>
    </w:p>
    <w:p>
      <w:pPr>
        <w:pStyle w:val="19"/>
      </w:pPr>
      <w:r>
        <w:t>三、比上年增减情况</w:t>
      </w:r>
    </w:p>
    <w:p>
      <w:pPr>
        <w:pStyle w:val="19"/>
      </w:pPr>
      <w:r>
        <w:t>本年度预算收支安排1127.07万元，较上年增加10.20万元。其中基本支出减少26.83万元，主要原因是人员经费比上年减少11.04万元，日常公用经费比上年减少15.79万元；项目支出比上年增加37.03万元，原因是根据预算口径北斗定位服务费项目由公用经费改为项目经费、招待所挂靠人员所需财政负担保险费等项目预计支出比上年有所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r>
        <w:t>2024年我单位机关运行经费安排126.02万元，其中办公费5.13万元，邮电费1.01万元，工会经费、福利费5.83万元，公务用车运行维护费2.43万元，其他支出111.62万元。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pPr>
      <w:r>
        <w:t>2024年，我单位财政拨款“三公”经费预算安排2.43万元，其中因公出国（境）费0万元；公务用车购置及运维费2.43万元（其中公务用车购置费为0万元，公务用车运维费2.43万元）；公务接待费0万元。与2023年相比增加0万元。</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1、保安服务费绩效目标表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13062524P00001510157G</w:t>
            </w:r>
          </w:p>
        </w:tc>
        <w:tc>
          <w:tcPr>
            <w:tcW w:w="2835" w:type="dxa"/>
            <w:vAlign w:val="center"/>
          </w:tcPr>
          <w:p>
            <w:pPr>
              <w:pStyle w:val="11"/>
            </w:pPr>
            <w:r>
              <w:t>项目名称</w:t>
            </w:r>
          </w:p>
        </w:tc>
        <w:tc>
          <w:tcPr>
            <w:tcW w:w="6094" w:type="dxa"/>
            <w:gridSpan w:val="3"/>
            <w:vAlign w:val="center"/>
          </w:tcPr>
          <w:p>
            <w:pPr>
              <w:pStyle w:val="13"/>
            </w:pPr>
            <w:r>
              <w:t>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57.90</w:t>
            </w:r>
          </w:p>
        </w:tc>
        <w:tc>
          <w:tcPr>
            <w:tcW w:w="2835" w:type="dxa"/>
            <w:vAlign w:val="center"/>
          </w:tcPr>
          <w:p>
            <w:pPr>
              <w:pStyle w:val="11"/>
            </w:pPr>
            <w:r>
              <w:t>其中：财政    资金</w:t>
            </w:r>
          </w:p>
        </w:tc>
        <w:tc>
          <w:tcPr>
            <w:tcW w:w="2551" w:type="dxa"/>
            <w:vAlign w:val="center"/>
          </w:tcPr>
          <w:p>
            <w:pPr>
              <w:pStyle w:val="13"/>
            </w:pPr>
            <w:r>
              <w:t>57.90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此项目是根据</w:t>
            </w:r>
            <w:r>
              <w:rPr>
                <w:rFonts w:hint="eastAsia"/>
                <w:lang w:eastAsia="zh-CN"/>
              </w:rPr>
              <w:t>单位</w:t>
            </w:r>
            <w:r>
              <w:t>职责、政府批示、保安服务费合同安排的经费。我单位负责区委、区政府、人大、政协等机关的安全保卫工作。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1.通过聘用专业保安公司，保证政府机关大院安全的办公环境，加强机关大院安保工作。 </w:t>
            </w:r>
          </w:p>
          <w:p>
            <w:pPr>
              <w:pStyle w:val="13"/>
            </w:pPr>
            <w:r>
              <w:t>2.聘用专业保安人员21人，保障办公场所安全，办公人员满意度达到90%以上。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保安人数</w:t>
            </w:r>
          </w:p>
        </w:tc>
        <w:tc>
          <w:tcPr>
            <w:tcW w:w="5386" w:type="dxa"/>
            <w:vAlign w:val="center"/>
          </w:tcPr>
          <w:p>
            <w:pPr>
              <w:pStyle w:val="13"/>
            </w:pPr>
            <w:r>
              <w:t>反映聘用保安人数的情况</w:t>
            </w:r>
          </w:p>
        </w:tc>
        <w:tc>
          <w:tcPr>
            <w:tcW w:w="2268" w:type="dxa"/>
            <w:vAlign w:val="center"/>
          </w:tcPr>
          <w:p>
            <w:pPr>
              <w:pStyle w:val="13"/>
            </w:pPr>
            <w:r>
              <w:t>21人</w:t>
            </w:r>
          </w:p>
        </w:tc>
        <w:tc>
          <w:tcPr>
            <w:tcW w:w="1276" w:type="dxa"/>
            <w:vAlign w:val="center"/>
          </w:tcPr>
          <w:p>
            <w:pPr>
              <w:pStyle w:val="13"/>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人员出勤率</w:t>
            </w:r>
          </w:p>
        </w:tc>
        <w:tc>
          <w:tcPr>
            <w:tcW w:w="5386" w:type="dxa"/>
            <w:vAlign w:val="center"/>
          </w:tcPr>
          <w:p>
            <w:pPr>
              <w:pStyle w:val="13"/>
            </w:pPr>
            <w:r>
              <w:t>反映保安出勤到位情况</w:t>
            </w:r>
          </w:p>
        </w:tc>
        <w:tc>
          <w:tcPr>
            <w:tcW w:w="2268" w:type="dxa"/>
            <w:vAlign w:val="center"/>
          </w:tcPr>
          <w:p>
            <w:pPr>
              <w:pStyle w:val="13"/>
            </w:pPr>
            <w:r>
              <w:t>≥95%</w:t>
            </w:r>
          </w:p>
        </w:tc>
        <w:tc>
          <w:tcPr>
            <w:tcW w:w="1276" w:type="dxa"/>
            <w:vAlign w:val="center"/>
          </w:tcPr>
          <w:p>
            <w:pPr>
              <w:pStyle w:val="13"/>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办公场所安全达标率</w:t>
            </w:r>
          </w:p>
        </w:tc>
        <w:tc>
          <w:tcPr>
            <w:tcW w:w="5386" w:type="dxa"/>
            <w:vAlign w:val="center"/>
          </w:tcPr>
          <w:p>
            <w:pPr>
              <w:pStyle w:val="13"/>
            </w:pPr>
            <w:r>
              <w:t>反映办公场所安全达标情况</w:t>
            </w:r>
          </w:p>
        </w:tc>
        <w:tc>
          <w:tcPr>
            <w:tcW w:w="2268" w:type="dxa"/>
            <w:vAlign w:val="center"/>
          </w:tcPr>
          <w:p>
            <w:pPr>
              <w:pStyle w:val="13"/>
            </w:pPr>
            <w:r>
              <w:t>≥95%</w:t>
            </w:r>
          </w:p>
        </w:tc>
        <w:tc>
          <w:tcPr>
            <w:tcW w:w="1276" w:type="dxa"/>
            <w:vAlign w:val="center"/>
          </w:tcPr>
          <w:p>
            <w:pPr>
              <w:pStyle w:val="13"/>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聘用保安人员劳务费及时支付情况</w:t>
            </w:r>
          </w:p>
        </w:tc>
        <w:tc>
          <w:tcPr>
            <w:tcW w:w="2268" w:type="dxa"/>
            <w:vAlign w:val="center"/>
          </w:tcPr>
          <w:p>
            <w:pPr>
              <w:pStyle w:val="13"/>
            </w:pPr>
            <w:r>
              <w:t>100%</w:t>
            </w:r>
          </w:p>
        </w:tc>
        <w:tc>
          <w:tcPr>
            <w:tcW w:w="1276" w:type="dxa"/>
            <w:vAlign w:val="center"/>
          </w:tcPr>
          <w:p>
            <w:pPr>
              <w:pStyle w:val="13"/>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聘用保安人员劳务费成本发放情况</w:t>
            </w:r>
          </w:p>
        </w:tc>
        <w:tc>
          <w:tcPr>
            <w:tcW w:w="2268" w:type="dxa"/>
            <w:vAlign w:val="center"/>
          </w:tcPr>
          <w:p>
            <w:pPr>
              <w:pStyle w:val="13"/>
            </w:pPr>
            <w:r>
              <w:t>≤57.9万元</w:t>
            </w:r>
          </w:p>
        </w:tc>
        <w:tc>
          <w:tcPr>
            <w:tcW w:w="1276" w:type="dxa"/>
            <w:vAlign w:val="center"/>
          </w:tcPr>
          <w:p>
            <w:pPr>
              <w:pStyle w:val="13"/>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政府机关大院安保质量提升率</w:t>
            </w:r>
          </w:p>
        </w:tc>
        <w:tc>
          <w:tcPr>
            <w:tcW w:w="5386" w:type="dxa"/>
            <w:vAlign w:val="center"/>
          </w:tcPr>
          <w:p>
            <w:pPr>
              <w:pStyle w:val="13"/>
            </w:pPr>
            <w:r>
              <w:t>反映政府大院安保质量提升情况</w:t>
            </w:r>
          </w:p>
        </w:tc>
        <w:tc>
          <w:tcPr>
            <w:tcW w:w="2268" w:type="dxa"/>
            <w:vAlign w:val="center"/>
          </w:tcPr>
          <w:p>
            <w:pPr>
              <w:pStyle w:val="13"/>
            </w:pPr>
            <w:r>
              <w:t>≥10%</w:t>
            </w:r>
          </w:p>
        </w:tc>
        <w:tc>
          <w:tcPr>
            <w:tcW w:w="1276" w:type="dxa"/>
            <w:vAlign w:val="center"/>
          </w:tcPr>
          <w:p>
            <w:pPr>
              <w:pStyle w:val="13"/>
            </w:pPr>
            <w:r>
              <w:t>保安项目实施计划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政府机关工作人员对保安工作的满意度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2、保洁费绩效目标表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13062524P000015101584</w:t>
            </w:r>
          </w:p>
        </w:tc>
        <w:tc>
          <w:tcPr>
            <w:tcW w:w="2835" w:type="dxa"/>
            <w:vAlign w:val="center"/>
          </w:tcPr>
          <w:p>
            <w:pPr>
              <w:pStyle w:val="11"/>
            </w:pPr>
            <w:r>
              <w:t>项目名称</w:t>
            </w:r>
          </w:p>
        </w:tc>
        <w:tc>
          <w:tcPr>
            <w:tcW w:w="6094" w:type="dxa"/>
            <w:gridSpan w:val="3"/>
            <w:vAlign w:val="center"/>
          </w:tcPr>
          <w:p>
            <w:pPr>
              <w:pStyle w:val="13"/>
            </w:pPr>
            <w:r>
              <w:t>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46.87</w:t>
            </w:r>
          </w:p>
        </w:tc>
        <w:tc>
          <w:tcPr>
            <w:tcW w:w="2835" w:type="dxa"/>
            <w:vAlign w:val="center"/>
          </w:tcPr>
          <w:p>
            <w:pPr>
              <w:pStyle w:val="11"/>
            </w:pPr>
            <w:r>
              <w:t>其中：财政    资金</w:t>
            </w:r>
          </w:p>
        </w:tc>
        <w:tc>
          <w:tcPr>
            <w:tcW w:w="2551" w:type="dxa"/>
            <w:vAlign w:val="center"/>
          </w:tcPr>
          <w:p>
            <w:pPr>
              <w:pStyle w:val="13"/>
            </w:pPr>
            <w:r>
              <w:t>46.87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我单位负责区委、区政府、人大、政协等机关的环境卫生、美化工作，一直是采取政府采购服务的形式向社会进行公开招投标。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1.通过聘用专业保洁公司，保证政府机关大院整洁的办公环境。</w:t>
            </w:r>
          </w:p>
          <w:p>
            <w:pPr>
              <w:pStyle w:val="13"/>
            </w:pPr>
            <w:r>
              <w:t>2.聘用专业保洁人员17人，垃圾车2辆。保障办公场所整洁，办公人员满意度达到90%以上。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保洁人数</w:t>
            </w:r>
          </w:p>
        </w:tc>
        <w:tc>
          <w:tcPr>
            <w:tcW w:w="5386" w:type="dxa"/>
            <w:vAlign w:val="center"/>
          </w:tcPr>
          <w:p>
            <w:pPr>
              <w:pStyle w:val="13"/>
            </w:pPr>
            <w:r>
              <w:t>反映聘用保洁人数的情况</w:t>
            </w:r>
          </w:p>
        </w:tc>
        <w:tc>
          <w:tcPr>
            <w:tcW w:w="2268" w:type="dxa"/>
            <w:vAlign w:val="center"/>
          </w:tcPr>
          <w:p>
            <w:pPr>
              <w:pStyle w:val="13"/>
            </w:pPr>
            <w:r>
              <w:t>17人</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人员出勤率</w:t>
            </w:r>
          </w:p>
        </w:tc>
        <w:tc>
          <w:tcPr>
            <w:tcW w:w="5386" w:type="dxa"/>
            <w:vAlign w:val="center"/>
          </w:tcPr>
          <w:p>
            <w:pPr>
              <w:pStyle w:val="13"/>
            </w:pPr>
            <w:r>
              <w:t>反映保洁出勤到位情况</w:t>
            </w:r>
          </w:p>
        </w:tc>
        <w:tc>
          <w:tcPr>
            <w:tcW w:w="2268" w:type="dxa"/>
            <w:vAlign w:val="center"/>
          </w:tcPr>
          <w:p>
            <w:pPr>
              <w:pStyle w:val="13"/>
            </w:pPr>
            <w:r>
              <w:t>≥95%</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办公场所卫生达标率</w:t>
            </w:r>
          </w:p>
        </w:tc>
        <w:tc>
          <w:tcPr>
            <w:tcW w:w="5386" w:type="dxa"/>
            <w:vAlign w:val="center"/>
          </w:tcPr>
          <w:p>
            <w:pPr>
              <w:pStyle w:val="13"/>
            </w:pPr>
            <w:r>
              <w:t>反映办公场所卫生达标情况</w:t>
            </w:r>
          </w:p>
        </w:tc>
        <w:tc>
          <w:tcPr>
            <w:tcW w:w="2268" w:type="dxa"/>
            <w:vAlign w:val="center"/>
          </w:tcPr>
          <w:p>
            <w:pPr>
              <w:pStyle w:val="13"/>
            </w:pPr>
            <w:r>
              <w:t>≥95%</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聘用保洁人员劳务费及时支付情况</w:t>
            </w:r>
          </w:p>
        </w:tc>
        <w:tc>
          <w:tcPr>
            <w:tcW w:w="2268" w:type="dxa"/>
            <w:vAlign w:val="center"/>
          </w:tcPr>
          <w:p>
            <w:pPr>
              <w:pStyle w:val="13"/>
            </w:pPr>
            <w:r>
              <w:t>100%</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聘用保洁人员劳务费成本发放情况</w:t>
            </w:r>
          </w:p>
        </w:tc>
        <w:tc>
          <w:tcPr>
            <w:tcW w:w="2268" w:type="dxa"/>
            <w:vAlign w:val="center"/>
          </w:tcPr>
          <w:p>
            <w:pPr>
              <w:pStyle w:val="13"/>
            </w:pPr>
            <w:r>
              <w:t>≤46.87万元</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政府机关大院保洁质量提升率</w:t>
            </w:r>
          </w:p>
        </w:tc>
        <w:tc>
          <w:tcPr>
            <w:tcW w:w="5386" w:type="dxa"/>
            <w:vAlign w:val="center"/>
          </w:tcPr>
          <w:p>
            <w:pPr>
              <w:pStyle w:val="13"/>
            </w:pPr>
            <w:r>
              <w:t>反映政府大院保洁质量提升情况</w:t>
            </w:r>
          </w:p>
        </w:tc>
        <w:tc>
          <w:tcPr>
            <w:tcW w:w="2268" w:type="dxa"/>
            <w:vAlign w:val="center"/>
          </w:tcPr>
          <w:p>
            <w:pPr>
              <w:pStyle w:val="13"/>
            </w:pPr>
            <w:r>
              <w:t>≥10%</w:t>
            </w:r>
          </w:p>
        </w:tc>
        <w:tc>
          <w:tcPr>
            <w:tcW w:w="1276" w:type="dxa"/>
            <w:vAlign w:val="center"/>
          </w:tcPr>
          <w:p>
            <w:pPr>
              <w:pStyle w:val="13"/>
            </w:pPr>
            <w:r>
              <w:t>保洁项目实施计划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政府机关工作人员对保洁工作的满意度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3、北斗定位服务费绩效目标表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13062524P00001510159P</w:t>
            </w:r>
          </w:p>
        </w:tc>
        <w:tc>
          <w:tcPr>
            <w:tcW w:w="2835" w:type="dxa"/>
            <w:vAlign w:val="center"/>
          </w:tcPr>
          <w:p>
            <w:pPr>
              <w:pStyle w:val="11"/>
            </w:pPr>
            <w:r>
              <w:t>项目名称</w:t>
            </w:r>
          </w:p>
        </w:tc>
        <w:tc>
          <w:tcPr>
            <w:tcW w:w="6094" w:type="dxa"/>
            <w:gridSpan w:val="3"/>
            <w:vAlign w:val="center"/>
          </w:tcPr>
          <w:p>
            <w:pPr>
              <w:pStyle w:val="13"/>
            </w:pPr>
            <w:r>
              <w:t>北斗定位服务费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16.88</w:t>
            </w:r>
          </w:p>
        </w:tc>
        <w:tc>
          <w:tcPr>
            <w:tcW w:w="2835" w:type="dxa"/>
            <w:vAlign w:val="center"/>
          </w:tcPr>
          <w:p>
            <w:pPr>
              <w:pStyle w:val="11"/>
            </w:pPr>
            <w:r>
              <w:t>其中：财政    资金</w:t>
            </w:r>
          </w:p>
        </w:tc>
        <w:tc>
          <w:tcPr>
            <w:tcW w:w="2551" w:type="dxa"/>
            <w:vAlign w:val="center"/>
          </w:tcPr>
          <w:p>
            <w:pPr>
              <w:pStyle w:val="13"/>
            </w:pPr>
            <w:r>
              <w:t>16.88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保定市徐水区公务用车制度改革领导小组办公室设在机关服务中心，我单位负责公务用车改革相关工作。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1.因保定市徐水区公务用车制度改革领导小组办公室设有在机关服务中心，故我单位负责公务用车改革相关工作。</w:t>
            </w:r>
          </w:p>
          <w:p>
            <w:pPr>
              <w:pStyle w:val="13"/>
            </w:pPr>
            <w:r>
              <w:t>2.安装北斗定位车辆共291辆，按照合同支付。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北斗定位安装数量</w:t>
            </w:r>
          </w:p>
        </w:tc>
        <w:tc>
          <w:tcPr>
            <w:tcW w:w="5386" w:type="dxa"/>
            <w:vAlign w:val="center"/>
          </w:tcPr>
          <w:p>
            <w:pPr>
              <w:pStyle w:val="13"/>
            </w:pPr>
            <w:r>
              <w:t>反应安装北斗定位车辆数量情况</w:t>
            </w:r>
          </w:p>
        </w:tc>
        <w:tc>
          <w:tcPr>
            <w:tcW w:w="2268" w:type="dxa"/>
            <w:vAlign w:val="center"/>
          </w:tcPr>
          <w:p>
            <w:pPr>
              <w:pStyle w:val="13"/>
            </w:pPr>
            <w:r>
              <w:t>291辆</w:t>
            </w:r>
          </w:p>
        </w:tc>
        <w:tc>
          <w:tcPr>
            <w:tcW w:w="1276" w:type="dxa"/>
            <w:vAlign w:val="center"/>
          </w:tcPr>
          <w:p>
            <w:pPr>
              <w:pStyle w:val="13"/>
            </w:pPr>
            <w:r>
              <w:t>北斗定位服务费合同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反应安装北斗定位后车辆运行情况</w:t>
            </w:r>
          </w:p>
        </w:tc>
        <w:tc>
          <w:tcPr>
            <w:tcW w:w="2268" w:type="dxa"/>
            <w:vAlign w:val="center"/>
          </w:tcPr>
          <w:p>
            <w:pPr>
              <w:pStyle w:val="13"/>
            </w:pPr>
            <w:r>
              <w:t>≥80%</w:t>
            </w:r>
          </w:p>
        </w:tc>
        <w:tc>
          <w:tcPr>
            <w:tcW w:w="1276" w:type="dxa"/>
            <w:vAlign w:val="center"/>
          </w:tcPr>
          <w:p>
            <w:pPr>
              <w:pStyle w:val="13"/>
            </w:pPr>
            <w:r>
              <w:t>北斗定位服务费合同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北斗定位经费及时支付情况</w:t>
            </w:r>
          </w:p>
        </w:tc>
        <w:tc>
          <w:tcPr>
            <w:tcW w:w="2268" w:type="dxa"/>
            <w:vAlign w:val="center"/>
          </w:tcPr>
          <w:p>
            <w:pPr>
              <w:pStyle w:val="13"/>
            </w:pPr>
            <w:r>
              <w:t>≥80%</w:t>
            </w:r>
          </w:p>
        </w:tc>
        <w:tc>
          <w:tcPr>
            <w:tcW w:w="1276" w:type="dxa"/>
            <w:vAlign w:val="center"/>
          </w:tcPr>
          <w:p>
            <w:pPr>
              <w:pStyle w:val="13"/>
            </w:pPr>
            <w:r>
              <w:t>北斗定位服务费合同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北斗定位经费支付经费情况</w:t>
            </w:r>
          </w:p>
        </w:tc>
        <w:tc>
          <w:tcPr>
            <w:tcW w:w="2268" w:type="dxa"/>
            <w:vAlign w:val="center"/>
          </w:tcPr>
          <w:p>
            <w:pPr>
              <w:pStyle w:val="13"/>
            </w:pPr>
            <w:r>
              <w:t>≤16.88万元</w:t>
            </w:r>
          </w:p>
        </w:tc>
        <w:tc>
          <w:tcPr>
            <w:tcW w:w="1276" w:type="dxa"/>
            <w:vAlign w:val="center"/>
          </w:tcPr>
          <w:p>
            <w:pPr>
              <w:pStyle w:val="13"/>
            </w:pPr>
            <w:r>
              <w:t>北斗定位服务费合同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参与公务用车安装北斗定位完成率</w:t>
            </w:r>
          </w:p>
        </w:tc>
        <w:tc>
          <w:tcPr>
            <w:tcW w:w="5386" w:type="dxa"/>
            <w:vAlign w:val="center"/>
          </w:tcPr>
          <w:p>
            <w:pPr>
              <w:pStyle w:val="13"/>
            </w:pPr>
            <w:r>
              <w:t>参与公务用车安装北斗完成情况</w:t>
            </w:r>
          </w:p>
        </w:tc>
        <w:tc>
          <w:tcPr>
            <w:tcW w:w="2268" w:type="dxa"/>
            <w:vAlign w:val="center"/>
          </w:tcPr>
          <w:p>
            <w:pPr>
              <w:pStyle w:val="13"/>
            </w:pPr>
            <w:r>
              <w:t>≥80%</w:t>
            </w:r>
          </w:p>
        </w:tc>
        <w:tc>
          <w:tcPr>
            <w:tcW w:w="1276" w:type="dxa"/>
            <w:vAlign w:val="center"/>
          </w:tcPr>
          <w:p>
            <w:pPr>
              <w:pStyle w:val="13"/>
            </w:pPr>
            <w:r>
              <w:t>北斗定位服务费合同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参与安装北斗定位单位满意情况</w:t>
            </w:r>
          </w:p>
        </w:tc>
        <w:tc>
          <w:tcPr>
            <w:tcW w:w="5386" w:type="dxa"/>
            <w:vAlign w:val="center"/>
          </w:tcPr>
          <w:p>
            <w:pPr>
              <w:pStyle w:val="13"/>
            </w:pPr>
            <w:r>
              <w:t>参与公车改革单位满意情况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4、车改办经费绩效目标表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13062524P000015101603</w:t>
            </w:r>
          </w:p>
        </w:tc>
        <w:tc>
          <w:tcPr>
            <w:tcW w:w="2835" w:type="dxa"/>
            <w:vAlign w:val="center"/>
          </w:tcPr>
          <w:p>
            <w:pPr>
              <w:pStyle w:val="11"/>
            </w:pPr>
            <w:r>
              <w:t>项目名称</w:t>
            </w:r>
          </w:p>
        </w:tc>
        <w:tc>
          <w:tcPr>
            <w:tcW w:w="6094" w:type="dxa"/>
            <w:gridSpan w:val="3"/>
            <w:vAlign w:val="center"/>
          </w:tcPr>
          <w:p>
            <w:pPr>
              <w:pStyle w:val="13"/>
            </w:pPr>
            <w:r>
              <w:t>车改办经费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保定市徐水区公务用车制度改革领导小组办公室设在机关服务中心，我单位负责公务用车改革相关工作。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1.因保定市徐水区公务用车制度改革领导小组办公室设有在机关服务中心，故我单位负责公务用车改革相关工作。</w:t>
            </w:r>
          </w:p>
          <w:p>
            <w:pPr>
              <w:pStyle w:val="13"/>
            </w:pPr>
            <w:r>
              <w:t>2.由机关服务中心申请车改办运行经费，确保车改办正常运行。主要用于办公及文件印刷发放费用，文件发放次数不少于2次。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文件印刷发放次数</w:t>
            </w:r>
          </w:p>
        </w:tc>
        <w:tc>
          <w:tcPr>
            <w:tcW w:w="5386" w:type="dxa"/>
            <w:vAlign w:val="center"/>
          </w:tcPr>
          <w:p>
            <w:pPr>
              <w:pStyle w:val="13"/>
            </w:pPr>
            <w:r>
              <w:t>反映文件印刷发放情况</w:t>
            </w:r>
          </w:p>
        </w:tc>
        <w:tc>
          <w:tcPr>
            <w:tcW w:w="2268" w:type="dxa"/>
            <w:vAlign w:val="center"/>
          </w:tcPr>
          <w:p>
            <w:pPr>
              <w:pStyle w:val="13"/>
            </w:pPr>
            <w:r>
              <w:t>≥2次</w:t>
            </w:r>
          </w:p>
        </w:tc>
        <w:tc>
          <w:tcPr>
            <w:tcW w:w="1276" w:type="dxa"/>
            <w:vAlign w:val="center"/>
          </w:tcPr>
          <w:p>
            <w:pPr>
              <w:pStyle w:val="13"/>
            </w:pPr>
            <w:r>
              <w:t>车改办经费实施计划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反映车改办工作完成情况</w:t>
            </w:r>
          </w:p>
        </w:tc>
        <w:tc>
          <w:tcPr>
            <w:tcW w:w="2268" w:type="dxa"/>
            <w:vAlign w:val="center"/>
          </w:tcPr>
          <w:p>
            <w:pPr>
              <w:pStyle w:val="13"/>
            </w:pPr>
            <w:r>
              <w:t>≥90%</w:t>
            </w:r>
          </w:p>
        </w:tc>
        <w:tc>
          <w:tcPr>
            <w:tcW w:w="1276" w:type="dxa"/>
            <w:vAlign w:val="center"/>
          </w:tcPr>
          <w:p>
            <w:pPr>
              <w:pStyle w:val="13"/>
            </w:pPr>
            <w:r>
              <w:t>车改办经费实施计划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车改办工作经费及时支付情况</w:t>
            </w:r>
          </w:p>
        </w:tc>
        <w:tc>
          <w:tcPr>
            <w:tcW w:w="2268" w:type="dxa"/>
            <w:vAlign w:val="center"/>
          </w:tcPr>
          <w:p>
            <w:pPr>
              <w:pStyle w:val="13"/>
            </w:pPr>
            <w:r>
              <w:t>≥90%</w:t>
            </w:r>
          </w:p>
        </w:tc>
        <w:tc>
          <w:tcPr>
            <w:tcW w:w="1276" w:type="dxa"/>
            <w:vAlign w:val="center"/>
          </w:tcPr>
          <w:p>
            <w:pPr>
              <w:pStyle w:val="13"/>
            </w:pPr>
            <w:r>
              <w:t>车改办经费实施计划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车改办工作经费支付经费情况</w:t>
            </w:r>
          </w:p>
        </w:tc>
        <w:tc>
          <w:tcPr>
            <w:tcW w:w="2268" w:type="dxa"/>
            <w:vAlign w:val="center"/>
          </w:tcPr>
          <w:p>
            <w:pPr>
              <w:pStyle w:val="13"/>
            </w:pPr>
            <w:r>
              <w:t>≤1万元</w:t>
            </w:r>
          </w:p>
        </w:tc>
        <w:tc>
          <w:tcPr>
            <w:tcW w:w="1276" w:type="dxa"/>
            <w:vAlign w:val="center"/>
          </w:tcPr>
          <w:p>
            <w:pPr>
              <w:pStyle w:val="13"/>
            </w:pPr>
            <w:r>
              <w:t>车改办经费实施计划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公车办负责协调、监督率</w:t>
            </w:r>
          </w:p>
        </w:tc>
        <w:tc>
          <w:tcPr>
            <w:tcW w:w="5386" w:type="dxa"/>
            <w:vAlign w:val="center"/>
          </w:tcPr>
          <w:p>
            <w:pPr>
              <w:pStyle w:val="13"/>
            </w:pPr>
            <w:r>
              <w:t>协调、监督公车运行情况</w:t>
            </w:r>
          </w:p>
        </w:tc>
        <w:tc>
          <w:tcPr>
            <w:tcW w:w="2268" w:type="dxa"/>
            <w:vAlign w:val="center"/>
          </w:tcPr>
          <w:p>
            <w:pPr>
              <w:pStyle w:val="13"/>
            </w:pPr>
            <w:r>
              <w:t>≥90%</w:t>
            </w:r>
          </w:p>
        </w:tc>
        <w:tc>
          <w:tcPr>
            <w:tcW w:w="1276" w:type="dxa"/>
            <w:vAlign w:val="center"/>
          </w:tcPr>
          <w:p>
            <w:pPr>
              <w:pStyle w:val="13"/>
            </w:pPr>
            <w:r>
              <w:t>车改办经费实施计划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参与公车改革单位满意率</w:t>
            </w:r>
          </w:p>
        </w:tc>
        <w:tc>
          <w:tcPr>
            <w:tcW w:w="5386" w:type="dxa"/>
            <w:vAlign w:val="center"/>
          </w:tcPr>
          <w:p>
            <w:pPr>
              <w:pStyle w:val="13"/>
            </w:pPr>
            <w:r>
              <w:t>参与公车改革单位满意情况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5、后勤保障服务费绩效目标表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13062524P00001510161N</w:t>
            </w:r>
          </w:p>
        </w:tc>
        <w:tc>
          <w:tcPr>
            <w:tcW w:w="2835" w:type="dxa"/>
            <w:vAlign w:val="center"/>
          </w:tcPr>
          <w:p>
            <w:pPr>
              <w:pStyle w:val="11"/>
            </w:pPr>
            <w:r>
              <w:t>项目名称</w:t>
            </w:r>
          </w:p>
        </w:tc>
        <w:tc>
          <w:tcPr>
            <w:tcW w:w="6094" w:type="dxa"/>
            <w:gridSpan w:val="3"/>
            <w:vAlign w:val="center"/>
          </w:tcPr>
          <w:p>
            <w:pPr>
              <w:pStyle w:val="13"/>
            </w:pPr>
            <w:r>
              <w:t>后勤保障服务费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123.95</w:t>
            </w:r>
          </w:p>
        </w:tc>
        <w:tc>
          <w:tcPr>
            <w:tcW w:w="2835" w:type="dxa"/>
            <w:vAlign w:val="center"/>
          </w:tcPr>
          <w:p>
            <w:pPr>
              <w:pStyle w:val="11"/>
            </w:pPr>
            <w:r>
              <w:t>其中：财政    资金</w:t>
            </w:r>
          </w:p>
        </w:tc>
        <w:tc>
          <w:tcPr>
            <w:tcW w:w="2551" w:type="dxa"/>
            <w:vAlign w:val="center"/>
          </w:tcPr>
          <w:p>
            <w:pPr>
              <w:pStyle w:val="13"/>
            </w:pPr>
            <w:r>
              <w:t>123.95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我单位负责政府大院的后勤保障工作，后勤服务人员劳务费、保险费、机关食堂日常用品及设备购置费、机关食堂就餐补助、设备维修及改造费用等。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1.通过聘用专业后勤保障人员，保证政府机关大院后勤正常运转。 </w:t>
            </w:r>
          </w:p>
          <w:p>
            <w:pPr>
              <w:pStyle w:val="13"/>
            </w:pPr>
            <w:r>
              <w:t>2.聘用专业后勤保障人员15人。搞好服务保障，为广大干部职工提供安全、快捷、细致、周到的工作环境。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后勤保障人数</w:t>
            </w:r>
          </w:p>
        </w:tc>
        <w:tc>
          <w:tcPr>
            <w:tcW w:w="5386" w:type="dxa"/>
            <w:vAlign w:val="center"/>
          </w:tcPr>
          <w:p>
            <w:pPr>
              <w:pStyle w:val="13"/>
            </w:pPr>
            <w:r>
              <w:t>反映聘用后勤保障人数的情况</w:t>
            </w:r>
          </w:p>
        </w:tc>
        <w:tc>
          <w:tcPr>
            <w:tcW w:w="2268" w:type="dxa"/>
            <w:vAlign w:val="center"/>
          </w:tcPr>
          <w:p>
            <w:pPr>
              <w:pStyle w:val="13"/>
            </w:pPr>
            <w:r>
              <w:t>15人</w:t>
            </w:r>
          </w:p>
        </w:tc>
        <w:tc>
          <w:tcPr>
            <w:tcW w:w="1276" w:type="dxa"/>
            <w:vAlign w:val="center"/>
          </w:tcPr>
          <w:p>
            <w:pPr>
              <w:pStyle w:val="13"/>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人员出勤率</w:t>
            </w:r>
          </w:p>
        </w:tc>
        <w:tc>
          <w:tcPr>
            <w:tcW w:w="5386" w:type="dxa"/>
            <w:vAlign w:val="center"/>
          </w:tcPr>
          <w:p>
            <w:pPr>
              <w:pStyle w:val="13"/>
            </w:pPr>
            <w:r>
              <w:t>反映后勤保障人员出勤到位情况</w:t>
            </w:r>
          </w:p>
        </w:tc>
        <w:tc>
          <w:tcPr>
            <w:tcW w:w="2268" w:type="dxa"/>
            <w:vAlign w:val="center"/>
          </w:tcPr>
          <w:p>
            <w:pPr>
              <w:pStyle w:val="13"/>
            </w:pPr>
            <w:r>
              <w:t>100%</w:t>
            </w:r>
          </w:p>
        </w:tc>
        <w:tc>
          <w:tcPr>
            <w:tcW w:w="1276" w:type="dxa"/>
            <w:vAlign w:val="center"/>
          </w:tcPr>
          <w:p>
            <w:pPr>
              <w:pStyle w:val="13"/>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聘用后勤保障人员劳务费及时支付情况</w:t>
            </w:r>
          </w:p>
        </w:tc>
        <w:tc>
          <w:tcPr>
            <w:tcW w:w="2268" w:type="dxa"/>
            <w:vAlign w:val="center"/>
          </w:tcPr>
          <w:p>
            <w:pPr>
              <w:pStyle w:val="13"/>
            </w:pPr>
            <w:r>
              <w:t>100%</w:t>
            </w:r>
          </w:p>
        </w:tc>
        <w:tc>
          <w:tcPr>
            <w:tcW w:w="1276" w:type="dxa"/>
            <w:vAlign w:val="center"/>
          </w:tcPr>
          <w:p>
            <w:pPr>
              <w:pStyle w:val="13"/>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聘用后勤保障人员劳务费成本发放情况</w:t>
            </w:r>
          </w:p>
        </w:tc>
        <w:tc>
          <w:tcPr>
            <w:tcW w:w="2268" w:type="dxa"/>
            <w:vAlign w:val="center"/>
          </w:tcPr>
          <w:p>
            <w:pPr>
              <w:pStyle w:val="13"/>
            </w:pPr>
            <w:r>
              <w:t>≤123.94万元</w:t>
            </w:r>
          </w:p>
        </w:tc>
        <w:tc>
          <w:tcPr>
            <w:tcW w:w="1276" w:type="dxa"/>
            <w:vAlign w:val="center"/>
          </w:tcPr>
          <w:p>
            <w:pPr>
              <w:pStyle w:val="13"/>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事故发生及投诉上访率</w:t>
            </w:r>
          </w:p>
        </w:tc>
        <w:tc>
          <w:tcPr>
            <w:tcW w:w="5386" w:type="dxa"/>
            <w:vAlign w:val="center"/>
          </w:tcPr>
          <w:p>
            <w:pPr>
              <w:pStyle w:val="13"/>
            </w:pPr>
            <w:r>
              <w:t>事故发生及投诉上访事件</w:t>
            </w:r>
          </w:p>
        </w:tc>
        <w:tc>
          <w:tcPr>
            <w:tcW w:w="2268" w:type="dxa"/>
            <w:vAlign w:val="center"/>
          </w:tcPr>
          <w:p>
            <w:pPr>
              <w:pStyle w:val="13"/>
            </w:pPr>
            <w:r>
              <w:t>≤5%</w:t>
            </w:r>
          </w:p>
        </w:tc>
        <w:tc>
          <w:tcPr>
            <w:tcW w:w="1276" w:type="dxa"/>
            <w:vAlign w:val="center"/>
          </w:tcPr>
          <w:p>
            <w:pPr>
              <w:pStyle w:val="13"/>
            </w:pPr>
            <w:r>
              <w:t>保障政府机关大院正常运转，不发生事故及投诉上访事件。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政府机关工作人员对后勤保障人员工作的满意度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6、机关服务中心平台租赁车辆资金绩效目标表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13062524P00001510772X</w:t>
            </w:r>
          </w:p>
        </w:tc>
        <w:tc>
          <w:tcPr>
            <w:tcW w:w="2835" w:type="dxa"/>
            <w:vAlign w:val="center"/>
          </w:tcPr>
          <w:p>
            <w:pPr>
              <w:pStyle w:val="11"/>
            </w:pPr>
            <w:r>
              <w:t>项目名称</w:t>
            </w:r>
          </w:p>
        </w:tc>
        <w:tc>
          <w:tcPr>
            <w:tcW w:w="6094" w:type="dxa"/>
            <w:gridSpan w:val="3"/>
            <w:vAlign w:val="center"/>
          </w:tcPr>
          <w:p>
            <w:pPr>
              <w:pStyle w:val="13"/>
            </w:pPr>
            <w:r>
              <w:t>机关服务中心平台租赁车辆资金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保定市徐水区公务用车制度改革领导小组办公室设有机关服务中心，租赁中标单位车辆，保障四大班子领导调研及下乡用车。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1.保障四大班子领导及临时机构用车。</w:t>
            </w:r>
          </w:p>
          <w:p>
            <w:pPr>
              <w:pStyle w:val="13"/>
            </w:pPr>
            <w:r>
              <w:t>2.向汽车租赁公司租赁汽车10量，每三个月支付一次费用。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租赁车辆数</w:t>
            </w:r>
          </w:p>
        </w:tc>
        <w:tc>
          <w:tcPr>
            <w:tcW w:w="5386" w:type="dxa"/>
            <w:vAlign w:val="center"/>
          </w:tcPr>
          <w:p>
            <w:pPr>
              <w:pStyle w:val="13"/>
            </w:pPr>
            <w:r>
              <w:t>反映租赁车辆数量情况</w:t>
            </w:r>
          </w:p>
        </w:tc>
        <w:tc>
          <w:tcPr>
            <w:tcW w:w="2268" w:type="dxa"/>
            <w:vAlign w:val="center"/>
          </w:tcPr>
          <w:p>
            <w:pPr>
              <w:pStyle w:val="13"/>
            </w:pPr>
            <w:r>
              <w:t>10辆</w:t>
            </w:r>
          </w:p>
        </w:tc>
        <w:tc>
          <w:tcPr>
            <w:tcW w:w="1276" w:type="dxa"/>
            <w:vAlign w:val="center"/>
          </w:tcPr>
          <w:p>
            <w:pPr>
              <w:pStyle w:val="13"/>
            </w:pPr>
            <w:r>
              <w:t>汽车租赁合同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租车数量使用率</w:t>
            </w:r>
          </w:p>
        </w:tc>
        <w:tc>
          <w:tcPr>
            <w:tcW w:w="5386" w:type="dxa"/>
            <w:vAlign w:val="center"/>
          </w:tcPr>
          <w:p>
            <w:pPr>
              <w:pStyle w:val="13"/>
            </w:pPr>
            <w:r>
              <w:t>租车数量使用情况</w:t>
            </w:r>
          </w:p>
        </w:tc>
        <w:tc>
          <w:tcPr>
            <w:tcW w:w="2268" w:type="dxa"/>
            <w:vAlign w:val="center"/>
          </w:tcPr>
          <w:p>
            <w:pPr>
              <w:pStyle w:val="13"/>
            </w:pPr>
            <w:r>
              <w:t>≥90%</w:t>
            </w:r>
          </w:p>
        </w:tc>
        <w:tc>
          <w:tcPr>
            <w:tcW w:w="1276" w:type="dxa"/>
            <w:vAlign w:val="center"/>
          </w:tcPr>
          <w:p>
            <w:pPr>
              <w:pStyle w:val="13"/>
            </w:pPr>
            <w:r>
              <w:t>汽车租赁合同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汽车租赁费及时支付情况</w:t>
            </w:r>
          </w:p>
        </w:tc>
        <w:tc>
          <w:tcPr>
            <w:tcW w:w="2268" w:type="dxa"/>
            <w:vAlign w:val="center"/>
          </w:tcPr>
          <w:p>
            <w:pPr>
              <w:pStyle w:val="13"/>
            </w:pPr>
            <w:r>
              <w:t>≥90%</w:t>
            </w:r>
          </w:p>
        </w:tc>
        <w:tc>
          <w:tcPr>
            <w:tcW w:w="1276" w:type="dxa"/>
            <w:vAlign w:val="center"/>
          </w:tcPr>
          <w:p>
            <w:pPr>
              <w:pStyle w:val="13"/>
            </w:pPr>
            <w:r>
              <w:t>汽车租赁合同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汽车租赁成本支付经费情况</w:t>
            </w:r>
          </w:p>
        </w:tc>
        <w:tc>
          <w:tcPr>
            <w:tcW w:w="2268" w:type="dxa"/>
            <w:vAlign w:val="center"/>
          </w:tcPr>
          <w:p>
            <w:pPr>
              <w:pStyle w:val="13"/>
            </w:pPr>
            <w:r>
              <w:t>≤45万元</w:t>
            </w:r>
          </w:p>
        </w:tc>
        <w:tc>
          <w:tcPr>
            <w:tcW w:w="1276" w:type="dxa"/>
            <w:vAlign w:val="center"/>
          </w:tcPr>
          <w:p>
            <w:pPr>
              <w:pStyle w:val="13"/>
            </w:pPr>
            <w:r>
              <w:t>汽车租赁合同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调研、下乡保证率</w:t>
            </w:r>
          </w:p>
        </w:tc>
        <w:tc>
          <w:tcPr>
            <w:tcW w:w="5386" w:type="dxa"/>
            <w:vAlign w:val="center"/>
          </w:tcPr>
          <w:p>
            <w:pPr>
              <w:pStyle w:val="13"/>
            </w:pPr>
            <w:r>
              <w:t>调研、下乡保证情况</w:t>
            </w:r>
          </w:p>
        </w:tc>
        <w:tc>
          <w:tcPr>
            <w:tcW w:w="2268" w:type="dxa"/>
            <w:vAlign w:val="center"/>
          </w:tcPr>
          <w:p>
            <w:pPr>
              <w:pStyle w:val="13"/>
            </w:pPr>
            <w:r>
              <w:t>≥95%</w:t>
            </w:r>
          </w:p>
        </w:tc>
        <w:tc>
          <w:tcPr>
            <w:tcW w:w="1276" w:type="dxa"/>
            <w:vAlign w:val="center"/>
          </w:tcPr>
          <w:p>
            <w:pPr>
              <w:pStyle w:val="13"/>
            </w:pPr>
            <w:r>
              <w:t>根据机关服务中心平台租赁车辆项目实施计划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汽车租赁使用人员满意度</w:t>
            </w:r>
          </w:p>
        </w:tc>
        <w:tc>
          <w:tcPr>
            <w:tcW w:w="5386" w:type="dxa"/>
            <w:vAlign w:val="center"/>
          </w:tcPr>
          <w:p>
            <w:pPr>
              <w:pStyle w:val="13"/>
            </w:pPr>
            <w:r>
              <w:t>汽车租赁使用人员对使用汽车的满意度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7、机关管理相关费用绩效目标表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13062524P00001510162A</w:t>
            </w:r>
          </w:p>
        </w:tc>
        <w:tc>
          <w:tcPr>
            <w:tcW w:w="2835" w:type="dxa"/>
            <w:vAlign w:val="center"/>
          </w:tcPr>
          <w:p>
            <w:pPr>
              <w:pStyle w:val="11"/>
            </w:pPr>
            <w:r>
              <w:t>项目名称</w:t>
            </w:r>
          </w:p>
        </w:tc>
        <w:tc>
          <w:tcPr>
            <w:tcW w:w="6094" w:type="dxa"/>
            <w:gridSpan w:val="3"/>
            <w:vAlign w:val="center"/>
          </w:tcPr>
          <w:p>
            <w:pPr>
              <w:pStyle w:val="13"/>
            </w:pPr>
            <w:r>
              <w:t>机关管理相关费用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76.50</w:t>
            </w:r>
          </w:p>
        </w:tc>
        <w:tc>
          <w:tcPr>
            <w:tcW w:w="2835" w:type="dxa"/>
            <w:vAlign w:val="center"/>
          </w:tcPr>
          <w:p>
            <w:pPr>
              <w:pStyle w:val="11"/>
            </w:pPr>
            <w:r>
              <w:t>其中：财政    资金</w:t>
            </w:r>
          </w:p>
        </w:tc>
        <w:tc>
          <w:tcPr>
            <w:tcW w:w="2551" w:type="dxa"/>
            <w:vAlign w:val="center"/>
          </w:tcPr>
          <w:p>
            <w:pPr>
              <w:pStyle w:val="13"/>
            </w:pPr>
            <w:r>
              <w:t>76.50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此项目是根据</w:t>
            </w:r>
            <w:r>
              <w:rPr>
                <w:rFonts w:hint="eastAsia"/>
                <w:lang w:eastAsia="zh-CN"/>
              </w:rPr>
              <w:t>单位</w:t>
            </w:r>
            <w:r>
              <w:t>职责、《徐水区机关服务中心机关食堂管理实施办法》及领导批示和关于追加政府西院后勤保障经费请示、批示等安排的经费。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1.依据机关管理相关办法，为不少于450人的政府机关大院工作人员提供干净、卫生的就餐环境。</w:t>
            </w:r>
          </w:p>
          <w:p>
            <w:pPr>
              <w:pStyle w:val="13"/>
            </w:pPr>
            <w:r>
              <w:t>2.依据机关管理相关费用项目实施计划，保障政府大院人员就餐的正常运转，提高政府机关工作人员对食堂的满意度。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服务对象人数</w:t>
            </w:r>
          </w:p>
        </w:tc>
        <w:tc>
          <w:tcPr>
            <w:tcW w:w="5386" w:type="dxa"/>
            <w:vAlign w:val="center"/>
          </w:tcPr>
          <w:p>
            <w:pPr>
              <w:pStyle w:val="13"/>
            </w:pPr>
            <w:r>
              <w:t>反映食堂就餐人数的情况</w:t>
            </w:r>
          </w:p>
        </w:tc>
        <w:tc>
          <w:tcPr>
            <w:tcW w:w="2268" w:type="dxa"/>
            <w:vAlign w:val="center"/>
          </w:tcPr>
          <w:p>
            <w:pPr>
              <w:pStyle w:val="13"/>
            </w:pPr>
            <w:r>
              <w:t>≥450人</w:t>
            </w:r>
          </w:p>
        </w:tc>
        <w:tc>
          <w:tcPr>
            <w:tcW w:w="1276" w:type="dxa"/>
            <w:vAlign w:val="center"/>
          </w:tcPr>
          <w:p>
            <w:pPr>
              <w:pStyle w:val="13"/>
            </w:pPr>
            <w:r>
              <w:t>机关管理相关费用实施计划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就餐工作完成率</w:t>
            </w:r>
          </w:p>
        </w:tc>
        <w:tc>
          <w:tcPr>
            <w:tcW w:w="5386" w:type="dxa"/>
            <w:vAlign w:val="center"/>
          </w:tcPr>
          <w:p>
            <w:pPr>
              <w:pStyle w:val="13"/>
            </w:pPr>
            <w:r>
              <w:t>反映保障就餐完成情况</w:t>
            </w:r>
          </w:p>
        </w:tc>
        <w:tc>
          <w:tcPr>
            <w:tcW w:w="2268" w:type="dxa"/>
            <w:vAlign w:val="center"/>
          </w:tcPr>
          <w:p>
            <w:pPr>
              <w:pStyle w:val="13"/>
            </w:pPr>
            <w:r>
              <w:t>≥80%</w:t>
            </w:r>
          </w:p>
        </w:tc>
        <w:tc>
          <w:tcPr>
            <w:tcW w:w="1276" w:type="dxa"/>
            <w:vAlign w:val="center"/>
          </w:tcPr>
          <w:p>
            <w:pPr>
              <w:pStyle w:val="13"/>
            </w:pPr>
            <w:r>
              <w:t>机关管理相关费用实施计划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反映资金支付的及时程度</w:t>
            </w:r>
          </w:p>
        </w:tc>
        <w:tc>
          <w:tcPr>
            <w:tcW w:w="2268" w:type="dxa"/>
            <w:vAlign w:val="center"/>
          </w:tcPr>
          <w:p>
            <w:pPr>
              <w:pStyle w:val="13"/>
            </w:pPr>
            <w:r>
              <w:t>≥80%</w:t>
            </w:r>
          </w:p>
        </w:tc>
        <w:tc>
          <w:tcPr>
            <w:tcW w:w="1276" w:type="dxa"/>
            <w:vAlign w:val="center"/>
          </w:tcPr>
          <w:p>
            <w:pPr>
              <w:pStyle w:val="13"/>
            </w:pPr>
            <w:r>
              <w:t>机关管理相关费用实施计划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反映该项目成本支出情况</w:t>
            </w:r>
          </w:p>
        </w:tc>
        <w:tc>
          <w:tcPr>
            <w:tcW w:w="2268" w:type="dxa"/>
            <w:vAlign w:val="center"/>
          </w:tcPr>
          <w:p>
            <w:pPr>
              <w:pStyle w:val="13"/>
            </w:pPr>
            <w:r>
              <w:t>≤76.5万元</w:t>
            </w:r>
          </w:p>
        </w:tc>
        <w:tc>
          <w:tcPr>
            <w:tcW w:w="1276" w:type="dxa"/>
            <w:vAlign w:val="center"/>
          </w:tcPr>
          <w:p>
            <w:pPr>
              <w:pStyle w:val="13"/>
            </w:pPr>
            <w:r>
              <w:t>机关管理相关费用实施计划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维持政府机关正常运转</w:t>
            </w:r>
          </w:p>
        </w:tc>
        <w:tc>
          <w:tcPr>
            <w:tcW w:w="5386" w:type="dxa"/>
            <w:vAlign w:val="center"/>
          </w:tcPr>
          <w:p>
            <w:pPr>
              <w:pStyle w:val="13"/>
            </w:pPr>
            <w:r>
              <w:t>维持政府机关正常运转保障率</w:t>
            </w:r>
          </w:p>
        </w:tc>
        <w:tc>
          <w:tcPr>
            <w:tcW w:w="2268" w:type="dxa"/>
            <w:vAlign w:val="center"/>
          </w:tcPr>
          <w:p>
            <w:pPr>
              <w:pStyle w:val="13"/>
            </w:pPr>
            <w:r>
              <w:t>≥90%</w:t>
            </w:r>
          </w:p>
        </w:tc>
        <w:tc>
          <w:tcPr>
            <w:tcW w:w="1276" w:type="dxa"/>
            <w:vAlign w:val="center"/>
          </w:tcPr>
          <w:p>
            <w:pPr>
              <w:pStyle w:val="13"/>
            </w:pPr>
            <w:r>
              <w:t>机关管理相关费用实施计划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政府机关工作人员对食堂工作的满意度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8、零星维修绩效目标表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13062524P00001510163X</w:t>
            </w:r>
          </w:p>
        </w:tc>
        <w:tc>
          <w:tcPr>
            <w:tcW w:w="2835" w:type="dxa"/>
            <w:vAlign w:val="center"/>
          </w:tcPr>
          <w:p>
            <w:pPr>
              <w:pStyle w:val="11"/>
            </w:pPr>
            <w:r>
              <w:t>项目名称</w:t>
            </w:r>
          </w:p>
        </w:tc>
        <w:tc>
          <w:tcPr>
            <w:tcW w:w="6094" w:type="dxa"/>
            <w:gridSpan w:val="3"/>
            <w:vAlign w:val="center"/>
          </w:tcPr>
          <w:p>
            <w:pPr>
              <w:pStyle w:val="13"/>
            </w:pPr>
            <w:r>
              <w:t>零星维修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此项目是根据</w:t>
            </w:r>
            <w:r>
              <w:rPr>
                <w:rFonts w:hint="eastAsia"/>
                <w:lang w:eastAsia="zh-CN"/>
              </w:rPr>
              <w:t>单位</w:t>
            </w:r>
            <w:r>
              <w:t>职责、最近三年实际支付维修费用等安排的经费。根据“三定”方案，我单位管辖区委、政府办公楼，南西北“工”字楼，大小餐厅以及科协楼的办公用房的修缮管理、锅炉、上下水管道以及电路的日常维护和保养以及机关大院的绿化、美化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w:t>
            </w:r>
            <w:r>
              <w:rPr>
                <w:rFonts w:hint="eastAsia"/>
                <w:lang w:eastAsia="zh-CN"/>
              </w:rPr>
              <w:t>单位</w:t>
            </w:r>
            <w:r>
              <w:t>职责，做好损坏公共设施的巡视、维修工作，有效保障区委政府高效运转工作；维修次数不少于5次；重大大额维修需评审，评审次数不少于2次。</w:t>
            </w:r>
          </w:p>
          <w:p>
            <w:pPr>
              <w:pStyle w:val="13"/>
            </w:pPr>
            <w:r>
              <w:t>2.搞好服务保障，为广大干部职工提供安全、快捷、细致、周到的工作环境。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维修次数</w:t>
            </w:r>
          </w:p>
        </w:tc>
        <w:tc>
          <w:tcPr>
            <w:tcW w:w="5386" w:type="dxa"/>
            <w:vAlign w:val="center"/>
          </w:tcPr>
          <w:p>
            <w:pPr>
              <w:pStyle w:val="13"/>
            </w:pPr>
            <w:r>
              <w:t>反映维修数量的情况</w:t>
            </w:r>
          </w:p>
        </w:tc>
        <w:tc>
          <w:tcPr>
            <w:tcW w:w="2268" w:type="dxa"/>
            <w:vAlign w:val="center"/>
          </w:tcPr>
          <w:p>
            <w:pPr>
              <w:pStyle w:val="13"/>
            </w:pPr>
            <w:r>
              <w:t>≥5次</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评审次数</w:t>
            </w:r>
          </w:p>
        </w:tc>
        <w:tc>
          <w:tcPr>
            <w:tcW w:w="5386" w:type="dxa"/>
            <w:vAlign w:val="center"/>
          </w:tcPr>
          <w:p>
            <w:pPr>
              <w:pStyle w:val="13"/>
            </w:pPr>
            <w:r>
              <w:t>反映大额维修评审数量的情况</w:t>
            </w:r>
          </w:p>
        </w:tc>
        <w:tc>
          <w:tcPr>
            <w:tcW w:w="2268" w:type="dxa"/>
            <w:vAlign w:val="center"/>
          </w:tcPr>
          <w:p>
            <w:pPr>
              <w:pStyle w:val="13"/>
            </w:pPr>
            <w:r>
              <w:t>≥2次</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维修合格率</w:t>
            </w:r>
          </w:p>
        </w:tc>
        <w:tc>
          <w:tcPr>
            <w:tcW w:w="5386" w:type="dxa"/>
            <w:vAlign w:val="center"/>
          </w:tcPr>
          <w:p>
            <w:pPr>
              <w:pStyle w:val="13"/>
            </w:pPr>
            <w:r>
              <w:t>反映被维修物件的合格情况</w:t>
            </w:r>
          </w:p>
        </w:tc>
        <w:tc>
          <w:tcPr>
            <w:tcW w:w="2268" w:type="dxa"/>
            <w:vAlign w:val="center"/>
          </w:tcPr>
          <w:p>
            <w:pPr>
              <w:pStyle w:val="13"/>
            </w:pPr>
            <w:r>
              <w:t>≥90%</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评审报告完成率</w:t>
            </w:r>
          </w:p>
        </w:tc>
        <w:tc>
          <w:tcPr>
            <w:tcW w:w="5386" w:type="dxa"/>
            <w:vAlign w:val="center"/>
          </w:tcPr>
          <w:p>
            <w:pPr>
              <w:pStyle w:val="13"/>
            </w:pPr>
            <w:r>
              <w:t>反映评审公司出具报告的完成情况</w:t>
            </w:r>
          </w:p>
        </w:tc>
        <w:tc>
          <w:tcPr>
            <w:tcW w:w="2268" w:type="dxa"/>
            <w:vAlign w:val="center"/>
          </w:tcPr>
          <w:p>
            <w:pPr>
              <w:pStyle w:val="13"/>
            </w:pPr>
            <w:r>
              <w:t>≥90%</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维修及时率</w:t>
            </w:r>
          </w:p>
        </w:tc>
        <w:tc>
          <w:tcPr>
            <w:tcW w:w="5386" w:type="dxa"/>
            <w:vAlign w:val="center"/>
          </w:tcPr>
          <w:p>
            <w:pPr>
              <w:pStyle w:val="13"/>
            </w:pPr>
            <w:r>
              <w:t>反映物件被维修的及时情况</w:t>
            </w:r>
          </w:p>
        </w:tc>
        <w:tc>
          <w:tcPr>
            <w:tcW w:w="2268" w:type="dxa"/>
            <w:vAlign w:val="center"/>
          </w:tcPr>
          <w:p>
            <w:pPr>
              <w:pStyle w:val="13"/>
            </w:pPr>
            <w:r>
              <w:t>≥90%</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反映该项目成本支出情况</w:t>
            </w:r>
          </w:p>
        </w:tc>
        <w:tc>
          <w:tcPr>
            <w:tcW w:w="2268" w:type="dxa"/>
            <w:vAlign w:val="center"/>
          </w:tcPr>
          <w:p>
            <w:pPr>
              <w:pStyle w:val="13"/>
            </w:pPr>
            <w:r>
              <w:t>≤60万元</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公共区域维修保障率</w:t>
            </w:r>
          </w:p>
        </w:tc>
        <w:tc>
          <w:tcPr>
            <w:tcW w:w="5386" w:type="dxa"/>
            <w:vAlign w:val="center"/>
          </w:tcPr>
          <w:p>
            <w:pPr>
              <w:pStyle w:val="13"/>
            </w:pPr>
            <w:r>
              <w:t>维持政府机关正常运转保障率</w:t>
            </w:r>
          </w:p>
        </w:tc>
        <w:tc>
          <w:tcPr>
            <w:tcW w:w="2268" w:type="dxa"/>
            <w:vAlign w:val="center"/>
          </w:tcPr>
          <w:p>
            <w:pPr>
              <w:pStyle w:val="13"/>
            </w:pPr>
            <w:r>
              <w:t>≥90%</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政府机关工作人员对大院公共设施使用完好的满意度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9、招待所挂靠人员所需财政负担保险费绩效目标表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13062524P000015100287</w:t>
            </w:r>
          </w:p>
        </w:tc>
        <w:tc>
          <w:tcPr>
            <w:tcW w:w="2835" w:type="dxa"/>
            <w:vAlign w:val="center"/>
          </w:tcPr>
          <w:p>
            <w:pPr>
              <w:pStyle w:val="11"/>
            </w:pPr>
            <w:r>
              <w:t>项目名称</w:t>
            </w:r>
          </w:p>
        </w:tc>
        <w:tc>
          <w:tcPr>
            <w:tcW w:w="6094" w:type="dxa"/>
            <w:gridSpan w:val="3"/>
            <w:vAlign w:val="center"/>
          </w:tcPr>
          <w:p>
            <w:pPr>
              <w:pStyle w:val="13"/>
            </w:pPr>
            <w:r>
              <w:t>招待所挂靠人员所需财政负担保险费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1.77</w:t>
            </w:r>
          </w:p>
        </w:tc>
        <w:tc>
          <w:tcPr>
            <w:tcW w:w="2835" w:type="dxa"/>
            <w:vAlign w:val="center"/>
          </w:tcPr>
          <w:p>
            <w:pPr>
              <w:pStyle w:val="11"/>
            </w:pPr>
            <w:r>
              <w:t>其中：财政    资金</w:t>
            </w:r>
          </w:p>
        </w:tc>
        <w:tc>
          <w:tcPr>
            <w:tcW w:w="2551" w:type="dxa"/>
            <w:vAlign w:val="center"/>
          </w:tcPr>
          <w:p>
            <w:pPr>
              <w:pStyle w:val="13"/>
            </w:pPr>
            <w:r>
              <w:t>1.77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此项目是根据徐水县人民政府[2002]9号《领导议事纪要》和《原政府招待所改制处理意见》安排的经费。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1.根据徐水县人民政府[2002]9号《领导议事纪要》和《原政府招待所改制处理意见》为招待所挂靠人员申请单位负担医保部分经费和参保。</w:t>
            </w:r>
          </w:p>
          <w:p>
            <w:pPr>
              <w:pStyle w:val="13"/>
            </w:pPr>
            <w:r>
              <w:t>2.为招待所未办理退休手续人员3人，已退休人员22人缴纳单位负担医保部分。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参保人数量</w:t>
            </w:r>
          </w:p>
        </w:tc>
        <w:tc>
          <w:tcPr>
            <w:tcW w:w="5386" w:type="dxa"/>
            <w:vAlign w:val="center"/>
          </w:tcPr>
          <w:p>
            <w:pPr>
              <w:pStyle w:val="13"/>
            </w:pPr>
            <w:r>
              <w:t>反映参保人数量</w:t>
            </w:r>
          </w:p>
        </w:tc>
        <w:tc>
          <w:tcPr>
            <w:tcW w:w="2268" w:type="dxa"/>
            <w:vAlign w:val="center"/>
          </w:tcPr>
          <w:p>
            <w:pPr>
              <w:pStyle w:val="13"/>
            </w:pPr>
            <w:r>
              <w:t>25人</w:t>
            </w:r>
          </w:p>
        </w:tc>
        <w:tc>
          <w:tcPr>
            <w:tcW w:w="1276" w:type="dxa"/>
            <w:vAlign w:val="center"/>
          </w:tcPr>
          <w:p>
            <w:pPr>
              <w:pStyle w:val="13"/>
            </w:pPr>
            <w:r>
              <w:t>招待所挂靠人员所需财政负担保险费实施计划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参保工作完成率</w:t>
            </w:r>
          </w:p>
        </w:tc>
        <w:tc>
          <w:tcPr>
            <w:tcW w:w="5386" w:type="dxa"/>
            <w:vAlign w:val="center"/>
          </w:tcPr>
          <w:p>
            <w:pPr>
              <w:pStyle w:val="13"/>
            </w:pPr>
            <w:r>
              <w:t>参保工作完成情况</w:t>
            </w:r>
          </w:p>
        </w:tc>
        <w:tc>
          <w:tcPr>
            <w:tcW w:w="2268" w:type="dxa"/>
            <w:vAlign w:val="center"/>
          </w:tcPr>
          <w:p>
            <w:pPr>
              <w:pStyle w:val="13"/>
            </w:pPr>
            <w:r>
              <w:t>100%</w:t>
            </w:r>
          </w:p>
        </w:tc>
        <w:tc>
          <w:tcPr>
            <w:tcW w:w="1276" w:type="dxa"/>
            <w:vAlign w:val="center"/>
          </w:tcPr>
          <w:p>
            <w:pPr>
              <w:pStyle w:val="13"/>
            </w:pPr>
            <w:r>
              <w:t>招待所挂靠人员所需财政负担保险费实施计划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反映资金支付的及时程度</w:t>
            </w:r>
          </w:p>
        </w:tc>
        <w:tc>
          <w:tcPr>
            <w:tcW w:w="2268" w:type="dxa"/>
            <w:vAlign w:val="center"/>
          </w:tcPr>
          <w:p>
            <w:pPr>
              <w:pStyle w:val="13"/>
            </w:pPr>
            <w:r>
              <w:t>≥90%</w:t>
            </w:r>
          </w:p>
        </w:tc>
        <w:tc>
          <w:tcPr>
            <w:tcW w:w="1276" w:type="dxa"/>
            <w:vAlign w:val="center"/>
          </w:tcPr>
          <w:p>
            <w:pPr>
              <w:pStyle w:val="13"/>
            </w:pPr>
            <w:r>
              <w:t>招待所挂靠人员所需财政负担保险费实施计划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反映改项目成本支出情况</w:t>
            </w:r>
          </w:p>
        </w:tc>
        <w:tc>
          <w:tcPr>
            <w:tcW w:w="2268" w:type="dxa"/>
            <w:vAlign w:val="center"/>
          </w:tcPr>
          <w:p>
            <w:pPr>
              <w:pStyle w:val="13"/>
            </w:pPr>
            <w:r>
              <w:t>≤1.77万元</w:t>
            </w:r>
          </w:p>
        </w:tc>
        <w:tc>
          <w:tcPr>
            <w:tcW w:w="1276" w:type="dxa"/>
            <w:vAlign w:val="center"/>
          </w:tcPr>
          <w:p>
            <w:pPr>
              <w:pStyle w:val="13"/>
            </w:pPr>
            <w:r>
              <w:t>招待所挂靠人员所需财政负担保险费实施计划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社会稳定提升率</w:t>
            </w:r>
          </w:p>
        </w:tc>
        <w:tc>
          <w:tcPr>
            <w:tcW w:w="5386" w:type="dxa"/>
            <w:vAlign w:val="center"/>
          </w:tcPr>
          <w:p>
            <w:pPr>
              <w:pStyle w:val="13"/>
            </w:pPr>
            <w:r>
              <w:t>减少挂靠人员上访情况，提高社会稳定性</w:t>
            </w:r>
          </w:p>
        </w:tc>
        <w:tc>
          <w:tcPr>
            <w:tcW w:w="2268" w:type="dxa"/>
            <w:vAlign w:val="center"/>
          </w:tcPr>
          <w:p>
            <w:pPr>
              <w:pStyle w:val="13"/>
            </w:pPr>
            <w:r>
              <w:t>≥90%</w:t>
            </w:r>
          </w:p>
        </w:tc>
        <w:tc>
          <w:tcPr>
            <w:tcW w:w="1276" w:type="dxa"/>
            <w:vAlign w:val="center"/>
          </w:tcPr>
          <w:p>
            <w:pPr>
              <w:pStyle w:val="13"/>
            </w:pPr>
            <w:r>
              <w:t>招待所挂靠人员所需财政负担保险费实施计划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参保人员满意度</w:t>
            </w:r>
          </w:p>
        </w:tc>
        <w:tc>
          <w:tcPr>
            <w:tcW w:w="5386" w:type="dxa"/>
            <w:vAlign w:val="center"/>
          </w:tcPr>
          <w:p>
            <w:pPr>
              <w:pStyle w:val="13"/>
            </w:pPr>
            <w:r>
              <w:t>反映参保人员满意程度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10、政府机关电费绩效目标表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13062524P00001510164H</w:t>
            </w:r>
          </w:p>
        </w:tc>
        <w:tc>
          <w:tcPr>
            <w:tcW w:w="2835" w:type="dxa"/>
            <w:vAlign w:val="center"/>
          </w:tcPr>
          <w:p>
            <w:pPr>
              <w:pStyle w:val="11"/>
            </w:pPr>
            <w:r>
              <w:t>项目名称</w:t>
            </w:r>
          </w:p>
        </w:tc>
        <w:tc>
          <w:tcPr>
            <w:tcW w:w="6094" w:type="dxa"/>
            <w:gridSpan w:val="3"/>
            <w:vAlign w:val="center"/>
          </w:tcPr>
          <w:p>
            <w:pPr>
              <w:pStyle w:val="13"/>
            </w:pPr>
            <w:r>
              <w:t>政府机关电费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我单位负责支付所管辖区委、政府办公楼，南西北“工”字楼，大小餐厅，科协楼办公用房以及政府西院的电费。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1.依据</w:t>
            </w:r>
            <w:r>
              <w:rPr>
                <w:rFonts w:hint="eastAsia"/>
                <w:lang w:eastAsia="zh-CN"/>
              </w:rPr>
              <w:t>单位</w:t>
            </w:r>
            <w:r>
              <w:t>职责机关服务中心负责政府机关大院的用电情况及电费缴纳，缴纳电费不小于4次。</w:t>
            </w:r>
          </w:p>
          <w:p>
            <w:pPr>
              <w:pStyle w:val="13"/>
            </w:pPr>
            <w:r>
              <w:t>2.搞好服务保障，为不少于450的广大干部职工提供安全、快捷、细致、周到的工作环境。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用电人数</w:t>
            </w:r>
          </w:p>
        </w:tc>
        <w:tc>
          <w:tcPr>
            <w:tcW w:w="5386" w:type="dxa"/>
            <w:vAlign w:val="center"/>
          </w:tcPr>
          <w:p>
            <w:pPr>
              <w:pStyle w:val="13"/>
            </w:pPr>
            <w:r>
              <w:t>反映用电人数的情况</w:t>
            </w:r>
          </w:p>
        </w:tc>
        <w:tc>
          <w:tcPr>
            <w:tcW w:w="2268" w:type="dxa"/>
            <w:vAlign w:val="center"/>
          </w:tcPr>
          <w:p>
            <w:pPr>
              <w:pStyle w:val="13"/>
            </w:pPr>
            <w:r>
              <w:t>≥450人</w:t>
            </w:r>
          </w:p>
        </w:tc>
        <w:tc>
          <w:tcPr>
            <w:tcW w:w="1276" w:type="dxa"/>
            <w:vAlign w:val="center"/>
          </w:tcPr>
          <w:p>
            <w:pPr>
              <w:pStyle w:val="13"/>
            </w:pPr>
            <w:r>
              <w:rPr>
                <w:rFonts w:hint="eastAsia"/>
                <w:lang w:eastAsia="zh-CN"/>
              </w:rPr>
              <w:t>单位</w:t>
            </w:r>
            <w:r>
              <w:t>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交电费次数</w:t>
            </w:r>
          </w:p>
        </w:tc>
        <w:tc>
          <w:tcPr>
            <w:tcW w:w="5386" w:type="dxa"/>
            <w:vAlign w:val="center"/>
          </w:tcPr>
          <w:p>
            <w:pPr>
              <w:pStyle w:val="13"/>
            </w:pPr>
            <w:r>
              <w:t>反映交电费的次数情况</w:t>
            </w:r>
          </w:p>
        </w:tc>
        <w:tc>
          <w:tcPr>
            <w:tcW w:w="2268" w:type="dxa"/>
            <w:vAlign w:val="center"/>
          </w:tcPr>
          <w:p>
            <w:pPr>
              <w:pStyle w:val="13"/>
            </w:pPr>
            <w:r>
              <w:t>≥4次</w:t>
            </w:r>
          </w:p>
        </w:tc>
        <w:tc>
          <w:tcPr>
            <w:tcW w:w="1276" w:type="dxa"/>
            <w:vAlign w:val="center"/>
          </w:tcPr>
          <w:p>
            <w:pPr>
              <w:pStyle w:val="13"/>
            </w:pPr>
            <w:r>
              <w:rPr>
                <w:rFonts w:hint="eastAsia"/>
                <w:lang w:eastAsia="zh-CN"/>
              </w:rPr>
              <w:t>单位</w:t>
            </w:r>
            <w:r>
              <w:t>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用电设备供电率</w:t>
            </w:r>
          </w:p>
        </w:tc>
        <w:tc>
          <w:tcPr>
            <w:tcW w:w="5386" w:type="dxa"/>
            <w:vAlign w:val="center"/>
          </w:tcPr>
          <w:p>
            <w:pPr>
              <w:pStyle w:val="13"/>
            </w:pPr>
            <w:r>
              <w:t>反映用电设备的用电情况</w:t>
            </w:r>
          </w:p>
        </w:tc>
        <w:tc>
          <w:tcPr>
            <w:tcW w:w="2268" w:type="dxa"/>
            <w:vAlign w:val="center"/>
          </w:tcPr>
          <w:p>
            <w:pPr>
              <w:pStyle w:val="13"/>
            </w:pPr>
            <w:r>
              <w:t>≥90%</w:t>
            </w:r>
          </w:p>
        </w:tc>
        <w:tc>
          <w:tcPr>
            <w:tcW w:w="1276" w:type="dxa"/>
            <w:vAlign w:val="center"/>
          </w:tcPr>
          <w:p>
            <w:pPr>
              <w:pStyle w:val="13"/>
            </w:pPr>
            <w:r>
              <w:rPr>
                <w:rFonts w:hint="eastAsia"/>
                <w:lang w:eastAsia="zh-CN"/>
              </w:rPr>
              <w:t>单位</w:t>
            </w:r>
            <w:r>
              <w:t>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反映资金支付的及时程度</w:t>
            </w:r>
          </w:p>
        </w:tc>
        <w:tc>
          <w:tcPr>
            <w:tcW w:w="2268" w:type="dxa"/>
            <w:vAlign w:val="center"/>
          </w:tcPr>
          <w:p>
            <w:pPr>
              <w:pStyle w:val="13"/>
            </w:pPr>
            <w:r>
              <w:t>≥90%</w:t>
            </w:r>
          </w:p>
        </w:tc>
        <w:tc>
          <w:tcPr>
            <w:tcW w:w="1276" w:type="dxa"/>
            <w:vAlign w:val="center"/>
          </w:tcPr>
          <w:p>
            <w:pPr>
              <w:pStyle w:val="13"/>
            </w:pPr>
            <w:r>
              <w:rPr>
                <w:rFonts w:hint="eastAsia"/>
                <w:lang w:eastAsia="zh-CN"/>
              </w:rPr>
              <w:t>单位</w:t>
            </w:r>
            <w:r>
              <w:t>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反映该项目成本支出情况</w:t>
            </w:r>
          </w:p>
        </w:tc>
        <w:tc>
          <w:tcPr>
            <w:tcW w:w="2268" w:type="dxa"/>
            <w:vAlign w:val="center"/>
          </w:tcPr>
          <w:p>
            <w:pPr>
              <w:pStyle w:val="13"/>
            </w:pPr>
            <w:r>
              <w:t>≤100万元</w:t>
            </w:r>
          </w:p>
        </w:tc>
        <w:tc>
          <w:tcPr>
            <w:tcW w:w="1276" w:type="dxa"/>
            <w:vAlign w:val="center"/>
          </w:tcPr>
          <w:p>
            <w:pPr>
              <w:pStyle w:val="13"/>
            </w:pPr>
            <w:r>
              <w:rPr>
                <w:rFonts w:hint="eastAsia"/>
                <w:lang w:eastAsia="zh-CN"/>
              </w:rPr>
              <w:t>单位</w:t>
            </w:r>
            <w:r>
              <w:t>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维持政府机关正常运转</w:t>
            </w:r>
          </w:p>
        </w:tc>
        <w:tc>
          <w:tcPr>
            <w:tcW w:w="5386" w:type="dxa"/>
            <w:vAlign w:val="center"/>
          </w:tcPr>
          <w:p>
            <w:pPr>
              <w:pStyle w:val="13"/>
            </w:pPr>
            <w:r>
              <w:t>维持政府机关正常供电情况</w:t>
            </w:r>
          </w:p>
        </w:tc>
        <w:tc>
          <w:tcPr>
            <w:tcW w:w="2268" w:type="dxa"/>
            <w:vAlign w:val="center"/>
          </w:tcPr>
          <w:p>
            <w:pPr>
              <w:pStyle w:val="13"/>
            </w:pPr>
            <w:r>
              <w:t>≥95%</w:t>
            </w:r>
          </w:p>
        </w:tc>
        <w:tc>
          <w:tcPr>
            <w:tcW w:w="1276" w:type="dxa"/>
            <w:vAlign w:val="center"/>
          </w:tcPr>
          <w:p>
            <w:pPr>
              <w:pStyle w:val="13"/>
            </w:pPr>
            <w:r>
              <w:rPr>
                <w:rFonts w:hint="eastAsia"/>
                <w:lang w:eastAsia="zh-CN"/>
              </w:rPr>
              <w:t>单位</w:t>
            </w:r>
            <w:r>
              <w:t>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政府机关工作人员对大院电力供应的满意度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11、政府机关水费及净水设备租赁费绩效目标表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13062524P000015101655</w:t>
            </w:r>
          </w:p>
        </w:tc>
        <w:tc>
          <w:tcPr>
            <w:tcW w:w="2835" w:type="dxa"/>
            <w:vAlign w:val="center"/>
          </w:tcPr>
          <w:p>
            <w:pPr>
              <w:pStyle w:val="11"/>
            </w:pPr>
            <w:r>
              <w:t>项目名称</w:t>
            </w:r>
          </w:p>
        </w:tc>
        <w:tc>
          <w:tcPr>
            <w:tcW w:w="6094" w:type="dxa"/>
            <w:gridSpan w:val="3"/>
            <w:vAlign w:val="center"/>
          </w:tcPr>
          <w:p>
            <w:pPr>
              <w:pStyle w:val="13"/>
            </w:pPr>
            <w:r>
              <w:t>政府机关水费及净水设备租赁费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为改善政府机关大院人员饮用水的质量，我单位特购置净水设备，提高饮用水水质。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1.依据</w:t>
            </w:r>
            <w:r>
              <w:rPr>
                <w:rFonts w:hint="eastAsia"/>
                <w:lang w:eastAsia="zh-CN"/>
              </w:rPr>
              <w:t>单位</w:t>
            </w:r>
            <w:r>
              <w:t>职责机关服务中心负责政府机关大院的用水情况及水费缴纳，缴纳水费不小于3次。</w:t>
            </w:r>
          </w:p>
          <w:p>
            <w:pPr>
              <w:pStyle w:val="13"/>
            </w:pPr>
            <w:r>
              <w:t>2.搞好服务保障，为不少于450的广大干部职工提供安全、快捷、细致、周到的工作环境。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用水人数</w:t>
            </w:r>
          </w:p>
        </w:tc>
        <w:tc>
          <w:tcPr>
            <w:tcW w:w="5386" w:type="dxa"/>
            <w:vAlign w:val="center"/>
          </w:tcPr>
          <w:p>
            <w:pPr>
              <w:pStyle w:val="13"/>
            </w:pPr>
            <w:r>
              <w:t>反映用水人数的情况</w:t>
            </w:r>
          </w:p>
        </w:tc>
        <w:tc>
          <w:tcPr>
            <w:tcW w:w="2268" w:type="dxa"/>
            <w:vAlign w:val="center"/>
          </w:tcPr>
          <w:p>
            <w:pPr>
              <w:pStyle w:val="13"/>
            </w:pPr>
            <w:r>
              <w:t>≥450人</w:t>
            </w:r>
          </w:p>
        </w:tc>
        <w:tc>
          <w:tcPr>
            <w:tcW w:w="1276" w:type="dxa"/>
            <w:vAlign w:val="center"/>
          </w:tcPr>
          <w:p>
            <w:pPr>
              <w:pStyle w:val="13"/>
            </w:pPr>
            <w:r>
              <w:rPr>
                <w:rFonts w:hint="eastAsia"/>
                <w:lang w:eastAsia="zh-CN"/>
              </w:rPr>
              <w:t>单位</w:t>
            </w:r>
            <w:r>
              <w:t>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交水费次数</w:t>
            </w:r>
          </w:p>
        </w:tc>
        <w:tc>
          <w:tcPr>
            <w:tcW w:w="5386" w:type="dxa"/>
            <w:vAlign w:val="center"/>
          </w:tcPr>
          <w:p>
            <w:pPr>
              <w:pStyle w:val="13"/>
            </w:pPr>
            <w:r>
              <w:t>反映交水费的次数情况</w:t>
            </w:r>
          </w:p>
        </w:tc>
        <w:tc>
          <w:tcPr>
            <w:tcW w:w="2268" w:type="dxa"/>
            <w:vAlign w:val="center"/>
          </w:tcPr>
          <w:p>
            <w:pPr>
              <w:pStyle w:val="13"/>
            </w:pPr>
            <w:r>
              <w:t>≥3次</w:t>
            </w:r>
          </w:p>
        </w:tc>
        <w:tc>
          <w:tcPr>
            <w:tcW w:w="1276" w:type="dxa"/>
            <w:vAlign w:val="center"/>
          </w:tcPr>
          <w:p>
            <w:pPr>
              <w:pStyle w:val="13"/>
            </w:pPr>
            <w:r>
              <w:rPr>
                <w:rFonts w:hint="eastAsia"/>
                <w:lang w:eastAsia="zh-CN"/>
              </w:rPr>
              <w:t>单位</w:t>
            </w:r>
            <w:r>
              <w:t>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公共区域供水率</w:t>
            </w:r>
          </w:p>
        </w:tc>
        <w:tc>
          <w:tcPr>
            <w:tcW w:w="5386" w:type="dxa"/>
            <w:vAlign w:val="center"/>
          </w:tcPr>
          <w:p>
            <w:pPr>
              <w:pStyle w:val="13"/>
            </w:pPr>
            <w:r>
              <w:t>反映公共区域供水情况</w:t>
            </w:r>
          </w:p>
        </w:tc>
        <w:tc>
          <w:tcPr>
            <w:tcW w:w="2268" w:type="dxa"/>
            <w:vAlign w:val="center"/>
          </w:tcPr>
          <w:p>
            <w:pPr>
              <w:pStyle w:val="13"/>
            </w:pPr>
            <w:r>
              <w:t>≥90%</w:t>
            </w:r>
          </w:p>
        </w:tc>
        <w:tc>
          <w:tcPr>
            <w:tcW w:w="1276" w:type="dxa"/>
            <w:vAlign w:val="center"/>
          </w:tcPr>
          <w:p>
            <w:pPr>
              <w:pStyle w:val="13"/>
            </w:pPr>
            <w:r>
              <w:rPr>
                <w:rFonts w:hint="eastAsia"/>
                <w:lang w:eastAsia="zh-CN"/>
              </w:rPr>
              <w:t>单位</w:t>
            </w:r>
            <w:r>
              <w:t>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反映资金支付的及时程度</w:t>
            </w:r>
          </w:p>
        </w:tc>
        <w:tc>
          <w:tcPr>
            <w:tcW w:w="2268" w:type="dxa"/>
            <w:vAlign w:val="center"/>
          </w:tcPr>
          <w:p>
            <w:pPr>
              <w:pStyle w:val="13"/>
            </w:pPr>
            <w:r>
              <w:t>≥90%</w:t>
            </w:r>
          </w:p>
        </w:tc>
        <w:tc>
          <w:tcPr>
            <w:tcW w:w="1276" w:type="dxa"/>
            <w:vAlign w:val="center"/>
          </w:tcPr>
          <w:p>
            <w:pPr>
              <w:pStyle w:val="13"/>
            </w:pPr>
            <w:r>
              <w:rPr>
                <w:rFonts w:hint="eastAsia"/>
                <w:lang w:eastAsia="zh-CN"/>
              </w:rPr>
              <w:t>单位</w:t>
            </w:r>
            <w:r>
              <w:t>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反映该项目成本支出情况</w:t>
            </w:r>
          </w:p>
        </w:tc>
        <w:tc>
          <w:tcPr>
            <w:tcW w:w="2268" w:type="dxa"/>
            <w:vAlign w:val="center"/>
          </w:tcPr>
          <w:p>
            <w:pPr>
              <w:pStyle w:val="13"/>
            </w:pPr>
            <w:r>
              <w:t>≤50万元</w:t>
            </w:r>
          </w:p>
        </w:tc>
        <w:tc>
          <w:tcPr>
            <w:tcW w:w="1276" w:type="dxa"/>
            <w:vAlign w:val="center"/>
          </w:tcPr>
          <w:p>
            <w:pPr>
              <w:pStyle w:val="13"/>
            </w:pPr>
            <w:r>
              <w:rPr>
                <w:rFonts w:hint="eastAsia"/>
                <w:lang w:eastAsia="zh-CN"/>
              </w:rPr>
              <w:t>单位</w:t>
            </w:r>
            <w:r>
              <w:t>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维持政府机关正常运转</w:t>
            </w:r>
          </w:p>
        </w:tc>
        <w:tc>
          <w:tcPr>
            <w:tcW w:w="5386" w:type="dxa"/>
            <w:vAlign w:val="center"/>
          </w:tcPr>
          <w:p>
            <w:pPr>
              <w:pStyle w:val="13"/>
            </w:pPr>
            <w:r>
              <w:t>维持政府机关正常供水情况</w:t>
            </w:r>
          </w:p>
        </w:tc>
        <w:tc>
          <w:tcPr>
            <w:tcW w:w="2268" w:type="dxa"/>
            <w:vAlign w:val="center"/>
          </w:tcPr>
          <w:p>
            <w:pPr>
              <w:pStyle w:val="13"/>
            </w:pPr>
            <w:r>
              <w:t>≥95%</w:t>
            </w:r>
          </w:p>
        </w:tc>
        <w:tc>
          <w:tcPr>
            <w:tcW w:w="1276" w:type="dxa"/>
            <w:vAlign w:val="center"/>
          </w:tcPr>
          <w:p>
            <w:pPr>
              <w:pStyle w:val="13"/>
            </w:pPr>
            <w:r>
              <w:rPr>
                <w:rFonts w:hint="eastAsia"/>
                <w:lang w:eastAsia="zh-CN"/>
              </w:rPr>
              <w:t>单位</w:t>
            </w:r>
            <w:r>
              <w:t>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政府机关工作人员对大院公共区域用水的满意度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w:t>
            </w:r>
            <w:r>
              <w:rPr>
                <w:rFonts w:hint="eastAsia"/>
                <w:lang w:eastAsia="zh-CN"/>
              </w:rPr>
              <w:t>单位</w:t>
            </w:r>
            <w:r>
              <w:t>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156.43</w:t>
            </w:r>
          </w:p>
        </w:tc>
        <w:tc>
          <w:tcPr>
            <w:tcW w:w="964" w:type="dxa"/>
            <w:vAlign w:val="center"/>
          </w:tcPr>
          <w:p>
            <w:pPr>
              <w:pStyle w:val="16"/>
            </w:pPr>
            <w:r>
              <w:t>156.43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保定市徐水区机关服务中心本级小计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156.43</w:t>
            </w:r>
          </w:p>
        </w:tc>
        <w:tc>
          <w:tcPr>
            <w:tcW w:w="964" w:type="dxa"/>
            <w:vAlign w:val="center"/>
          </w:tcPr>
          <w:p>
            <w:pPr>
              <w:pStyle w:val="16"/>
            </w:pPr>
            <w:r>
              <w:t>156.43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公用经费项目二（三保）</w:t>
            </w:r>
          </w:p>
        </w:tc>
        <w:tc>
          <w:tcPr>
            <w:tcW w:w="964" w:type="dxa"/>
            <w:vAlign w:val="center"/>
          </w:tcPr>
          <w:p>
            <w:pPr>
              <w:pStyle w:val="12"/>
            </w:pPr>
            <w:r>
              <w:t>5.23</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公用经费项目二（三保）</w:t>
            </w:r>
          </w:p>
        </w:tc>
        <w:tc>
          <w:tcPr>
            <w:tcW w:w="964" w:type="dxa"/>
            <w:vAlign w:val="center"/>
          </w:tcPr>
          <w:p>
            <w:pPr>
              <w:pStyle w:val="12"/>
            </w:pPr>
            <w:r>
              <w:t>5.23</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0.45</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保安服务费</w:t>
            </w:r>
          </w:p>
        </w:tc>
        <w:tc>
          <w:tcPr>
            <w:tcW w:w="964" w:type="dxa"/>
            <w:vAlign w:val="center"/>
          </w:tcPr>
          <w:p>
            <w:pPr>
              <w:pStyle w:val="12"/>
            </w:pPr>
            <w:r>
              <w:t>57.90</w:t>
            </w:r>
          </w:p>
        </w:tc>
        <w:tc>
          <w:tcPr>
            <w:tcW w:w="1134" w:type="dxa"/>
            <w:vAlign w:val="center"/>
          </w:tcPr>
          <w:p>
            <w:pPr>
              <w:pStyle w:val="13"/>
            </w:pPr>
            <w:r>
              <w:t>保安服务</w:t>
            </w:r>
          </w:p>
        </w:tc>
        <w:tc>
          <w:tcPr>
            <w:tcW w:w="1134" w:type="dxa"/>
            <w:vAlign w:val="center"/>
          </w:tcPr>
          <w:p>
            <w:pPr>
              <w:pStyle w:val="13"/>
            </w:pPr>
            <w:r>
              <w:t>C05040300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57.90</w:t>
            </w:r>
          </w:p>
        </w:tc>
        <w:tc>
          <w:tcPr>
            <w:tcW w:w="964" w:type="dxa"/>
            <w:vAlign w:val="center"/>
          </w:tcPr>
          <w:p>
            <w:pPr>
              <w:pStyle w:val="12"/>
            </w:pPr>
            <w:r>
              <w:t>57.90</w:t>
            </w:r>
          </w:p>
        </w:tc>
        <w:tc>
          <w:tcPr>
            <w:tcW w:w="964" w:type="dxa"/>
            <w:vAlign w:val="center"/>
          </w:tcPr>
          <w:p>
            <w:pPr>
              <w:pStyle w:val="12"/>
            </w:pPr>
            <w:r>
              <w:t>57.90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保洁费</w:t>
            </w:r>
          </w:p>
        </w:tc>
        <w:tc>
          <w:tcPr>
            <w:tcW w:w="964" w:type="dxa"/>
            <w:vAlign w:val="center"/>
          </w:tcPr>
          <w:p>
            <w:pPr>
              <w:pStyle w:val="12"/>
            </w:pPr>
            <w:r>
              <w:t>46.87</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46.87</w:t>
            </w:r>
          </w:p>
        </w:tc>
        <w:tc>
          <w:tcPr>
            <w:tcW w:w="964" w:type="dxa"/>
            <w:vAlign w:val="center"/>
          </w:tcPr>
          <w:p>
            <w:pPr>
              <w:pStyle w:val="12"/>
            </w:pPr>
            <w:r>
              <w:t>46.87</w:t>
            </w:r>
          </w:p>
        </w:tc>
        <w:tc>
          <w:tcPr>
            <w:tcW w:w="964" w:type="dxa"/>
            <w:vAlign w:val="center"/>
          </w:tcPr>
          <w:p>
            <w:pPr>
              <w:pStyle w:val="12"/>
            </w:pPr>
            <w:r>
              <w:t>46.87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后勤保障服务费</w:t>
            </w:r>
          </w:p>
        </w:tc>
        <w:tc>
          <w:tcPr>
            <w:tcW w:w="964" w:type="dxa"/>
            <w:vAlign w:val="center"/>
          </w:tcPr>
          <w:p>
            <w:pPr>
              <w:pStyle w:val="12"/>
            </w:pPr>
            <w:r>
              <w:t>123.95</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0.35</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后勤保障服务费</w:t>
            </w:r>
          </w:p>
        </w:tc>
        <w:tc>
          <w:tcPr>
            <w:tcW w:w="964" w:type="dxa"/>
            <w:vAlign w:val="center"/>
          </w:tcPr>
          <w:p>
            <w:pPr>
              <w:pStyle w:val="12"/>
            </w:pPr>
            <w:r>
              <w:t>123.95</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0.68</w:t>
            </w:r>
          </w:p>
        </w:tc>
        <w:tc>
          <w:tcPr>
            <w:tcW w:w="964" w:type="dxa"/>
            <w:vAlign w:val="center"/>
          </w:tcPr>
          <w:p>
            <w:pPr>
              <w:pStyle w:val="12"/>
            </w:pPr>
            <w:r>
              <w:t>0.68</w:t>
            </w:r>
          </w:p>
        </w:tc>
        <w:tc>
          <w:tcPr>
            <w:tcW w:w="964" w:type="dxa"/>
            <w:vAlign w:val="center"/>
          </w:tcPr>
          <w:p>
            <w:pPr>
              <w:pStyle w:val="12"/>
            </w:pPr>
            <w:r>
              <w:t>0.68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机关服务中心平台租赁车辆资金</w:t>
            </w:r>
          </w:p>
        </w:tc>
        <w:tc>
          <w:tcPr>
            <w:tcW w:w="964" w:type="dxa"/>
            <w:vAlign w:val="center"/>
          </w:tcPr>
          <w:p>
            <w:pPr>
              <w:pStyle w:val="12"/>
            </w:pPr>
            <w:r>
              <w:t>45.00</w:t>
            </w:r>
          </w:p>
        </w:tc>
        <w:tc>
          <w:tcPr>
            <w:tcW w:w="1134" w:type="dxa"/>
            <w:vAlign w:val="center"/>
          </w:tcPr>
          <w:p>
            <w:pPr>
              <w:pStyle w:val="13"/>
            </w:pPr>
            <w:r>
              <w:t>车辆及其他运输机械租赁服务</w:t>
            </w:r>
          </w:p>
        </w:tc>
        <w:tc>
          <w:tcPr>
            <w:tcW w:w="1134" w:type="dxa"/>
            <w:vAlign w:val="center"/>
          </w:tcPr>
          <w:p>
            <w:pPr>
              <w:pStyle w:val="13"/>
            </w:pPr>
            <w:r>
              <w:t>C23110300</w:t>
            </w:r>
          </w:p>
        </w:tc>
        <w:tc>
          <w:tcPr>
            <w:tcW w:w="709" w:type="dxa"/>
            <w:vAlign w:val="center"/>
          </w:tcPr>
          <w:p>
            <w:pPr>
              <w:pStyle w:val="14"/>
            </w:pPr>
            <w:r>
              <w:t>辆</w:t>
            </w:r>
          </w:p>
        </w:tc>
        <w:tc>
          <w:tcPr>
            <w:tcW w:w="850" w:type="dxa"/>
            <w:vAlign w:val="center"/>
          </w:tcPr>
          <w:p>
            <w:pPr>
              <w:pStyle w:val="12"/>
            </w:pPr>
            <w:r>
              <w:t>10</w:t>
            </w:r>
          </w:p>
        </w:tc>
        <w:tc>
          <w:tcPr>
            <w:tcW w:w="850" w:type="dxa"/>
            <w:vAlign w:val="center"/>
          </w:tcPr>
          <w:p>
            <w:pPr>
              <w:pStyle w:val="12"/>
            </w:pPr>
            <w:r>
              <w:t>4.50</w:t>
            </w:r>
          </w:p>
        </w:tc>
        <w:tc>
          <w:tcPr>
            <w:tcW w:w="964" w:type="dxa"/>
            <w:vAlign w:val="center"/>
          </w:tcPr>
          <w:p>
            <w:pPr>
              <w:pStyle w:val="12"/>
            </w:pPr>
            <w:r>
              <w:t>45.00</w:t>
            </w:r>
          </w:p>
        </w:tc>
        <w:tc>
          <w:tcPr>
            <w:tcW w:w="964" w:type="dxa"/>
            <w:vAlign w:val="center"/>
          </w:tcPr>
          <w:p>
            <w:pPr>
              <w:pStyle w:val="12"/>
            </w:pPr>
            <w:r>
              <w:t>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政府机关水费及净水设备租赁费</w:t>
            </w:r>
          </w:p>
        </w:tc>
        <w:tc>
          <w:tcPr>
            <w:tcW w:w="964" w:type="dxa"/>
            <w:vAlign w:val="center"/>
          </w:tcPr>
          <w:p>
            <w:pPr>
              <w:pStyle w:val="12"/>
            </w:pPr>
            <w:r>
              <w:t>50.00</w:t>
            </w:r>
          </w:p>
        </w:tc>
        <w:tc>
          <w:tcPr>
            <w:tcW w:w="1134" w:type="dxa"/>
            <w:vAlign w:val="center"/>
          </w:tcPr>
          <w:p>
            <w:pPr>
              <w:pStyle w:val="13"/>
            </w:pPr>
            <w:r>
              <w:t>其他用具</w:t>
            </w:r>
          </w:p>
        </w:tc>
        <w:tc>
          <w:tcPr>
            <w:tcW w:w="1134" w:type="dxa"/>
            <w:vAlign w:val="center"/>
          </w:tcPr>
          <w:p>
            <w:pPr>
              <w:pStyle w:val="13"/>
            </w:pPr>
            <w:r>
              <w:t>A05029900</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0.68</w:t>
            </w:r>
          </w:p>
        </w:tc>
        <w:tc>
          <w:tcPr>
            <w:tcW w:w="964" w:type="dxa"/>
            <w:vAlign w:val="center"/>
          </w:tcPr>
          <w:p>
            <w:pPr>
              <w:pStyle w:val="12"/>
            </w:pPr>
            <w:r>
              <w:t>4.08</w:t>
            </w:r>
          </w:p>
        </w:tc>
        <w:tc>
          <w:tcPr>
            <w:tcW w:w="964" w:type="dxa"/>
            <w:vAlign w:val="center"/>
          </w:tcPr>
          <w:p>
            <w:pPr>
              <w:pStyle w:val="12"/>
            </w:pPr>
            <w:r>
              <w:t>4.08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保定市徐水区机关服务中心本级上年末固定资产金额为5556.92万元（详见下表）。本年度拟购置固定资产总额为6.66万元，已按要求列入政府采购预算，详见政府采购预算表。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5556.92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44092.86</w:t>
            </w:r>
          </w:p>
        </w:tc>
        <w:tc>
          <w:tcPr>
            <w:tcW w:w="2835" w:type="dxa"/>
            <w:vAlign w:val="center"/>
          </w:tcPr>
          <w:p>
            <w:pPr>
              <w:pStyle w:val="12"/>
            </w:pPr>
            <w:r>
              <w:t>4590.35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43212.86</w:t>
            </w:r>
          </w:p>
        </w:tc>
        <w:tc>
          <w:tcPr>
            <w:tcW w:w="2835" w:type="dxa"/>
            <w:vAlign w:val="center"/>
          </w:tcPr>
          <w:p>
            <w:pPr>
              <w:pStyle w:val="12"/>
            </w:pPr>
            <w:r>
              <w:t>4356.11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6</w:t>
            </w:r>
          </w:p>
        </w:tc>
        <w:tc>
          <w:tcPr>
            <w:tcW w:w="2835" w:type="dxa"/>
            <w:vAlign w:val="center"/>
          </w:tcPr>
          <w:p>
            <w:pPr>
              <w:pStyle w:val="12"/>
            </w:pPr>
            <w:r>
              <w:t>291.00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1283</w:t>
            </w:r>
          </w:p>
        </w:tc>
        <w:tc>
          <w:tcPr>
            <w:tcW w:w="2835" w:type="dxa"/>
            <w:vAlign w:val="center"/>
          </w:tcPr>
          <w:p>
            <w:pPr>
              <w:pStyle w:val="12"/>
            </w:pPr>
            <w:r>
              <w:t>647.07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000000"/>
    <w:rsid w:val="01B459DD"/>
    <w:rsid w:val="04F421FA"/>
    <w:rsid w:val="05F42FDB"/>
    <w:rsid w:val="088E3D84"/>
    <w:rsid w:val="0C6E21ED"/>
    <w:rsid w:val="0D0D2919"/>
    <w:rsid w:val="0E562FE1"/>
    <w:rsid w:val="11406B83"/>
    <w:rsid w:val="11883549"/>
    <w:rsid w:val="121626EA"/>
    <w:rsid w:val="12885BF7"/>
    <w:rsid w:val="137A557C"/>
    <w:rsid w:val="16FE2AD4"/>
    <w:rsid w:val="170A4879"/>
    <w:rsid w:val="175A18B0"/>
    <w:rsid w:val="193677D3"/>
    <w:rsid w:val="1B620910"/>
    <w:rsid w:val="1D782A38"/>
    <w:rsid w:val="1ED20F04"/>
    <w:rsid w:val="20061BA7"/>
    <w:rsid w:val="20FA2F21"/>
    <w:rsid w:val="23865D12"/>
    <w:rsid w:val="28CA7D26"/>
    <w:rsid w:val="29DA0BA3"/>
    <w:rsid w:val="2F1D2153"/>
    <w:rsid w:val="38D03BD0"/>
    <w:rsid w:val="3A0B6944"/>
    <w:rsid w:val="3AC609DD"/>
    <w:rsid w:val="3B97622F"/>
    <w:rsid w:val="3C807A02"/>
    <w:rsid w:val="3F04068D"/>
    <w:rsid w:val="3FAD6C65"/>
    <w:rsid w:val="46313A07"/>
    <w:rsid w:val="49154142"/>
    <w:rsid w:val="49AE3BEB"/>
    <w:rsid w:val="4FD42277"/>
    <w:rsid w:val="500327AF"/>
    <w:rsid w:val="50230601"/>
    <w:rsid w:val="516D2B44"/>
    <w:rsid w:val="57084ADD"/>
    <w:rsid w:val="576F3DA3"/>
    <w:rsid w:val="5AEC1267"/>
    <w:rsid w:val="5BCA532B"/>
    <w:rsid w:val="5E841C4E"/>
    <w:rsid w:val="613E753E"/>
    <w:rsid w:val="632E1C22"/>
    <w:rsid w:val="66EB5626"/>
    <w:rsid w:val="67F47184"/>
    <w:rsid w:val="69265823"/>
    <w:rsid w:val="6E2F6657"/>
    <w:rsid w:val="6FCF6E5F"/>
    <w:rsid w:val="701876F1"/>
    <w:rsid w:val="71676E25"/>
    <w:rsid w:val="72C679EF"/>
    <w:rsid w:val="76205FDE"/>
    <w:rsid w:val="79F6247E"/>
    <w:rsid w:val="7A5B0753"/>
    <w:rsid w:val="7D93141A"/>
    <w:rsid w:val="7E972A0B"/>
    <w:rsid w:val="7EDE712F"/>
    <w:rsid w:val="7F6D5E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2024-02-26T17:46:39Z</dcterms:created>
  <dcterms:modified xsi:type="dcterms:W3CDTF">2024-02-26T09:46:39Z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2024-02-26T17:46:39Z</dcterms:created>
  <dcterms:modified xsi:type="dcterms:W3CDTF">2024-02-26T09:46:39Z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2024-02-26T17:46:39Z</dcterms:created>
  <dcterms:modified xsi:type="dcterms:W3CDTF">2024-02-26T09:46:39Z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2024-02-26T17:46:40Z</dcterms:created>
  <dcterms:modified xsi:type="dcterms:W3CDTF">2024-02-26T09:46:40Z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2024-02-26T17:46:38Z</dcterms:created>
  <dcterms:modified xsi:type="dcterms:W3CDTF">2024-02-26T09:46:38Z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2024-02-26T17:46:40Z</dcterms:created>
  <dcterms:modified xsi:type="dcterms:W3CDTF">2024-02-26T09:46:40Z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2024-02-26T17:46:40Z</dcterms:created>
  <dcterms:modified xsi:type="dcterms:W3CDTF">2024-02-26T09:46:40Z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2024-02-26T17:46:37Z</dcterms:created>
  <dcterms:modified xsi:type="dcterms:W3CDTF">2024-02-26T09:46:37Z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2024-02-26T17:46:38Z</dcterms:created>
  <dcterms:modified xsi:type="dcterms:W3CDTF">2024-02-26T09:46:38Z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2024-02-26T17:46:38Z</dcterms:created>
  <dcterms:modified xsi:type="dcterms:W3CDTF">2024-02-26T09:46:38Z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2024-02-26T17:46:35Z</dcterms:created>
  <dcterms:modified xsi:type="dcterms:W3CDTF">2024-02-26T09:46:35Z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2024-02-26T17:46:39Z</dcterms:created>
  <dcterms:modified xsi:type="dcterms:W3CDTF">2024-02-26T09:46:39Z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2024-02-26T17:46:39Z</dcterms:created>
  <dcterms:modified xsi:type="dcterms:W3CDTF">2024-02-26T09:46:39Z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2024-02-26T17:46:39Z</dcterms:created>
  <dcterms:modified xsi:type="dcterms:W3CDTF">2024-02-26T09:46:39Z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aac6d3-665f-4cff-bfb0-d301e046e370}">
  <ds:schemaRefs/>
</ds:datastoreItem>
</file>

<file path=customXml/itemProps11.xml><?xml version="1.0" encoding="utf-8"?>
<ds:datastoreItem xmlns:ds="http://schemas.openxmlformats.org/officeDocument/2006/customXml" ds:itemID="{bffe6aaf-2407-4514-bb8f-25b47533cfe9}">
  <ds:schemaRefs/>
</ds:datastoreItem>
</file>

<file path=customXml/itemProps12.xml><?xml version="1.0" encoding="utf-8"?>
<ds:datastoreItem xmlns:ds="http://schemas.openxmlformats.org/officeDocument/2006/customXml" ds:itemID="{8739ed86-529f-4a30-9a83-6538d6875723}">
  <ds:schemaRefs/>
</ds:datastoreItem>
</file>

<file path=customXml/itemProps13.xml><?xml version="1.0" encoding="utf-8"?>
<ds:datastoreItem xmlns:ds="http://schemas.openxmlformats.org/officeDocument/2006/customXml" ds:itemID="{acdf2bc0-1a77-4f84-8743-e936ac103225}">
  <ds:schemaRefs/>
</ds:datastoreItem>
</file>

<file path=customXml/itemProps14.xml><?xml version="1.0" encoding="utf-8"?>
<ds:datastoreItem xmlns:ds="http://schemas.openxmlformats.org/officeDocument/2006/customXml" ds:itemID="{d1701d2e-ff70-4d66-9b4f-282b7443e25f}">
  <ds:schemaRefs/>
</ds:datastoreItem>
</file>

<file path=customXml/itemProps15.xml><?xml version="1.0" encoding="utf-8"?>
<ds:datastoreItem xmlns:ds="http://schemas.openxmlformats.org/officeDocument/2006/customXml" ds:itemID="{71e96eae-f8b1-4de9-b6f6-46a1dfb4ec52}">
  <ds:schemaRefs/>
</ds:datastoreItem>
</file>

<file path=customXml/itemProps16.xml><?xml version="1.0" encoding="utf-8"?>
<ds:datastoreItem xmlns:ds="http://schemas.openxmlformats.org/officeDocument/2006/customXml" ds:itemID="{7f6011c9-a053-4c5f-9a2d-0e812e7c11da}">
  <ds:schemaRefs/>
</ds:datastoreItem>
</file>

<file path=customXml/itemProps17.xml><?xml version="1.0" encoding="utf-8"?>
<ds:datastoreItem xmlns:ds="http://schemas.openxmlformats.org/officeDocument/2006/customXml" ds:itemID="{186b9fc8-3db0-41a0-acc6-8d077d643ed6}">
  <ds:schemaRefs/>
</ds:datastoreItem>
</file>

<file path=customXml/itemProps18.xml><?xml version="1.0" encoding="utf-8"?>
<ds:datastoreItem xmlns:ds="http://schemas.openxmlformats.org/officeDocument/2006/customXml" ds:itemID="{ada10a36-484e-4236-a3a6-72c31600feb1}">
  <ds:schemaRefs/>
</ds:datastoreItem>
</file>

<file path=customXml/itemProps19.xml><?xml version="1.0" encoding="utf-8"?>
<ds:datastoreItem xmlns:ds="http://schemas.openxmlformats.org/officeDocument/2006/customXml" ds:itemID="{8281d468-8bf4-49a1-b95e-484c1ef863ae}">
  <ds:schemaRefs/>
</ds:datastoreItem>
</file>

<file path=customXml/itemProps2.xml><?xml version="1.0" encoding="utf-8"?>
<ds:datastoreItem xmlns:ds="http://schemas.openxmlformats.org/officeDocument/2006/customXml" ds:itemID="{27de9672-38a9-439b-85e4-90d1becf8d24}">
  <ds:schemaRefs/>
</ds:datastoreItem>
</file>

<file path=customXml/itemProps20.xml><?xml version="1.0" encoding="utf-8"?>
<ds:datastoreItem xmlns:ds="http://schemas.openxmlformats.org/officeDocument/2006/customXml" ds:itemID="{103ffebf-c91c-418f-9caf-7fcb23f7b16b}">
  <ds:schemaRefs/>
</ds:datastoreItem>
</file>

<file path=customXml/itemProps21.xml><?xml version="1.0" encoding="utf-8"?>
<ds:datastoreItem xmlns:ds="http://schemas.openxmlformats.org/officeDocument/2006/customXml" ds:itemID="{75610556-c9c2-42ca-8c71-099c0419e163}">
  <ds:schemaRefs/>
</ds:datastoreItem>
</file>

<file path=customXml/itemProps22.xml><?xml version="1.0" encoding="utf-8"?>
<ds:datastoreItem xmlns:ds="http://schemas.openxmlformats.org/officeDocument/2006/customXml" ds:itemID="{07c437aa-3b23-4634-a61a-d950525f0b56}">
  <ds:schemaRefs/>
</ds:datastoreItem>
</file>

<file path=customXml/itemProps23.xml><?xml version="1.0" encoding="utf-8"?>
<ds:datastoreItem xmlns:ds="http://schemas.openxmlformats.org/officeDocument/2006/customXml" ds:itemID="{5caeb172-3987-4f3c-b34d-b87ccb55010c}">
  <ds:schemaRefs/>
</ds:datastoreItem>
</file>

<file path=customXml/itemProps24.xml><?xml version="1.0" encoding="utf-8"?>
<ds:datastoreItem xmlns:ds="http://schemas.openxmlformats.org/officeDocument/2006/customXml" ds:itemID="{e19ea83b-b72f-4f6d-9712-d6c794362490}">
  <ds:schemaRefs/>
</ds:datastoreItem>
</file>

<file path=customXml/itemProps25.xml><?xml version="1.0" encoding="utf-8"?>
<ds:datastoreItem xmlns:ds="http://schemas.openxmlformats.org/officeDocument/2006/customXml" ds:itemID="{b9e56f3f-7d07-42a9-944a-8322d36e7d3a}">
  <ds:schemaRefs/>
</ds:datastoreItem>
</file>

<file path=customXml/itemProps26.xml><?xml version="1.0" encoding="utf-8"?>
<ds:datastoreItem xmlns:ds="http://schemas.openxmlformats.org/officeDocument/2006/customXml" ds:itemID="{377a9553-1a5e-4c42-aed3-33b15d7dae1a}">
  <ds:schemaRefs/>
</ds:datastoreItem>
</file>

<file path=customXml/itemProps27.xml><?xml version="1.0" encoding="utf-8"?>
<ds:datastoreItem xmlns:ds="http://schemas.openxmlformats.org/officeDocument/2006/customXml" ds:itemID="{d3bc713b-4ddf-440c-b234-c1830f359daf}">
  <ds:schemaRefs/>
</ds:datastoreItem>
</file>

<file path=customXml/itemProps28.xml><?xml version="1.0" encoding="utf-8"?>
<ds:datastoreItem xmlns:ds="http://schemas.openxmlformats.org/officeDocument/2006/customXml" ds:itemID="{4bc43b5e-ae37-4ae0-a88c-2082d1abc31c}">
  <ds:schemaRefs/>
</ds:datastoreItem>
</file>

<file path=customXml/itemProps29.xml><?xml version="1.0" encoding="utf-8"?>
<ds:datastoreItem xmlns:ds="http://schemas.openxmlformats.org/officeDocument/2006/customXml" ds:itemID="{2ed6e97f-2125-4960-bd2b-6cb3bfac52a7}">
  <ds:schemaRefs/>
</ds:datastoreItem>
</file>

<file path=customXml/itemProps3.xml><?xml version="1.0" encoding="utf-8"?>
<ds:datastoreItem xmlns:ds="http://schemas.openxmlformats.org/officeDocument/2006/customXml" ds:itemID="{656f57c4-22e6-4622-b050-19ebd9a0fefd}">
  <ds:schemaRefs/>
</ds:datastoreItem>
</file>

<file path=customXml/itemProps4.xml><?xml version="1.0" encoding="utf-8"?>
<ds:datastoreItem xmlns:ds="http://schemas.openxmlformats.org/officeDocument/2006/customXml" ds:itemID="{e13483c7-7f76-43bc-8c6d-fee92e4dc65d}">
  <ds:schemaRefs/>
</ds:datastoreItem>
</file>

<file path=customXml/itemProps5.xml><?xml version="1.0" encoding="utf-8"?>
<ds:datastoreItem xmlns:ds="http://schemas.openxmlformats.org/officeDocument/2006/customXml" ds:itemID="{ec0076e8-f4c2-48d6-b958-0ffd06594cf0}">
  <ds:schemaRefs/>
</ds:datastoreItem>
</file>

<file path=customXml/itemProps6.xml><?xml version="1.0" encoding="utf-8"?>
<ds:datastoreItem xmlns:ds="http://schemas.openxmlformats.org/officeDocument/2006/customXml" ds:itemID="{2219d591-013a-42e0-9e5d-69ca47115a56}">
  <ds:schemaRefs/>
</ds:datastoreItem>
</file>

<file path=customXml/itemProps7.xml><?xml version="1.0" encoding="utf-8"?>
<ds:datastoreItem xmlns:ds="http://schemas.openxmlformats.org/officeDocument/2006/customXml" ds:itemID="{b259d539-b4d2-4837-a49f-78ce59d57fc0}">
  <ds:schemaRefs/>
</ds:datastoreItem>
</file>

<file path=customXml/itemProps8.xml><?xml version="1.0" encoding="utf-8"?>
<ds:datastoreItem xmlns:ds="http://schemas.openxmlformats.org/officeDocument/2006/customXml" ds:itemID="{e65a6481-30d9-40b8-b38d-193f7a4775b4}">
  <ds:schemaRefs/>
</ds:datastoreItem>
</file>

<file path=customXml/itemProps9.xml><?xml version="1.0" encoding="utf-8"?>
<ds:datastoreItem xmlns:ds="http://schemas.openxmlformats.org/officeDocument/2006/customXml" ds:itemID="{59f2677a-8ee9-418f-808a-a7cd8c98ae51}">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2024-02-26T17:46:00Z</dcterms:created>
  <dc:creator>Administrator</dc:creator>
  <cp:lastModifiedBy>user</cp:lastModifiedBy>
  <cp:lastPrinted>2024-02-26T10:13:00Z</cp:lastPrinted>
  <dcterms:modified xsi:type="dcterms:W3CDTF">2024-02-26T10:43:00Z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A9C3458E24D441C39B6E186E11C6F4F1</vt:lpwstr>
  </property>
</Properties>
</file>