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保定市徐水区瀑河乡</w:t>
      </w:r>
    </w:p>
    <w:p>
      <w:pPr>
        <w:spacing w:line="360" w:lineRule="auto"/>
        <w:jc w:val="center"/>
        <w:rPr>
          <w:rFonts w:ascii="宋体" w:hAnsi="宋体" w:eastAsia="宋体"/>
          <w:b/>
          <w:sz w:val="44"/>
          <w:szCs w:val="44"/>
        </w:rPr>
      </w:pPr>
      <w:r>
        <w:rPr>
          <w:rFonts w:ascii="宋体" w:hAnsi="宋体" w:eastAsia="宋体"/>
          <w:b/>
          <w:sz w:val="44"/>
          <w:szCs w:val="44"/>
        </w:rPr>
        <w:t>2021年部门预算公开说明</w:t>
      </w:r>
    </w:p>
    <w:p>
      <w:pPr>
        <w:tabs>
          <w:tab w:val="left" w:pos="5274"/>
        </w:tabs>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val="en-US" w:eastAsia="zh-CN"/>
        </w:rPr>
        <w:t>中华人民共和国</w:t>
      </w:r>
      <w:bookmarkStart w:id="5" w:name="_GoBack"/>
      <w:bookmarkEnd w:id="5"/>
      <w:r>
        <w:rPr>
          <w:rFonts w:hint="eastAsia" w:ascii="仿宋" w:hAnsi="仿宋" w:eastAsia="仿宋"/>
          <w:sz w:val="32"/>
          <w:szCs w:val="32"/>
        </w:rPr>
        <w:t>预算法》、《地方预决算公开操作规程》等文件规定，现将我部门预算信息公开如下：</w:t>
      </w:r>
    </w:p>
    <w:p>
      <w:pPr>
        <w:ind w:firstLine="1760" w:firstLineChars="400"/>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根据《保定市徐水区瀑河乡人民政府职能配置、内设机构和人员编制规定》，</w:t>
      </w:r>
      <w:r>
        <w:rPr>
          <w:rFonts w:ascii="仿宋" w:hAnsi="仿宋" w:eastAsia="仿宋"/>
          <w:sz w:val="32"/>
          <w:szCs w:val="32"/>
        </w:rPr>
        <w:t xml:space="preserve"> 保定市徐水区瀑河乡人民政府的主要职责是：</w:t>
      </w:r>
    </w:p>
    <w:p>
      <w:pPr>
        <w:spacing w:line="500" w:lineRule="exact"/>
        <w:ind w:firstLine="640" w:firstLineChars="200"/>
        <w:jc w:val="left"/>
        <w:rPr>
          <w:rFonts w:hint="eastAsia" w:ascii="仿宋" w:hAnsi="仿宋" w:eastAsia="仿宋"/>
          <w:sz w:val="32"/>
          <w:szCs w:val="32"/>
        </w:rPr>
      </w:pPr>
      <w:r>
        <w:rPr>
          <w:rFonts w:ascii="仿宋" w:hAnsi="仿宋" w:eastAsia="仿宋"/>
          <w:sz w:val="32"/>
          <w:szCs w:val="32"/>
        </w:rPr>
        <w:t>在本行政区域内，保证宪法、法律、行政法规和省人民代表大会及其常务委员会决议的遵守和执行；领导或者主持乡人民代表大会代表的选举；召集乡人民代表大会会议；讨论、决定本行政区域内的政治、经济、教育、科学、文化、 卫生、环境和资源保护、民政、民族等工作的重大事项；根据乡人民政府的建议，决定对本行政区域内的国民经济和社会发展计划、预算的部分变更；监督乡政府，联系乡人民代表大会代表，受理人民群众对上述机关和国家工作人员的申诉和意见；撤销乡人民代表大会及其常务委员会的不适当的决议；撤销乡人民政府的不适当的决定和命令；在乡人民代表大会闭会期间，决定副乡长的个别任免</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2692" w:type="dxa"/>
            <w:tcBorders>
              <w:bottom w:val="single" w:color="000000"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单位名称</w:t>
            </w:r>
          </w:p>
        </w:tc>
        <w:tc>
          <w:tcPr>
            <w:tcW w:w="1701" w:type="dxa"/>
            <w:tcBorders>
              <w:bottom w:val="single" w:color="000000"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单位性质</w:t>
            </w:r>
          </w:p>
        </w:tc>
        <w:tc>
          <w:tcPr>
            <w:tcW w:w="1418" w:type="dxa"/>
            <w:tcBorders>
              <w:bottom w:val="single" w:color="000000"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单位规格</w:t>
            </w:r>
          </w:p>
        </w:tc>
        <w:tc>
          <w:tcPr>
            <w:tcW w:w="3260" w:type="dxa"/>
            <w:tcBorders>
              <w:bottom w:val="single" w:color="000000"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spacing w:line="300" w:lineRule="exact"/>
              <w:jc w:val="center"/>
              <w:rPr>
                <w:rFonts w:ascii="仿宋" w:hAnsi="仿宋" w:eastAsia="仿宋"/>
                <w:sz w:val="28"/>
                <w:szCs w:val="28"/>
              </w:rPr>
            </w:pPr>
            <w:r>
              <w:rPr>
                <w:rFonts w:hint="eastAsia" w:ascii="仿宋" w:hAnsi="仿宋" w:eastAsia="仿宋"/>
                <w:sz w:val="28"/>
                <w:szCs w:val="28"/>
              </w:rPr>
              <w:t>1</w:t>
            </w:r>
          </w:p>
        </w:tc>
        <w:tc>
          <w:tcPr>
            <w:tcW w:w="2692" w:type="dxa"/>
            <w:tcBorders>
              <w:bottom w:val="single" w:color="auto" w:sz="4" w:space="0"/>
            </w:tcBorders>
            <w:vAlign w:val="center"/>
          </w:tcPr>
          <w:p>
            <w:pPr>
              <w:spacing w:line="300" w:lineRule="exact"/>
              <w:jc w:val="center"/>
              <w:rPr>
                <w:rFonts w:hint="eastAsia" w:ascii="仿宋" w:hAnsi="仿宋" w:eastAsia="仿宋"/>
                <w:sz w:val="28"/>
                <w:szCs w:val="28"/>
              </w:rPr>
            </w:pPr>
            <w:r>
              <w:rPr>
                <w:rFonts w:hint="eastAsia" w:ascii="仿宋" w:hAnsi="仿宋" w:eastAsia="仿宋"/>
                <w:sz w:val="28"/>
                <w:szCs w:val="28"/>
              </w:rPr>
              <w:t>保定市徐水区瀑河</w:t>
            </w:r>
          </w:p>
          <w:p>
            <w:pPr>
              <w:spacing w:line="300" w:lineRule="exact"/>
              <w:jc w:val="center"/>
              <w:rPr>
                <w:rFonts w:ascii="仿宋" w:hAnsi="仿宋" w:eastAsia="仿宋"/>
                <w:sz w:val="28"/>
                <w:szCs w:val="28"/>
              </w:rPr>
            </w:pPr>
            <w:r>
              <w:rPr>
                <w:rFonts w:hint="eastAsia" w:ascii="仿宋" w:hAnsi="仿宋" w:eastAsia="仿宋"/>
                <w:sz w:val="28"/>
                <w:szCs w:val="28"/>
              </w:rPr>
              <w:t>乡人民政府</w:t>
            </w:r>
          </w:p>
        </w:tc>
        <w:tc>
          <w:tcPr>
            <w:tcW w:w="1701" w:type="dxa"/>
            <w:vAlign w:val="center"/>
          </w:tcPr>
          <w:p>
            <w:pPr>
              <w:spacing w:line="300" w:lineRule="exact"/>
              <w:jc w:val="center"/>
              <w:rPr>
                <w:rFonts w:ascii="仿宋" w:hAnsi="仿宋" w:eastAsia="仿宋"/>
                <w:sz w:val="28"/>
                <w:szCs w:val="28"/>
              </w:rPr>
            </w:pPr>
            <w:r>
              <w:rPr>
                <w:rFonts w:hint="eastAsia" w:ascii="仿宋" w:hAnsi="仿宋" w:eastAsia="仿宋"/>
                <w:sz w:val="28"/>
                <w:szCs w:val="28"/>
              </w:rPr>
              <w:t>行政</w:t>
            </w:r>
          </w:p>
        </w:tc>
        <w:tc>
          <w:tcPr>
            <w:tcW w:w="1418" w:type="dxa"/>
            <w:vAlign w:val="center"/>
          </w:tcPr>
          <w:p>
            <w:pPr>
              <w:spacing w:line="300" w:lineRule="exact"/>
              <w:jc w:val="center"/>
              <w:rPr>
                <w:rFonts w:ascii="仿宋" w:hAnsi="仿宋" w:eastAsia="仿宋"/>
                <w:sz w:val="28"/>
                <w:szCs w:val="28"/>
              </w:rPr>
            </w:pPr>
            <w:r>
              <w:rPr>
                <w:rFonts w:hint="eastAsia" w:ascii="仿宋" w:hAnsi="仿宋" w:eastAsia="仿宋"/>
                <w:sz w:val="28"/>
                <w:szCs w:val="28"/>
              </w:rPr>
              <w:t>正科级</w:t>
            </w:r>
          </w:p>
        </w:tc>
        <w:tc>
          <w:tcPr>
            <w:tcW w:w="3260" w:type="dxa"/>
            <w:vAlign w:val="center"/>
          </w:tcPr>
          <w:p>
            <w:pPr>
              <w:spacing w:line="300" w:lineRule="exact"/>
              <w:jc w:val="center"/>
              <w:rPr>
                <w:rFonts w:ascii="仿宋" w:hAnsi="仿宋" w:eastAsia="仿宋"/>
                <w:sz w:val="28"/>
                <w:szCs w:val="28"/>
              </w:rPr>
            </w:pPr>
            <w:r>
              <w:rPr>
                <w:rFonts w:hint="eastAsia" w:ascii="仿宋" w:hAnsi="仿宋" w:eastAsia="仿宋"/>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spacing w:line="300" w:lineRule="exact"/>
              <w:jc w:val="center"/>
              <w:rPr>
                <w:rFonts w:ascii="仿宋" w:hAnsi="仿宋" w:eastAsia="仿宋"/>
                <w:sz w:val="28"/>
                <w:szCs w:val="28"/>
              </w:rPr>
            </w:pPr>
            <w:r>
              <w:rPr>
                <w:rFonts w:hint="eastAsia" w:ascii="仿宋" w:hAnsi="仿宋" w:eastAsia="仿宋"/>
                <w:sz w:val="28"/>
                <w:szCs w:val="28"/>
              </w:rPr>
              <w:t>2</w:t>
            </w:r>
          </w:p>
        </w:tc>
        <w:tc>
          <w:tcPr>
            <w:tcW w:w="2692" w:type="dxa"/>
            <w:tcBorders>
              <w:top w:val="single" w:color="auto" w:sz="4" w:space="0"/>
              <w:bottom w:val="single" w:color="auto" w:sz="4" w:space="0"/>
            </w:tcBorders>
            <w:vAlign w:val="center"/>
          </w:tcPr>
          <w:p>
            <w:pPr>
              <w:spacing w:line="300" w:lineRule="exact"/>
              <w:ind w:left="420" w:hanging="420" w:hangingChars="150"/>
              <w:jc w:val="left"/>
              <w:rPr>
                <w:rFonts w:ascii="仿宋" w:hAnsi="仿宋" w:eastAsia="仿宋"/>
                <w:sz w:val="28"/>
                <w:szCs w:val="28"/>
              </w:rPr>
            </w:pPr>
            <w:r>
              <w:rPr>
                <w:rFonts w:hint="eastAsia" w:ascii="仿宋" w:hAnsi="仿宋" w:eastAsia="仿宋"/>
                <w:sz w:val="28"/>
                <w:szCs w:val="28"/>
              </w:rPr>
              <w:t>保定市徐水区瀑河乡人民政府</w:t>
            </w:r>
          </w:p>
        </w:tc>
        <w:tc>
          <w:tcPr>
            <w:tcW w:w="1701" w:type="dxa"/>
            <w:vAlign w:val="center"/>
          </w:tcPr>
          <w:p>
            <w:pPr>
              <w:spacing w:line="300" w:lineRule="exact"/>
              <w:jc w:val="center"/>
              <w:rPr>
                <w:rFonts w:ascii="仿宋" w:hAnsi="仿宋" w:eastAsia="仿宋"/>
                <w:sz w:val="28"/>
                <w:szCs w:val="28"/>
              </w:rPr>
            </w:pPr>
            <w:r>
              <w:rPr>
                <w:rFonts w:hint="eastAsia" w:ascii="仿宋" w:hAnsi="仿宋" w:eastAsia="仿宋"/>
                <w:sz w:val="28"/>
                <w:szCs w:val="28"/>
              </w:rPr>
              <w:t>事业</w:t>
            </w:r>
          </w:p>
        </w:tc>
        <w:tc>
          <w:tcPr>
            <w:tcW w:w="1418" w:type="dxa"/>
            <w:vAlign w:val="center"/>
          </w:tcPr>
          <w:p>
            <w:pPr>
              <w:spacing w:line="300" w:lineRule="exact"/>
              <w:jc w:val="center"/>
              <w:rPr>
                <w:rFonts w:ascii="仿宋" w:hAnsi="仿宋" w:eastAsia="仿宋"/>
                <w:sz w:val="28"/>
                <w:szCs w:val="28"/>
              </w:rPr>
            </w:pPr>
            <w:r>
              <w:rPr>
                <w:rFonts w:hint="eastAsia" w:ascii="仿宋" w:hAnsi="仿宋" w:eastAsia="仿宋"/>
                <w:sz w:val="28"/>
                <w:szCs w:val="28"/>
              </w:rPr>
              <w:t>正科级</w:t>
            </w:r>
          </w:p>
        </w:tc>
        <w:tc>
          <w:tcPr>
            <w:tcW w:w="3260" w:type="dxa"/>
            <w:vAlign w:val="center"/>
          </w:tcPr>
          <w:p>
            <w:pPr>
              <w:spacing w:line="300" w:lineRule="exact"/>
              <w:jc w:val="center"/>
              <w:rPr>
                <w:rFonts w:ascii="仿宋" w:hAnsi="仿宋" w:eastAsia="仿宋"/>
                <w:sz w:val="28"/>
                <w:szCs w:val="28"/>
              </w:rPr>
            </w:pPr>
            <w:r>
              <w:rPr>
                <w:rFonts w:hint="eastAsia" w:ascii="仿宋" w:hAnsi="仿宋" w:eastAsia="仿宋"/>
                <w:sz w:val="28"/>
                <w:szCs w:val="28"/>
              </w:rPr>
              <w:t>财政性资金基本保证</w:t>
            </w:r>
          </w:p>
        </w:tc>
      </w:tr>
    </w:tbl>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2021年预算收入为</w:t>
      </w:r>
      <w:r>
        <w:rPr>
          <w:rFonts w:hint="eastAsia" w:ascii="仿宋" w:hAnsi="仿宋" w:eastAsia="仿宋"/>
          <w:sz w:val="32"/>
          <w:szCs w:val="32"/>
        </w:rPr>
        <w:t>2265.20</w:t>
      </w:r>
      <w:r>
        <w:rPr>
          <w:rFonts w:ascii="仿宋" w:hAnsi="仿宋" w:eastAsia="仿宋"/>
          <w:sz w:val="32"/>
          <w:szCs w:val="32"/>
        </w:rPr>
        <w:t>万元,其中：一般公共预算收入</w:t>
      </w:r>
      <w:r>
        <w:rPr>
          <w:rFonts w:hint="eastAsia" w:ascii="仿宋" w:hAnsi="仿宋" w:eastAsia="仿宋"/>
          <w:sz w:val="32"/>
          <w:szCs w:val="32"/>
        </w:rPr>
        <w:t>1761.86</w:t>
      </w:r>
      <w:r>
        <w:rPr>
          <w:rFonts w:ascii="仿宋" w:hAnsi="仿宋" w:eastAsia="仿宋"/>
          <w:sz w:val="32"/>
          <w:szCs w:val="32"/>
        </w:rPr>
        <w:t>万元，基金预算收入</w:t>
      </w:r>
      <w:r>
        <w:rPr>
          <w:rFonts w:hint="eastAsia" w:ascii="仿宋" w:hAnsi="仿宋" w:eastAsia="仿宋"/>
          <w:sz w:val="32"/>
          <w:szCs w:val="32"/>
        </w:rPr>
        <w:t>503.33</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2021年部门支出预算：</w:t>
      </w:r>
      <w:r>
        <w:rPr>
          <w:rFonts w:hint="eastAsia" w:ascii="仿宋" w:hAnsi="仿宋" w:eastAsia="仿宋"/>
          <w:sz w:val="32"/>
          <w:szCs w:val="32"/>
        </w:rPr>
        <w:t>2265.20</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基本支出883.43万元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811.08</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72.35</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rPr>
        <w:t>1381.77</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1381.77</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本年度预算收支安排2265.20万元，较上年增加194.22</w:t>
      </w:r>
      <w:r>
        <w:rPr>
          <w:rFonts w:ascii="仿宋" w:hAnsi="仿宋" w:eastAsia="仿宋"/>
          <w:sz w:val="32"/>
          <w:szCs w:val="32"/>
        </w:rPr>
        <w:t>万元。其中:基本支出减少</w:t>
      </w:r>
      <w:r>
        <w:rPr>
          <w:rFonts w:hint="eastAsia" w:ascii="仿宋" w:hAnsi="仿宋" w:eastAsia="仿宋"/>
          <w:sz w:val="32"/>
          <w:szCs w:val="32"/>
        </w:rPr>
        <w:t>43.09</w:t>
      </w:r>
      <w:r>
        <w:rPr>
          <w:rFonts w:ascii="仿宋" w:hAnsi="仿宋" w:eastAsia="仿宋"/>
          <w:sz w:val="32"/>
          <w:szCs w:val="32"/>
        </w:rPr>
        <w:t>万元，主要原因是</w:t>
      </w:r>
      <w:r>
        <w:rPr>
          <w:rFonts w:hint="eastAsia" w:ascii="仿宋" w:hAnsi="仿宋" w:eastAsia="仿宋"/>
          <w:sz w:val="32"/>
          <w:szCs w:val="32"/>
        </w:rPr>
        <w:t>有人员调出和工资调减</w:t>
      </w:r>
      <w:r>
        <w:rPr>
          <w:rFonts w:ascii="仿宋" w:hAnsi="仿宋" w:eastAsia="仿宋"/>
          <w:sz w:val="32"/>
          <w:szCs w:val="32"/>
        </w:rPr>
        <w:t>；项目支出增加</w:t>
      </w:r>
      <w:r>
        <w:rPr>
          <w:rFonts w:hint="eastAsia" w:ascii="仿宋" w:hAnsi="仿宋" w:eastAsia="仿宋"/>
          <w:sz w:val="32"/>
          <w:szCs w:val="32"/>
        </w:rPr>
        <w:t>237.31</w:t>
      </w:r>
      <w:r>
        <w:rPr>
          <w:rFonts w:ascii="仿宋" w:hAnsi="仿宋" w:eastAsia="仿宋"/>
          <w:sz w:val="32"/>
          <w:szCs w:val="32"/>
        </w:rPr>
        <w:t>万元，主要原因是</w:t>
      </w:r>
      <w:r>
        <w:rPr>
          <w:rFonts w:hint="eastAsia" w:ascii="仿宋" w:hAnsi="仿宋" w:eastAsia="仿宋"/>
          <w:sz w:val="32"/>
          <w:szCs w:val="32"/>
        </w:rPr>
        <w:t>增加了瀑河水库除险加固工程及善后工作扶持项目</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sz w:val="32"/>
          <w:szCs w:val="32"/>
        </w:rPr>
      </w:pPr>
      <w:r>
        <w:rPr>
          <w:rFonts w:ascii="仿宋" w:hAnsi="仿宋" w:eastAsia="仿宋"/>
          <w:sz w:val="32"/>
          <w:szCs w:val="32"/>
        </w:rPr>
        <w:t>2021年我部门机关运行经费安排</w:t>
      </w:r>
      <w:r>
        <w:rPr>
          <w:rFonts w:hint="eastAsia" w:ascii="仿宋" w:hAnsi="仿宋" w:eastAsia="仿宋"/>
          <w:sz w:val="32"/>
          <w:szCs w:val="32"/>
        </w:rPr>
        <w:t>72.35</w:t>
      </w:r>
      <w:r>
        <w:rPr>
          <w:rFonts w:ascii="仿宋" w:hAnsi="仿宋" w:eastAsia="仿宋"/>
          <w:sz w:val="32"/>
          <w:szCs w:val="32"/>
        </w:rPr>
        <w:t>万元，其中办公费</w:t>
      </w:r>
      <w:r>
        <w:rPr>
          <w:rFonts w:hint="eastAsia" w:ascii="仿宋" w:hAnsi="仿宋" w:eastAsia="仿宋"/>
          <w:sz w:val="32"/>
          <w:szCs w:val="32"/>
        </w:rPr>
        <w:t>17.34</w:t>
      </w:r>
      <w:r>
        <w:rPr>
          <w:rFonts w:ascii="仿宋" w:hAnsi="仿宋" w:eastAsia="仿宋"/>
          <w:sz w:val="32"/>
          <w:szCs w:val="32"/>
        </w:rPr>
        <w:t>万元，邮电费</w:t>
      </w:r>
      <w:r>
        <w:rPr>
          <w:rFonts w:hint="eastAsia" w:ascii="仿宋" w:hAnsi="仿宋" w:eastAsia="仿宋"/>
          <w:sz w:val="32"/>
          <w:szCs w:val="32"/>
        </w:rPr>
        <w:t>9.82</w:t>
      </w:r>
      <w:r>
        <w:rPr>
          <w:rFonts w:ascii="仿宋" w:hAnsi="仿宋" w:eastAsia="仿宋"/>
          <w:sz w:val="32"/>
          <w:szCs w:val="32"/>
        </w:rPr>
        <w:t>万元，工会经费、福利费</w:t>
      </w:r>
      <w:r>
        <w:rPr>
          <w:rFonts w:hint="eastAsia" w:ascii="仿宋" w:hAnsi="仿宋" w:eastAsia="仿宋"/>
          <w:sz w:val="32"/>
          <w:szCs w:val="32"/>
        </w:rPr>
        <w:t>14.47</w:t>
      </w:r>
      <w:r>
        <w:rPr>
          <w:rFonts w:ascii="仿宋" w:hAnsi="仿宋" w:eastAsia="仿宋"/>
          <w:sz w:val="32"/>
          <w:szCs w:val="32"/>
        </w:rPr>
        <w:t>万元，公务用车运行维护费</w:t>
      </w:r>
      <w:r>
        <w:rPr>
          <w:rFonts w:hint="eastAsia" w:ascii="仿宋" w:hAnsi="仿宋" w:eastAsia="仿宋"/>
          <w:sz w:val="32"/>
          <w:szCs w:val="32"/>
        </w:rPr>
        <w:t>10.80</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eastAsia" w:ascii="仿宋" w:hAnsi="仿宋" w:eastAsia="仿宋"/>
          <w:sz w:val="32"/>
          <w:szCs w:val="32"/>
        </w:rPr>
        <w:t>1.91</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12</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12</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5.7</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5.7</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17.7</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17.7</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center"/>
                    <w:rPr>
                      <w:rFonts w:ascii="仿宋_GB2312" w:hAnsi="宋体" w:eastAsia="仿宋_GB2312"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outlineLvl w:val="0"/>
        <w:rPr>
          <w:rFonts w:ascii="方正小标宋_GBK" w:eastAsia="方正小标宋_GBK"/>
          <w:sz w:val="44"/>
        </w:rPr>
      </w:pPr>
      <w:bookmarkStart w:id="0" w:name="_Toc66978214"/>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jc w:val="center"/>
        <w:rPr>
          <w:rFonts w:ascii="Times New Roman" w:hAnsi="宋体" w:eastAsia="宋体"/>
          <w:sz w:val="44"/>
        </w:rPr>
      </w:pPr>
      <w:r>
        <w:rPr>
          <w:rFonts w:hint="eastAsia" w:ascii="方正小标宋_GBK" w:eastAsia="方正小标宋_GBK"/>
          <w:sz w:val="44"/>
        </w:rPr>
        <w:t>第一部分</w:t>
      </w:r>
    </w:p>
    <w:p>
      <w:pPr>
        <w:jc w:val="center"/>
        <w:outlineLvl w:val="0"/>
        <w:rPr>
          <w:rFonts w:ascii="Times New Roman" w:hAnsi="宋体" w:eastAsia="宋体"/>
          <w:sz w:val="44"/>
        </w:rPr>
      </w:pPr>
      <w:r>
        <w:rPr>
          <w:rFonts w:hint="eastAsia" w:ascii="方正小标宋_GBK" w:eastAsia="方正小标宋_GBK"/>
          <w:sz w:val="44"/>
        </w:rPr>
        <w:t>部门整体绩效目标</w:t>
      </w:r>
    </w:p>
    <w:p>
      <w:pPr>
        <w:jc w:val="center"/>
        <w:rPr>
          <w:rFonts w:ascii="Times New Roman" w:hAnsi="宋体" w:eastAsia="宋体"/>
          <w:sz w:val="44"/>
        </w:rPr>
      </w:pP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bookmarkStart w:id="1" w:name="_Toc68684003"/>
      <w:r>
        <w:rPr>
          <w:rFonts w:hint="eastAsia" w:ascii="仿宋" w:hAnsi="仿宋" w:eastAsia="仿宋"/>
          <w:sz w:val="32"/>
          <w:szCs w:val="32"/>
        </w:rPr>
        <w:t>一、总体绩效目标</w:t>
      </w:r>
      <w:bookmarkEnd w:id="1"/>
    </w:p>
    <w:p>
      <w:pPr>
        <w:spacing w:line="360" w:lineRule="auto"/>
        <w:ind w:firstLine="640" w:firstLineChars="200"/>
        <w:rPr>
          <w:rFonts w:ascii="仿宋" w:hAnsi="仿宋" w:eastAsia="仿宋"/>
          <w:sz w:val="32"/>
          <w:szCs w:val="32"/>
        </w:rPr>
      </w:pPr>
      <w:r>
        <w:rPr>
          <w:rFonts w:hint="eastAsia" w:ascii="仿宋" w:hAnsi="仿宋" w:eastAsia="仿宋"/>
          <w:sz w:val="32"/>
          <w:szCs w:val="32"/>
        </w:rPr>
        <w:t>以习近平新时代中国特色社会主义思想为指导，全面贯彻落实党的十九届二中、三中、四中全会以及中央经济工作会议精神，深入落实习近平总书记、省、市、区对政府乡村工作的重要精神，主动适应新形势、新任务、新要求，不断增强做好工作的责任感和使命感，全面提升</w:t>
      </w:r>
      <w:r>
        <w:rPr>
          <w:rFonts w:ascii="仿宋" w:hAnsi="仿宋" w:eastAsia="仿宋"/>
          <w:sz w:val="32"/>
          <w:szCs w:val="32"/>
        </w:rPr>
        <w:t>“</w:t>
      </w:r>
      <w:r>
        <w:rPr>
          <w:rFonts w:hint="eastAsia" w:ascii="仿宋" w:hAnsi="仿宋" w:eastAsia="仿宋"/>
          <w:sz w:val="32"/>
          <w:szCs w:val="32"/>
        </w:rPr>
        <w:t>四个服务</w:t>
      </w:r>
      <w:r>
        <w:rPr>
          <w:rFonts w:ascii="仿宋" w:hAnsi="仿宋" w:eastAsia="仿宋"/>
          <w:sz w:val="32"/>
          <w:szCs w:val="32"/>
        </w:rPr>
        <w:t>”</w:t>
      </w:r>
      <w:r>
        <w:rPr>
          <w:rFonts w:hint="eastAsia" w:ascii="仿宋" w:hAnsi="仿宋" w:eastAsia="仿宋"/>
          <w:sz w:val="32"/>
          <w:szCs w:val="32"/>
        </w:rPr>
        <w:t>能力和水平，提高政务服务与管理水平，站位全局谋划工作，精准高效提供服务。加强党的基层组织建设，增强为民服务能力水平，民主表决，科学决策，坚持以人为本，把维护群众利益、改善民生作为工作的着力点。制定、落实乡经济发展规划；组织实施社会主义法制与民主教育；维护社会秩序稳定；加强公共设施建设和管理，保护、改善生态和群众生活环境。健全机制推动落实，担当作为锤炼作风，全力攻坚克难，全面提高乡镇工作制度化、规范化水平，加强体制机制建设，改进运转保障工作，确保乡政府运转通畅、高效快捷努力开创工作新局面。</w:t>
      </w:r>
    </w:p>
    <w:p>
      <w:pPr>
        <w:spacing w:line="360" w:lineRule="auto"/>
        <w:ind w:firstLine="640" w:firstLineChars="200"/>
        <w:rPr>
          <w:rFonts w:ascii="仿宋" w:hAnsi="仿宋" w:eastAsia="仿宋"/>
          <w:sz w:val="32"/>
          <w:szCs w:val="32"/>
        </w:rPr>
      </w:pPr>
      <w:bookmarkStart w:id="2" w:name="_Toc68684004"/>
      <w:r>
        <w:rPr>
          <w:rFonts w:ascii="仿宋" w:hAnsi="仿宋" w:eastAsia="仿宋"/>
          <w:sz w:val="32"/>
          <w:szCs w:val="32"/>
        </w:rPr>
        <w:t>二、分项绩效目标</w:t>
      </w:r>
      <w:bookmarkEnd w:id="2"/>
    </w:p>
    <w:p>
      <w:pPr>
        <w:spacing w:line="360" w:lineRule="auto"/>
        <w:ind w:firstLine="640" w:firstLineChars="200"/>
        <w:rPr>
          <w:rFonts w:ascii="仿宋" w:hAnsi="仿宋" w:eastAsia="仿宋"/>
          <w:sz w:val="32"/>
          <w:szCs w:val="32"/>
        </w:rPr>
      </w:pPr>
      <w:r>
        <w:rPr>
          <w:rFonts w:hint="eastAsia" w:ascii="仿宋" w:hAnsi="仿宋" w:eastAsia="仿宋"/>
          <w:sz w:val="32"/>
          <w:szCs w:val="32"/>
        </w:rPr>
        <w:t>（一）政务服务与管理工作水平持续提升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突出政务、加强事务、提升服务，增强工作综合服务实力。提高政务管理工作的质量和效率，不断提升工作科学化、制度化、规范化水平，确保各项工作严谨规范、高效运转；做好人大会议的准备和服务保障工作；做好本部门党建工作、纪检监察及</w:t>
      </w:r>
      <w:r>
        <w:rPr>
          <w:rFonts w:ascii="仿宋" w:hAnsi="仿宋" w:eastAsia="仿宋"/>
          <w:sz w:val="32"/>
          <w:szCs w:val="32"/>
        </w:rPr>
        <w:t>2021</w:t>
      </w:r>
      <w:r>
        <w:rPr>
          <w:rFonts w:hint="eastAsia" w:ascii="仿宋" w:hAnsi="仿宋" w:eastAsia="仿宋"/>
          <w:sz w:val="32"/>
          <w:szCs w:val="32"/>
        </w:rPr>
        <w:t>年扶贫公益岗位补助及购置保险的实施工作，重点加强地震群测群防岗位津贴、退役军人公益性岗位人员工资、安全生产信息员经费等人员项目的落实及发放做好，组织承办人大代表建议和政协提案工作，做好推进、指导、协调、监督、考核评估全乡政务公开和政府信息公开工作；创新工作机制，提升服务水平；围绕全乡中心工作，充分发挥基层政权的职能作用，持续提升为民服务的水平和能力。</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绩效指标：纪检经费保障到位及时率到</w:t>
      </w:r>
      <w:r>
        <w:rPr>
          <w:rFonts w:ascii="仿宋" w:hAnsi="仿宋" w:eastAsia="仿宋"/>
          <w:sz w:val="32"/>
          <w:szCs w:val="32"/>
        </w:rPr>
        <w:t>90%</w:t>
      </w:r>
      <w:r>
        <w:rPr>
          <w:rFonts w:hint="eastAsia" w:ascii="仿宋" w:hAnsi="仿宋" w:eastAsia="仿宋"/>
          <w:sz w:val="32"/>
          <w:szCs w:val="32"/>
        </w:rPr>
        <w:t>以上，团委综合事务管理各项综合事务完成率</w:t>
      </w:r>
      <w:r>
        <w:rPr>
          <w:rFonts w:ascii="仿宋" w:hAnsi="仿宋" w:eastAsia="仿宋"/>
          <w:sz w:val="32"/>
          <w:szCs w:val="32"/>
        </w:rPr>
        <w:t>90%</w:t>
      </w:r>
      <w:r>
        <w:rPr>
          <w:rFonts w:hint="eastAsia" w:ascii="仿宋" w:hAnsi="仿宋" w:eastAsia="仿宋"/>
          <w:sz w:val="32"/>
          <w:szCs w:val="32"/>
        </w:rPr>
        <w:t>以上，全年组织宣传宗教活动</w:t>
      </w:r>
      <w:r>
        <w:rPr>
          <w:rFonts w:ascii="仿宋" w:hAnsi="仿宋" w:eastAsia="仿宋"/>
          <w:sz w:val="32"/>
          <w:szCs w:val="32"/>
        </w:rPr>
        <w:t>10</w:t>
      </w:r>
      <w:r>
        <w:rPr>
          <w:rFonts w:hint="eastAsia" w:ascii="仿宋" w:hAnsi="仿宋" w:eastAsia="仿宋"/>
          <w:sz w:val="32"/>
          <w:szCs w:val="32"/>
        </w:rPr>
        <w:t>次以上，解决维稳问题占全部维稳问题的</w:t>
      </w:r>
      <w:r>
        <w:rPr>
          <w:rFonts w:ascii="仿宋" w:hAnsi="仿宋" w:eastAsia="仿宋"/>
          <w:sz w:val="32"/>
          <w:szCs w:val="32"/>
        </w:rPr>
        <w:t>90%</w:t>
      </w:r>
      <w:r>
        <w:rPr>
          <w:rFonts w:hint="eastAsia" w:ascii="仿宋" w:hAnsi="仿宋" w:eastAsia="仿宋"/>
          <w:sz w:val="32"/>
          <w:szCs w:val="32"/>
        </w:rPr>
        <w:t>以上，地震群测群防岗位补贴、退役军人公益性岗位人员工资等人员项目资金发放率均达</w:t>
      </w:r>
      <w:r>
        <w:rPr>
          <w:rFonts w:ascii="仿宋" w:hAnsi="仿宋" w:eastAsia="仿宋"/>
          <w:sz w:val="32"/>
          <w:szCs w:val="32"/>
        </w:rPr>
        <w:t>90%</w:t>
      </w:r>
      <w:r>
        <w:rPr>
          <w:rFonts w:hint="eastAsia" w:ascii="仿宋" w:hAnsi="仿宋" w:eastAsia="仿宋"/>
          <w:sz w:val="32"/>
          <w:szCs w:val="32"/>
        </w:rPr>
        <w:t>以上。</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（二）安全生产综合监督管理标准规范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持续保持安全生产形势稳定，确保各项安全生产正常方针落实到基层，加强基层安全生产保障能力的建设，确保满足安全生产工作的实际需要，进一步加大安全生产延生到基层，掌握全区的安全生产动态。</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绩效指标：全乡安全生产信息员</w:t>
      </w:r>
      <w:r>
        <w:rPr>
          <w:rFonts w:ascii="仿宋" w:hAnsi="仿宋" w:eastAsia="仿宋"/>
          <w:sz w:val="32"/>
          <w:szCs w:val="32"/>
        </w:rPr>
        <w:t>9</w:t>
      </w:r>
      <w:r>
        <w:rPr>
          <w:rFonts w:hint="eastAsia" w:ascii="仿宋" w:hAnsi="仿宋" w:eastAsia="仿宋"/>
          <w:sz w:val="32"/>
          <w:szCs w:val="32"/>
        </w:rPr>
        <w:t>个，安全生产信息员补贴发放率</w:t>
      </w:r>
      <w:r>
        <w:rPr>
          <w:rFonts w:ascii="仿宋" w:hAnsi="仿宋" w:eastAsia="仿宋"/>
          <w:sz w:val="32"/>
          <w:szCs w:val="32"/>
        </w:rPr>
        <w:t>100%</w:t>
      </w:r>
      <w:r>
        <w:rPr>
          <w:rFonts w:hint="eastAsia" w:ascii="仿宋" w:hAnsi="仿宋" w:eastAsia="仿宋"/>
          <w:sz w:val="32"/>
          <w:szCs w:val="32"/>
        </w:rPr>
        <w:t>，对发放补贴满意率</w:t>
      </w:r>
      <w:r>
        <w:rPr>
          <w:rFonts w:ascii="仿宋" w:hAnsi="仿宋" w:eastAsia="仿宋"/>
          <w:sz w:val="32"/>
          <w:szCs w:val="32"/>
        </w:rPr>
        <w:t>90%</w:t>
      </w:r>
      <w:r>
        <w:rPr>
          <w:rFonts w:hint="eastAsia" w:ascii="仿宋" w:hAnsi="仿宋" w:eastAsia="仿宋"/>
          <w:sz w:val="32"/>
          <w:szCs w:val="32"/>
        </w:rPr>
        <w:t>以上。</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（三）农村经营管理体制完善</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规范流转行为，优化资源配置，促进农民专业合作经济组织健康发展，加快新农村建设和城镇化进程。指导建立运转顺畅、便捷高效的农村土地承包经营权流转服务平台，带动土地流转依法、有序开展，土地流转提高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绩效指标：瀑河水库除险加固工程善后扶持资金涉及</w:t>
      </w:r>
      <w:r>
        <w:rPr>
          <w:rFonts w:ascii="仿宋" w:hAnsi="仿宋" w:eastAsia="仿宋"/>
          <w:sz w:val="32"/>
          <w:szCs w:val="32"/>
        </w:rPr>
        <w:t>5</w:t>
      </w:r>
      <w:r>
        <w:rPr>
          <w:rFonts w:hint="eastAsia" w:ascii="仿宋" w:hAnsi="仿宋" w:eastAsia="仿宋"/>
          <w:sz w:val="32"/>
          <w:szCs w:val="32"/>
        </w:rPr>
        <w:t>个村，土地补偿发放率</w:t>
      </w:r>
      <w:r>
        <w:rPr>
          <w:rFonts w:ascii="仿宋" w:hAnsi="仿宋" w:eastAsia="仿宋"/>
          <w:sz w:val="32"/>
          <w:szCs w:val="32"/>
        </w:rPr>
        <w:t>90%</w:t>
      </w:r>
      <w:r>
        <w:rPr>
          <w:rFonts w:hint="eastAsia" w:ascii="仿宋" w:hAnsi="仿宋" w:eastAsia="仿宋"/>
          <w:sz w:val="32"/>
          <w:szCs w:val="32"/>
        </w:rPr>
        <w:t>，收益群众满意度</w:t>
      </w:r>
      <w:r>
        <w:rPr>
          <w:rFonts w:ascii="仿宋" w:hAnsi="仿宋" w:eastAsia="仿宋"/>
          <w:sz w:val="32"/>
          <w:szCs w:val="32"/>
        </w:rPr>
        <w:t>90%</w:t>
      </w:r>
      <w:r>
        <w:rPr>
          <w:rFonts w:hint="eastAsia" w:ascii="仿宋" w:hAnsi="仿宋" w:eastAsia="仿宋"/>
          <w:sz w:val="32"/>
          <w:szCs w:val="32"/>
        </w:rPr>
        <w:t>以上。</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（四）社会管理强规范、为民服务高效率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保障村级组织正常运转，其他两委干部绩效补贴发放及时，充分调动两委干部积极性。保障党组织日常活动，提高党员综合素质，保障村综合服务站运转。改善基层公共文化体育设施条件，加强基层公共文化服务人才队伍建设等。公共文化产品生产和服务能力提高，基本公共文化服务标准化、均等化水平不断提高</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绩效指标：服务群众工作任务完成率在</w:t>
      </w:r>
      <w:r>
        <w:rPr>
          <w:rFonts w:ascii="仿宋" w:hAnsi="仿宋" w:eastAsia="仿宋"/>
          <w:sz w:val="32"/>
          <w:szCs w:val="32"/>
        </w:rPr>
        <w:t>90%</w:t>
      </w:r>
      <w:r>
        <w:rPr>
          <w:rFonts w:hint="eastAsia" w:ascii="仿宋" w:hAnsi="仿宋" w:eastAsia="仿宋"/>
          <w:sz w:val="32"/>
          <w:szCs w:val="32"/>
        </w:rPr>
        <w:t>以上，通过服务群众工作，使社会稳定水平切实得到提高；党员受教育学习</w:t>
      </w:r>
      <w:r>
        <w:rPr>
          <w:rFonts w:ascii="仿宋" w:hAnsi="仿宋" w:eastAsia="仿宋"/>
          <w:sz w:val="32"/>
          <w:szCs w:val="32"/>
        </w:rPr>
        <w:t>80</w:t>
      </w:r>
      <w:r>
        <w:rPr>
          <w:rFonts w:hint="eastAsia" w:ascii="仿宋" w:hAnsi="仿宋" w:eastAsia="仿宋"/>
          <w:sz w:val="32"/>
          <w:szCs w:val="32"/>
        </w:rPr>
        <w:t>人次以上，党员先锋模范作用发挥充分；村级组织办公经费拨付率</w:t>
      </w:r>
      <w:r>
        <w:rPr>
          <w:rFonts w:ascii="仿宋" w:hAnsi="仿宋" w:eastAsia="仿宋"/>
          <w:sz w:val="32"/>
          <w:szCs w:val="32"/>
        </w:rPr>
        <w:t>90</w:t>
      </w:r>
      <w:r>
        <w:rPr>
          <w:rFonts w:hint="eastAsia" w:ascii="仿宋" w:hAnsi="仿宋" w:eastAsia="仿宋"/>
          <w:sz w:val="32"/>
          <w:szCs w:val="32"/>
        </w:rPr>
        <w:t>以上；公共文化设备良好数量占全部数量</w:t>
      </w:r>
      <w:r>
        <w:rPr>
          <w:rFonts w:ascii="仿宋" w:hAnsi="仿宋" w:eastAsia="仿宋"/>
          <w:sz w:val="32"/>
          <w:szCs w:val="32"/>
        </w:rPr>
        <w:t>90%</w:t>
      </w:r>
      <w:r>
        <w:rPr>
          <w:rFonts w:hint="eastAsia" w:ascii="仿宋" w:hAnsi="仿宋" w:eastAsia="仿宋"/>
          <w:sz w:val="32"/>
          <w:szCs w:val="32"/>
        </w:rPr>
        <w:t>以上，图书馆、美术馆等免费开放率</w:t>
      </w:r>
      <w:r>
        <w:rPr>
          <w:rFonts w:ascii="仿宋" w:hAnsi="仿宋" w:eastAsia="仿宋"/>
          <w:sz w:val="32"/>
          <w:szCs w:val="32"/>
        </w:rPr>
        <w:t>90%</w:t>
      </w:r>
      <w:r>
        <w:rPr>
          <w:rFonts w:hint="eastAsia" w:ascii="仿宋" w:hAnsi="仿宋" w:eastAsia="仿宋"/>
          <w:sz w:val="32"/>
          <w:szCs w:val="32"/>
        </w:rPr>
        <w:t>以上。</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以习近平新时代中国特色社会主义思想为指导，全面贯彻落实党的十九届二中、三中、四中全会以及中央经济工作会议精神，深入落实习近平总书记、省、市、区对政府乡村工作的重要精神，主动适应新形势、新任务、新要求，不断增强做好工作的责任感和使命感，全面提升</w:t>
      </w:r>
      <w:r>
        <w:rPr>
          <w:rFonts w:ascii="仿宋" w:hAnsi="仿宋" w:eastAsia="仿宋"/>
          <w:sz w:val="32"/>
          <w:szCs w:val="32"/>
        </w:rPr>
        <w:t>“</w:t>
      </w:r>
      <w:r>
        <w:rPr>
          <w:rFonts w:hint="eastAsia" w:ascii="仿宋" w:hAnsi="仿宋" w:eastAsia="仿宋"/>
          <w:sz w:val="32"/>
          <w:szCs w:val="32"/>
        </w:rPr>
        <w:t>四个服务</w:t>
      </w:r>
      <w:r>
        <w:rPr>
          <w:rFonts w:ascii="仿宋" w:hAnsi="仿宋" w:eastAsia="仿宋"/>
          <w:sz w:val="32"/>
          <w:szCs w:val="32"/>
        </w:rPr>
        <w:t>”</w:t>
      </w:r>
      <w:r>
        <w:rPr>
          <w:rFonts w:hint="eastAsia" w:ascii="仿宋" w:hAnsi="仿宋" w:eastAsia="仿宋"/>
          <w:sz w:val="32"/>
          <w:szCs w:val="32"/>
        </w:rPr>
        <w:t>能力和水平，提高政务服务与管理水平，站位全局谋划工作，精准高效提供服务。加强党的基层组织建设，增强为民服务能力水平，民主表决，科学决策，坚持以人为本，把维护群众利益、改善民生作为工作的着力点。制定、落实乡经济发展规划；组织实施社会主义法制与民主教育；维护社会秩序稳定；加强公共设施建设和管理，保护、改善生态和群众生活环境。健全机制推动落实，担当作为锤炼作风，全力攻坚克难，全面提高乡镇工作制度化、规范化水平，加强体制机制建设，改进运转保障工作，确保乡政府运转通畅、高效快捷努力开创工作新局面。</w:t>
      </w:r>
    </w:p>
    <w:p>
      <w:pPr>
        <w:spacing w:line="360" w:lineRule="auto"/>
        <w:ind w:firstLine="640" w:firstLineChars="200"/>
        <w:rPr>
          <w:rFonts w:ascii="仿宋" w:hAnsi="仿宋" w:eastAsia="仿宋"/>
          <w:sz w:val="32"/>
          <w:szCs w:val="32"/>
        </w:rPr>
      </w:pPr>
      <w:bookmarkStart w:id="3" w:name="_Toc68684005"/>
      <w:r>
        <w:rPr>
          <w:rFonts w:ascii="仿宋" w:hAnsi="仿宋" w:eastAsia="仿宋"/>
          <w:sz w:val="32"/>
          <w:szCs w:val="32"/>
        </w:rPr>
        <w:t>三、工作保障措施</w:t>
      </w:r>
      <w:bookmarkEnd w:id="3"/>
    </w:p>
    <w:p>
      <w:pPr>
        <w:spacing w:line="360" w:lineRule="auto"/>
        <w:ind w:firstLine="640" w:firstLineChars="200"/>
        <w:rPr>
          <w:rFonts w:ascii="仿宋" w:hAnsi="仿宋" w:eastAsia="仿宋"/>
          <w:sz w:val="32"/>
          <w:szCs w:val="32"/>
        </w:rPr>
      </w:pPr>
      <w:r>
        <w:rPr>
          <w:rFonts w:ascii="仿宋" w:hAnsi="仿宋" w:eastAsia="仿宋"/>
          <w:sz w:val="32"/>
          <w:szCs w:val="32"/>
        </w:rPr>
        <w:t>按照《关于全面实施预算绩效管理的实施意见》（冀发〔2018〕54号）和《河北省省级部门预算绩效管理办法》冀财绩〔2019〕4号）等文件精神，紧紧围绕中央和省委决策部署，制定切实有效的工作保障措施，科学确定总体绩效目标和分项绩效目标，强化预算绩效日常监督，推进预算绩效管理科学化、制度化和规范化。</w:t>
      </w:r>
    </w:p>
    <w:p>
      <w:pPr>
        <w:spacing w:line="360" w:lineRule="auto"/>
        <w:ind w:firstLine="640" w:firstLineChars="200"/>
        <w:rPr>
          <w:rFonts w:ascii="仿宋" w:hAnsi="仿宋" w:eastAsia="仿宋"/>
          <w:sz w:val="32"/>
          <w:szCs w:val="32"/>
        </w:rPr>
      </w:pPr>
      <w:r>
        <w:rPr>
          <w:rFonts w:ascii="仿宋" w:hAnsi="仿宋" w:eastAsia="仿宋"/>
          <w:sz w:val="32"/>
          <w:szCs w:val="32"/>
        </w:rPr>
        <w:t>1.强化政治理论武装，健全完善制度机制</w:t>
      </w:r>
    </w:p>
    <w:p>
      <w:pPr>
        <w:spacing w:line="360" w:lineRule="auto"/>
        <w:ind w:firstLine="640" w:firstLineChars="200"/>
        <w:rPr>
          <w:rFonts w:ascii="仿宋" w:hAnsi="仿宋" w:eastAsia="仿宋"/>
          <w:sz w:val="32"/>
          <w:szCs w:val="32"/>
        </w:rPr>
      </w:pPr>
      <w:r>
        <w:rPr>
          <w:rFonts w:ascii="仿宋" w:hAnsi="仿宋" w:eastAsia="仿宋"/>
          <w:sz w:val="32"/>
          <w:szCs w:val="32"/>
        </w:rPr>
        <w:t>坚持把学习贯彻习近平新时代中国特色社会主义思想和党的十九届四中全会精神作为首要政治任务，全面落实省委九届九次全会、九届十次全会决策部署，根据中央和省委省政府全面实施预算绩效管理的意见，以及我省预算绩效管理相关要求，健全完善乡政府预算绩效管理、预算资金管理等制度规定，按要求开展部门预算绩效实时监控、绩效自评和重点项目评价等工作，研究制定预算绩效运行过程出现问题的应急处置方案，推动政府工作不断迈上新台阶，确保全年绩效目标圆满完成。</w:t>
      </w:r>
    </w:p>
    <w:p>
      <w:pPr>
        <w:spacing w:line="360" w:lineRule="auto"/>
        <w:ind w:firstLine="640" w:firstLineChars="200"/>
        <w:rPr>
          <w:rFonts w:ascii="仿宋" w:hAnsi="仿宋" w:eastAsia="仿宋"/>
          <w:sz w:val="32"/>
          <w:szCs w:val="32"/>
        </w:rPr>
      </w:pPr>
      <w:r>
        <w:rPr>
          <w:rFonts w:ascii="仿宋" w:hAnsi="仿宋" w:eastAsia="仿宋"/>
          <w:sz w:val="32"/>
          <w:szCs w:val="32"/>
        </w:rPr>
        <w:t>2.加强预算支出管理，确保支出进度达标</w:t>
      </w:r>
    </w:p>
    <w:p>
      <w:pPr>
        <w:spacing w:line="360" w:lineRule="auto"/>
        <w:ind w:firstLine="640" w:firstLineChars="200"/>
        <w:rPr>
          <w:rFonts w:ascii="仿宋" w:hAnsi="仿宋" w:eastAsia="仿宋"/>
          <w:sz w:val="32"/>
          <w:szCs w:val="32"/>
        </w:rPr>
      </w:pPr>
      <w:r>
        <w:rPr>
          <w:rFonts w:ascii="仿宋" w:hAnsi="仿宋" w:eastAsia="仿宋"/>
          <w:sz w:val="32"/>
          <w:szCs w:val="32"/>
        </w:rPr>
        <w:t>编细编实预算，将项目细化到可执行程度，确保批复即可执行。调整优化支出结构，按规定对“三公”经费和一般性支出进行压减。通过加快履行政府采购手续、尽快启动项目、及时支付资金等措施，切实按年初计划组织开展各项工作活动，及时有序支付资金。加强预算资金支出动态过程管理，及时协调解决预算项目中遇到的困难问题，实时掌握预算支出进度，按照区财政局关于支出进度的关键时间节点，对预算资金项目进度进行通报，加快项目执行。</w:t>
      </w:r>
    </w:p>
    <w:p>
      <w:pPr>
        <w:spacing w:line="360" w:lineRule="auto"/>
        <w:ind w:firstLine="640" w:firstLineChars="200"/>
        <w:rPr>
          <w:rFonts w:ascii="仿宋" w:hAnsi="仿宋" w:eastAsia="仿宋"/>
          <w:sz w:val="32"/>
          <w:szCs w:val="32"/>
        </w:rPr>
      </w:pPr>
      <w:r>
        <w:rPr>
          <w:rFonts w:ascii="仿宋" w:hAnsi="仿宋" w:eastAsia="仿宋"/>
          <w:sz w:val="32"/>
          <w:szCs w:val="32"/>
        </w:rPr>
        <w:t>3.加强内部监督管理，确保资金安全有效</w:t>
      </w:r>
    </w:p>
    <w:p>
      <w:pPr>
        <w:spacing w:line="360" w:lineRule="auto"/>
        <w:ind w:firstLine="640" w:firstLineChars="200"/>
        <w:rPr>
          <w:rFonts w:ascii="仿宋" w:hAnsi="仿宋" w:eastAsia="仿宋"/>
          <w:sz w:val="32"/>
          <w:szCs w:val="32"/>
        </w:rPr>
      </w:pPr>
      <w:r>
        <w:rPr>
          <w:rFonts w:ascii="仿宋" w:hAnsi="仿宋" w:eastAsia="仿宋"/>
          <w:sz w:val="32"/>
          <w:szCs w:val="32"/>
        </w:rPr>
        <w:t>完善财务管理制度，严格财务资金审批程序，加强固定资产登记、使用和报废处置管理，最大程度发挥国有资产效能。完善内部监督制度，加强对绩效运行情况、重大支出决策、资产处置及其他重要事项决策和执行的督导，对会计资料开展常态化内部审计，配合做好审计、财政监督等外部监督工作。严格落实领导干部重大事项报告制度和离任审计制度，加强对全乡物资采购、工程项目等大额资金使用招投标的全过程监督，确保财政资金安全有效。</w:t>
      </w:r>
    </w:p>
    <w:p>
      <w:pPr>
        <w:spacing w:line="360" w:lineRule="auto"/>
        <w:ind w:firstLine="640" w:firstLineChars="200"/>
        <w:rPr>
          <w:rFonts w:ascii="仿宋" w:hAnsi="仿宋" w:eastAsia="仿宋"/>
          <w:sz w:val="32"/>
          <w:szCs w:val="32"/>
        </w:rPr>
      </w:pPr>
      <w:r>
        <w:rPr>
          <w:rFonts w:ascii="仿宋" w:hAnsi="仿宋" w:eastAsia="仿宋"/>
          <w:sz w:val="32"/>
          <w:szCs w:val="32"/>
        </w:rPr>
        <w:t>4.加强宣传培训调研，确保绩效目标实现</w:t>
      </w:r>
    </w:p>
    <w:p>
      <w:pPr>
        <w:spacing w:line="360" w:lineRule="auto"/>
        <w:ind w:firstLine="640" w:firstLineChars="200"/>
        <w:rPr>
          <w:rFonts w:ascii="仿宋" w:hAnsi="仿宋" w:eastAsia="仿宋"/>
          <w:sz w:val="32"/>
          <w:szCs w:val="32"/>
        </w:rPr>
      </w:pPr>
      <w:r>
        <w:rPr>
          <w:rFonts w:ascii="仿宋" w:hAnsi="仿宋" w:eastAsia="仿宋"/>
          <w:sz w:val="32"/>
          <w:szCs w:val="32"/>
        </w:rPr>
        <w:t>加强预算绩效管理专业知识培训，提高预算绩效管理工作人员的业务素质，不断优化财务人员知识结构，促进财务人员严格履行职责，提高财务管理的科学化和规范化水平。加强预算绩效调研工作，将绩效管理方法融入预算编制、执行和监督过程中，强化绩效评价结果应用，提出优化财政资金配置、提高资金使用效益的意见。加大预算绩效宣传力度，强化预算绩效管理意识，为预算绩效管理创造良好的思想基础和舆论环境，促进预算绩效管理水平进一步提升。</w:t>
      </w:r>
    </w:p>
    <w:bookmarkEnd w:id="0"/>
    <w:p>
      <w:pPr>
        <w:jc w:val="center"/>
        <w:rPr>
          <w:rFonts w:hint="eastAsia" w:ascii="方正小标宋_GBK" w:eastAsia="方正小标宋_GBK"/>
          <w:sz w:val="44"/>
        </w:rPr>
      </w:pPr>
    </w:p>
    <w:p>
      <w:pPr>
        <w:jc w:val="center"/>
        <w:rPr>
          <w:rFonts w:hint="eastAsia" w:ascii="方正小标宋_GBK" w:eastAsia="方正小标宋_GBK"/>
          <w:sz w:val="44"/>
        </w:rPr>
      </w:pPr>
    </w:p>
    <w:p>
      <w:pPr>
        <w:jc w:val="center"/>
        <w:rPr>
          <w:rFonts w:ascii="方正小标宋_GBK" w:eastAsia="方正小标宋_GBK"/>
          <w:sz w:val="44"/>
        </w:rPr>
      </w:pPr>
    </w:p>
    <w:p>
      <w:pPr>
        <w:jc w:val="center"/>
        <w:rPr>
          <w:rFonts w:ascii="Times New Roman" w:hAnsi="宋体" w:eastAsia="宋体"/>
          <w:sz w:val="44"/>
        </w:rPr>
      </w:pPr>
      <w:r>
        <w:rPr>
          <w:rFonts w:hint="eastAsia" w:ascii="方正小标宋_GBK" w:eastAsia="方正小标宋_GBK"/>
          <w:sz w:val="44"/>
        </w:rPr>
        <w:t>第二部分</w:t>
      </w:r>
      <w:r>
        <w:rPr>
          <w:rFonts w:ascii="方正小标宋_GBK" w:eastAsia="方正小标宋_GBK"/>
          <w:sz w:val="44"/>
        </w:rPr>
        <w:t xml:space="preserve"> </w:t>
      </w:r>
    </w:p>
    <w:p>
      <w:pPr>
        <w:jc w:val="center"/>
        <w:outlineLvl w:val="0"/>
        <w:rPr>
          <w:rFonts w:ascii="方正小标宋_GBK" w:eastAsia="方正小标宋_GBK"/>
          <w:sz w:val="44"/>
        </w:rPr>
      </w:pPr>
      <w:r>
        <w:rPr>
          <w:rFonts w:hint="eastAsia" w:ascii="方正小标宋_GBK" w:eastAsia="方正小标宋_GBK"/>
          <w:sz w:val="44"/>
        </w:rPr>
        <w:t>预算项目绩效目标</w:t>
      </w:r>
    </w:p>
    <w:p>
      <w:pPr>
        <w:ind w:firstLine="562" w:firstLineChars="200"/>
        <w:jc w:val="left"/>
        <w:outlineLvl w:val="3"/>
        <w:rPr>
          <w:rFonts w:ascii="Times New Roman" w:hAnsi="宋体" w:eastAsia="宋体"/>
          <w:b/>
          <w:sz w:val="28"/>
        </w:rPr>
      </w:pPr>
      <w:r>
        <w:rPr>
          <w:rFonts w:ascii="方正仿宋_GBK" w:eastAsia="方正仿宋_GBK"/>
          <w:b/>
          <w:sz w:val="28"/>
        </w:rPr>
        <w:t>1.地震群测群防岗位津贴绩效目标表</w:t>
      </w:r>
      <w:r>
        <w:fldChar w:fldCharType="begin"/>
      </w:r>
      <w:r>
        <w:rPr>
          <w:rFonts w:ascii="方正仿宋_GBK" w:eastAsia="方正仿宋_GBK"/>
          <w:b/>
          <w:sz w:val="28"/>
        </w:rPr>
        <w:instrText xml:space="preserve"> TC 1、地震群测群防岗位津贴绩效目标表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910001瀑河乡本级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130625212E8T9N7VD88CU</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地震群测群防岗位津贴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2040.00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2040.00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用于地震群测群防岗位津贴支出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1.通过项目实施，维持地震群测群防队伍的稳定。</w:t>
            </w:r>
          </w:p>
          <w:p>
            <w:pPr>
              <w:spacing w:line="300" w:lineRule="exact"/>
              <w:jc w:val="left"/>
              <w:rPr>
                <w:rFonts w:ascii="方正书宋_GBK" w:eastAsia="方正书宋_GBK"/>
              </w:rPr>
            </w:pPr>
            <w:r>
              <w:rPr>
                <w:rFonts w:ascii="方正书宋_GBK" w:eastAsia="方正书宋_GBK"/>
              </w:rPr>
              <w:t>2.有效降低地震灾害造成的人身及财产损失。</w:t>
            </w:r>
          </w:p>
          <w:p>
            <w:pPr>
              <w:spacing w:line="300" w:lineRule="exact"/>
              <w:jc w:val="left"/>
              <w:rPr>
                <w:rFonts w:ascii="方正书宋_GBK" w:eastAsia="方正书宋_GBK"/>
              </w:rPr>
            </w:pPr>
            <w:r>
              <w:rPr>
                <w:rFonts w:ascii="方正书宋_GBK" w:eastAsia="方正书宋_GBK"/>
              </w:rPr>
              <w:t>3.保障人员工作积极性</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地震群测群防队伍覆盖全乡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报表信息质量合格率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报表信息质量合格率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年初预算数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2040元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乡地震群测群防人员岗位津贴发放完成率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调查享受地震群测群防岗位津贴人员对津贴发放的满意程度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r>
        <w:rPr>
          <w:rFonts w:ascii="方正仿宋_GBK" w:eastAsia="方正仿宋_GBK"/>
          <w:b/>
          <w:sz w:val="28"/>
        </w:rPr>
        <w:t>2.人大工作经费绩效目标表</w:t>
      </w:r>
      <w:r>
        <w:fldChar w:fldCharType="begin"/>
      </w:r>
      <w:r>
        <w:rPr>
          <w:rFonts w:ascii="方正仿宋_GBK" w:eastAsia="方正仿宋_GBK"/>
          <w:b/>
          <w:sz w:val="28"/>
        </w:rPr>
        <w:instrText xml:space="preserve"> TC 2、人大工作经费绩效目标表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910001瀑河乡本级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130625212GMG50982G293</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人大工作经费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用于人大工作经费支出。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1.用于人员补助等费用支出</w:t>
            </w:r>
          </w:p>
          <w:p>
            <w:pPr>
              <w:spacing w:line="300" w:lineRule="exact"/>
              <w:jc w:val="left"/>
              <w:rPr>
                <w:rFonts w:ascii="方正书宋_GBK" w:eastAsia="方正书宋_GBK"/>
              </w:rPr>
            </w:pPr>
            <w:r>
              <w:rPr>
                <w:rFonts w:ascii="方正书宋_GBK" w:eastAsia="方正书宋_GBK"/>
              </w:rPr>
              <w:t>2.保障日常工作正常运转</w:t>
            </w:r>
          </w:p>
          <w:p>
            <w:pPr>
              <w:spacing w:line="300" w:lineRule="exact"/>
              <w:jc w:val="left"/>
              <w:rPr>
                <w:rFonts w:ascii="方正书宋_GBK" w:eastAsia="方正书宋_GBK"/>
              </w:rPr>
            </w:pPr>
            <w:r>
              <w:rPr>
                <w:rFonts w:ascii="方正书宋_GBK" w:eastAsia="方正书宋_GBK"/>
              </w:rPr>
              <w:t>3.保障人员工作积极性</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按时支付人员费用及时率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能够保障人员工资效率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r>
        <w:rPr>
          <w:rFonts w:ascii="方正仿宋_GBK" w:eastAsia="方正仿宋_GBK"/>
          <w:b/>
          <w:sz w:val="28"/>
        </w:rPr>
        <w:t>3.防火护林员补助经费绩效目标表</w:t>
      </w:r>
      <w:r>
        <w:fldChar w:fldCharType="begin"/>
      </w:r>
      <w:r>
        <w:rPr>
          <w:rFonts w:ascii="方正仿宋_GBK" w:eastAsia="方正仿宋_GBK"/>
          <w:b/>
          <w:sz w:val="28"/>
        </w:rPr>
        <w:instrText xml:space="preserve"> TC 3、防火护林员补助经费绩效目标表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910001瀑河乡本级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130625213ZOLN629IAA1N</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防火护林员补助经费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16000.00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用于防火护林员补助经费支出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1.用于防火护林员补助经费支付</w:t>
            </w:r>
          </w:p>
          <w:p>
            <w:pPr>
              <w:spacing w:line="300" w:lineRule="exact"/>
              <w:jc w:val="left"/>
              <w:rPr>
                <w:rFonts w:ascii="方正书宋_GBK" w:eastAsia="方正书宋_GBK"/>
              </w:rPr>
            </w:pPr>
            <w:r>
              <w:rPr>
                <w:rFonts w:ascii="方正书宋_GBK" w:eastAsia="方正书宋_GBK"/>
              </w:rPr>
              <w:t>2.保障人员工作积极性</w:t>
            </w:r>
          </w:p>
          <w:p>
            <w:pPr>
              <w:spacing w:line="300" w:lineRule="exact"/>
              <w:jc w:val="left"/>
              <w:rPr>
                <w:rFonts w:ascii="方正书宋_GBK" w:eastAsia="方正书宋_GBK"/>
              </w:rPr>
            </w:pPr>
            <w:r>
              <w:rPr>
                <w:rFonts w:ascii="方正书宋_GBK" w:eastAsia="方正书宋_GBK"/>
              </w:rPr>
              <w:t>3.保障森林防火工作正常运转</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每月补助金额</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按照岗位补助标准发放岗位补助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资金足额拨付率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实际拨付资金占应拨付资金的比率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防火护林员人数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防火护林员人数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r>
        <w:rPr>
          <w:rFonts w:ascii="方正仿宋_GBK" w:eastAsia="方正仿宋_GBK"/>
          <w:b/>
          <w:sz w:val="28"/>
        </w:rPr>
        <w:t>4.公益就业扶贫岗位补助及保险资金绩效目标表</w:t>
      </w:r>
      <w:r>
        <w:fldChar w:fldCharType="begin"/>
      </w:r>
      <w:r>
        <w:rPr>
          <w:rFonts w:ascii="方正仿宋_GBK" w:eastAsia="方正仿宋_GBK"/>
          <w:b/>
          <w:sz w:val="28"/>
        </w:rPr>
        <w:instrText xml:space="preserve"> TC 4、公益就业扶贫岗位补助及保险资金绩效目标表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910001瀑河乡本级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130625215ZPGG7QLDE2F5</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公益就业扶贫岗位补助及保险资金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66670.00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66670.00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用于公益就业扶贫岗位补助及保险资金费用支出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1.以公益岗位就业为抓手，引导建档立卡贫困人员积极参加公共服务事业</w:t>
            </w:r>
          </w:p>
          <w:p>
            <w:pPr>
              <w:spacing w:line="300" w:lineRule="exact"/>
              <w:jc w:val="left"/>
              <w:rPr>
                <w:rFonts w:ascii="方正书宋_GBK" w:eastAsia="方正书宋_GBK"/>
              </w:rPr>
            </w:pPr>
            <w:r>
              <w:rPr>
                <w:rFonts w:ascii="方正书宋_GBK" w:eastAsia="方正书宋_GBK"/>
              </w:rPr>
              <w:t>2.给予一定的岗位补贴，促进建档立卡贫困人员增收脱贫</w:t>
            </w:r>
          </w:p>
          <w:p>
            <w:pPr>
              <w:spacing w:line="300" w:lineRule="exact"/>
              <w:jc w:val="left"/>
              <w:rPr>
                <w:rFonts w:ascii="方正书宋_GBK" w:eastAsia="方正书宋_GBK"/>
              </w:rPr>
            </w:pPr>
            <w:r>
              <w:rPr>
                <w:rFonts w:ascii="方正书宋_GBK" w:eastAsia="方正书宋_GBK"/>
              </w:rPr>
              <w:t>3.保障贫困人员日常生活正常运行</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每月补助金额</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按照岗位补助标准发放岗位补助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资金足额拨付率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实际拨付资金占应拨付资金的比率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受益建档立卡贫困人数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受益建档立卡贫困人数（人）</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受助对象满意度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满意贫困人数占岗位人数的比率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r>
        <w:rPr>
          <w:rFonts w:ascii="方正仿宋_GBK" w:eastAsia="方正仿宋_GBK"/>
          <w:b/>
          <w:sz w:val="28"/>
        </w:rPr>
        <w:t>5.乡镇武装工作经费绩效目标表</w:t>
      </w:r>
      <w:r>
        <w:fldChar w:fldCharType="begin"/>
      </w:r>
      <w:r>
        <w:rPr>
          <w:rFonts w:ascii="方正仿宋_GBK" w:eastAsia="方正仿宋_GBK"/>
          <w:b/>
          <w:sz w:val="28"/>
        </w:rPr>
        <w:instrText xml:space="preserve"> TC 5、乡镇武装工作经费绩效目标表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910001瀑河乡本级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130625216E68R5NMXNHT8</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乡镇武装工作经费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主要用于民兵训练,征兵入伍宣传等经费</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1.保障民兵训练</w:t>
            </w:r>
          </w:p>
          <w:p>
            <w:pPr>
              <w:spacing w:line="300" w:lineRule="exact"/>
              <w:jc w:val="left"/>
              <w:rPr>
                <w:rFonts w:ascii="方正书宋_GBK" w:eastAsia="方正书宋_GBK"/>
              </w:rPr>
            </w:pPr>
            <w:r>
              <w:rPr>
                <w:rFonts w:ascii="方正书宋_GBK" w:eastAsia="方正书宋_GBK"/>
              </w:rPr>
              <w:t>2.征兵入伍宣传</w:t>
            </w:r>
          </w:p>
          <w:p>
            <w:pPr>
              <w:spacing w:line="300" w:lineRule="exact"/>
              <w:jc w:val="left"/>
              <w:rPr>
                <w:rFonts w:ascii="方正书宋_GBK" w:eastAsia="方正书宋_GBK"/>
              </w:rPr>
            </w:pPr>
            <w:r>
              <w:rPr>
                <w:rFonts w:ascii="方正书宋_GBK" w:eastAsia="方正书宋_GBK"/>
              </w:rPr>
              <w:t>3.完成征兵入伍任务</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村数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涉及到征兵人员所在村数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各村项目资金是否足额拨付到位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实际拨付金额占应拨付金额的比率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在辖区开展活动的影响力，得到广大受众的充分认可。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群众对提供各种政务活动的村组织满意数量占总数的比例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r>
        <w:rPr>
          <w:rFonts w:ascii="方正仿宋_GBK" w:eastAsia="方正仿宋_GBK"/>
          <w:b/>
          <w:sz w:val="28"/>
        </w:rPr>
        <w:t>6.大气污染防治经费绩效目标表</w:t>
      </w:r>
      <w:r>
        <w:fldChar w:fldCharType="begin"/>
      </w:r>
      <w:r>
        <w:rPr>
          <w:rFonts w:ascii="方正仿宋_GBK" w:eastAsia="方正仿宋_GBK"/>
          <w:b/>
          <w:sz w:val="28"/>
        </w:rPr>
        <w:instrText xml:space="preserve"> TC 6、大气污染防治经费绩效目标表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910001瀑河乡本级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13062521A1D36W0FGWSVQ</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大气污染防治经费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用于大气污染防治经费支出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1.用于人员补助等费用支出</w:t>
            </w:r>
          </w:p>
          <w:p>
            <w:pPr>
              <w:spacing w:line="300" w:lineRule="exact"/>
              <w:jc w:val="left"/>
              <w:rPr>
                <w:rFonts w:ascii="方正书宋_GBK" w:eastAsia="方正书宋_GBK"/>
              </w:rPr>
            </w:pPr>
            <w:r>
              <w:rPr>
                <w:rFonts w:ascii="方正书宋_GBK" w:eastAsia="方正书宋_GBK"/>
              </w:rPr>
              <w:t>2.保障日常工作正常运转</w:t>
            </w:r>
          </w:p>
          <w:p>
            <w:pPr>
              <w:spacing w:line="300" w:lineRule="exact"/>
              <w:jc w:val="left"/>
              <w:rPr>
                <w:rFonts w:ascii="方正书宋_GBK" w:eastAsia="方正书宋_GBK"/>
              </w:rPr>
            </w:pPr>
            <w:r>
              <w:rPr>
                <w:rFonts w:ascii="方正书宋_GBK" w:eastAsia="方正书宋_GBK"/>
              </w:rPr>
              <w:t>3.保障人员工作积极性</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按时支付人员费用及时率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能够保障人员工资效率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r>
        <w:rPr>
          <w:rFonts w:ascii="方正仿宋_GBK" w:eastAsia="方正仿宋_GBK"/>
          <w:b/>
          <w:sz w:val="28"/>
        </w:rPr>
        <w:t>7.村级组织办公经费绩效目标表</w:t>
      </w:r>
      <w:r>
        <w:fldChar w:fldCharType="begin"/>
      </w:r>
      <w:r>
        <w:rPr>
          <w:rFonts w:ascii="方正仿宋_GBK" w:eastAsia="方正仿宋_GBK"/>
          <w:b/>
          <w:sz w:val="28"/>
        </w:rPr>
        <w:instrText xml:space="preserve"> TC 7、村级组织办公经费绩效目标表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910001瀑河乡本级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13062521BFXUZG3M1T2NH</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村级组织办公经费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199600.00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199600.00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用于村级组织办公经费支出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1.保障村级组织经费等支出</w:t>
            </w:r>
          </w:p>
          <w:p>
            <w:pPr>
              <w:spacing w:line="300" w:lineRule="exact"/>
              <w:jc w:val="left"/>
              <w:rPr>
                <w:rFonts w:ascii="方正书宋_GBK" w:eastAsia="方正书宋_GBK"/>
              </w:rPr>
            </w:pPr>
            <w:r>
              <w:rPr>
                <w:rFonts w:ascii="方正书宋_GBK" w:eastAsia="方正书宋_GBK"/>
              </w:rPr>
              <w:t>2.保障村级组织工作正常运转</w:t>
            </w:r>
          </w:p>
          <w:p>
            <w:pPr>
              <w:spacing w:line="300" w:lineRule="exact"/>
              <w:jc w:val="left"/>
              <w:rPr>
                <w:rFonts w:ascii="方正书宋_GBK" w:eastAsia="方正书宋_GBK"/>
              </w:rPr>
            </w:pPr>
            <w:r>
              <w:rPr>
                <w:rFonts w:ascii="方正书宋_GBK" w:eastAsia="方正书宋_GBK"/>
              </w:rPr>
              <w:t>3.保障人员工作积极性</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村数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村级组织办公经费涉及村委会数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当年服务群众任务完成情况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在辖区开展活动的影响力，得到广大受众的充分认可。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群众对提供各种政务活动的村组织满意数量占总数的比例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r>
        <w:rPr>
          <w:rFonts w:ascii="方正仿宋_GBK" w:eastAsia="方正仿宋_GBK"/>
          <w:b/>
          <w:sz w:val="28"/>
        </w:rPr>
        <w:t>8.选任专职人民调解员经费绩效目标表</w:t>
      </w:r>
      <w:r>
        <w:fldChar w:fldCharType="begin"/>
      </w:r>
      <w:r>
        <w:rPr>
          <w:rFonts w:ascii="方正仿宋_GBK" w:eastAsia="方正仿宋_GBK"/>
          <w:b/>
          <w:sz w:val="28"/>
        </w:rPr>
        <w:instrText xml:space="preserve"> TC 8、选任专职人民调解员经费绩效目标表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910001瀑河乡本级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13062521CMCIRRNGVOFHX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选任专职人民调解员经费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57000.00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57000.00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用于选任专职人民调解员经费支出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1.做好人民调解工作，更好、更快调解诉前案件和信访案件。</w:t>
            </w:r>
          </w:p>
          <w:p>
            <w:pPr>
              <w:spacing w:line="300" w:lineRule="exact"/>
              <w:jc w:val="left"/>
              <w:rPr>
                <w:rFonts w:ascii="方正书宋_GBK" w:eastAsia="方正书宋_GBK"/>
              </w:rPr>
            </w:pPr>
            <w:r>
              <w:rPr>
                <w:rFonts w:ascii="方正书宋_GBK" w:eastAsia="方正书宋_GBK"/>
              </w:rPr>
              <w:t>2.减少社会矛盾，化解社会纠纷。</w:t>
            </w:r>
          </w:p>
          <w:p>
            <w:pPr>
              <w:spacing w:line="300" w:lineRule="exact"/>
              <w:jc w:val="left"/>
              <w:rPr>
                <w:rFonts w:ascii="方正书宋_GBK" w:eastAsia="方正书宋_GBK"/>
              </w:rPr>
            </w:pPr>
            <w:r>
              <w:rPr>
                <w:rFonts w:ascii="方正书宋_GBK" w:eastAsia="方正书宋_GBK"/>
              </w:rPr>
              <w:t>3.保障人员工作积极性</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调解案件成功率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调解成功案件数量占受理案件数量的比例（百分比）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r>
        <w:rPr>
          <w:rFonts w:ascii="方正仿宋_GBK" w:eastAsia="方正仿宋_GBK"/>
          <w:b/>
          <w:sz w:val="28"/>
        </w:rPr>
        <w:t>9.纪检保障经费绩效目标表</w:t>
      </w:r>
      <w:r>
        <w:fldChar w:fldCharType="begin"/>
      </w:r>
      <w:r>
        <w:rPr>
          <w:rFonts w:ascii="方正仿宋_GBK" w:eastAsia="方正仿宋_GBK"/>
          <w:b/>
          <w:sz w:val="28"/>
        </w:rPr>
        <w:instrText xml:space="preserve"> TC 9、纪检保障经费绩效目标表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910001瀑河乡本级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13062521CR59HACGEQ9GP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纪检保障经费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44000.00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44000.00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用于全年纪检经费支出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1.用于人员经费等费用支出</w:t>
            </w:r>
          </w:p>
          <w:p>
            <w:pPr>
              <w:spacing w:line="300" w:lineRule="exact"/>
              <w:jc w:val="left"/>
              <w:rPr>
                <w:rFonts w:ascii="方正书宋_GBK" w:eastAsia="方正书宋_GBK"/>
              </w:rPr>
            </w:pPr>
            <w:r>
              <w:rPr>
                <w:rFonts w:ascii="方正书宋_GBK" w:eastAsia="方正书宋_GBK"/>
              </w:rPr>
              <w:t>2.保障日常工作正常运转</w:t>
            </w:r>
          </w:p>
          <w:p>
            <w:pPr>
              <w:spacing w:line="300" w:lineRule="exact"/>
              <w:jc w:val="left"/>
              <w:rPr>
                <w:rFonts w:ascii="方正书宋_GBK" w:eastAsia="方正书宋_GBK"/>
              </w:rPr>
            </w:pPr>
            <w:r>
              <w:rPr>
                <w:rFonts w:ascii="方正书宋_GBK" w:eastAsia="方正书宋_GBK"/>
              </w:rPr>
              <w:t>3.保障人员工作积极性</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按时支付人员费用及时率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能够保障人员工资效率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r>
        <w:rPr>
          <w:rFonts w:ascii="方正仿宋_GBK" w:eastAsia="方正仿宋_GBK"/>
          <w:b/>
          <w:sz w:val="28"/>
        </w:rPr>
        <w:t>10.瀑河水库除险加固工程及善后工作扶持绩效目标表</w:t>
      </w:r>
      <w:r>
        <w:fldChar w:fldCharType="begin"/>
      </w:r>
      <w:r>
        <w:rPr>
          <w:rFonts w:ascii="方正仿宋_GBK" w:eastAsia="方正仿宋_GBK"/>
          <w:b/>
          <w:sz w:val="28"/>
        </w:rPr>
        <w:instrText xml:space="preserve"> TC 10、瀑河水库除险加固工程及善后工作扶持绩效目标表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910001瀑河乡本级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13062521CR8ERL78N5PM3</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瀑河水库除险加固工程及善后工作扶持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2669501.23</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2669501.23</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用于瀑河水库除险加固工程及善后工作扶持费用支出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1.用于瀑河水库除险加固及善后工作扶持助等费用支出</w:t>
            </w:r>
          </w:p>
          <w:p>
            <w:pPr>
              <w:spacing w:line="300" w:lineRule="exact"/>
              <w:jc w:val="left"/>
              <w:rPr>
                <w:rFonts w:ascii="方正书宋_GBK" w:eastAsia="方正书宋_GBK"/>
              </w:rPr>
            </w:pPr>
            <w:r>
              <w:rPr>
                <w:rFonts w:ascii="方正书宋_GBK" w:eastAsia="方正书宋_GBK"/>
              </w:rPr>
              <w:t>2.保障日常工作正常运转</w:t>
            </w:r>
          </w:p>
          <w:p>
            <w:pPr>
              <w:spacing w:line="300" w:lineRule="exact"/>
              <w:jc w:val="left"/>
              <w:rPr>
                <w:rFonts w:ascii="方正书宋_GBK" w:eastAsia="方正书宋_GBK"/>
              </w:rPr>
            </w:pPr>
            <w:r>
              <w:rPr>
                <w:rFonts w:ascii="方正书宋_GBK" w:eastAsia="方正书宋_GBK"/>
              </w:rPr>
              <w:t>3.为了发展北湖休闲度假区建设，改善周边环境</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按时支付费用及时率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能够保障工作正常运行效率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r>
        <w:rPr>
          <w:rFonts w:ascii="方正仿宋_GBK" w:eastAsia="方正仿宋_GBK"/>
          <w:b/>
          <w:sz w:val="28"/>
        </w:rPr>
        <w:t>11.全区绿化土地流转金绩效目标表</w:t>
      </w:r>
      <w:r>
        <w:fldChar w:fldCharType="begin"/>
      </w:r>
      <w:r>
        <w:rPr>
          <w:rFonts w:ascii="方正仿宋_GBK" w:eastAsia="方正仿宋_GBK"/>
          <w:b/>
          <w:sz w:val="28"/>
        </w:rPr>
        <w:instrText xml:space="preserve"> TC 11、全区绿化土地流转金绩效目标表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910001瀑河乡本级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13062521DAQHPLB9TETET</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全区绿化土地流转金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7392198.08</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7392198.08</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用于全区绿化土地流转金支出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1.资金发放及时足额</w:t>
            </w:r>
          </w:p>
          <w:p>
            <w:pPr>
              <w:spacing w:line="300" w:lineRule="exact"/>
              <w:jc w:val="left"/>
              <w:rPr>
                <w:rFonts w:ascii="方正书宋_GBK" w:eastAsia="方正书宋_GBK"/>
              </w:rPr>
            </w:pPr>
            <w:r>
              <w:rPr>
                <w:rFonts w:ascii="方正书宋_GBK" w:eastAsia="方正书宋_GBK"/>
              </w:rPr>
              <w:t>2.绿化覆盖率提高</w:t>
            </w:r>
          </w:p>
          <w:p>
            <w:pPr>
              <w:spacing w:line="300" w:lineRule="exact"/>
              <w:jc w:val="left"/>
              <w:rPr>
                <w:rFonts w:ascii="方正书宋_GBK" w:eastAsia="方正书宋_GBK"/>
              </w:rPr>
            </w:pPr>
            <w:r>
              <w:rPr>
                <w:rFonts w:ascii="方正书宋_GBK" w:eastAsia="方正书宋_GBK"/>
              </w:rPr>
              <w:t>3.提高人居环境质量</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补偿村数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瀑河乡绿化占地补偿涉及村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9个</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各村项目资金是否足额拨付到位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按要求和计划完成林业绿化占地完成比例（百分比）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发放林业绿化占地租金发放完成率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群众满意度 </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群众对当年林业绿化占地租金发放的整体满意度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r>
        <w:rPr>
          <w:rFonts w:ascii="方正仿宋_GBK" w:eastAsia="方正仿宋_GBK"/>
          <w:b/>
          <w:sz w:val="28"/>
        </w:rPr>
        <w:t>12.服务群众专项经费绩效目标表</w:t>
      </w:r>
      <w:r>
        <w:fldChar w:fldCharType="begin"/>
      </w:r>
      <w:r>
        <w:rPr>
          <w:rFonts w:ascii="方正仿宋_GBK" w:eastAsia="方正仿宋_GBK"/>
          <w:b/>
          <w:sz w:val="28"/>
        </w:rPr>
        <w:instrText xml:space="preserve"> TC 12、服务群众专项经费绩效目标表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910001瀑河乡本级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13062521FSBW9Y7ELVKWQ</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服务群众专项经费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450000.00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450000.00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用于服务群众专项经费支出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1.运用服务群众专项经费，保障村内组织日常活动。</w:t>
            </w:r>
          </w:p>
          <w:p>
            <w:pPr>
              <w:spacing w:line="300" w:lineRule="exact"/>
              <w:jc w:val="left"/>
              <w:rPr>
                <w:rFonts w:ascii="方正书宋_GBK" w:eastAsia="方正书宋_GBK"/>
              </w:rPr>
            </w:pPr>
            <w:r>
              <w:rPr>
                <w:rFonts w:ascii="方正书宋_GBK" w:eastAsia="方正书宋_GBK"/>
              </w:rPr>
              <w:t>2.正确使用服务群众专项经费用于村内公益事业,达到群众满意。</w:t>
            </w:r>
          </w:p>
          <w:p>
            <w:pPr>
              <w:spacing w:line="300" w:lineRule="exact"/>
              <w:jc w:val="left"/>
              <w:rPr>
                <w:rFonts w:ascii="方正书宋_GBK" w:eastAsia="方正书宋_GBK"/>
              </w:rPr>
            </w:pPr>
            <w:r>
              <w:rPr>
                <w:rFonts w:ascii="方正书宋_GBK" w:eastAsia="方正书宋_GBK"/>
              </w:rPr>
              <w:t>3.保障服务群众工作正常运转</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运行保障成本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运行保障成本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达到村级组织运转保障水平</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农村社区综合服务设施覆盖率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农村社区综合服务设施覆盖率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群众工作中心任务完成率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群众工作中心任务完成率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当年服务群众任务完成情况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通过实施此项资金，促进社会稳定水平逐步提高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逐步改善</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r>
        <w:rPr>
          <w:rFonts w:ascii="方正仿宋_GBK" w:eastAsia="方正仿宋_GBK"/>
          <w:b/>
          <w:sz w:val="28"/>
        </w:rPr>
        <w:t>13.防汛工作专项经费绩效目标表</w:t>
      </w:r>
      <w:r>
        <w:fldChar w:fldCharType="begin"/>
      </w:r>
      <w:r>
        <w:rPr>
          <w:rFonts w:ascii="方正仿宋_GBK" w:eastAsia="方正仿宋_GBK"/>
          <w:b/>
          <w:sz w:val="28"/>
        </w:rPr>
        <w:instrText xml:space="preserve"> TC 13、防汛工作专项经费绩效目标表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910001瀑河乡本级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13062521GBNGN9VAZAB8T</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防汛工作专项经费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用于防汛工作经费支出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1.用于人员补助等费用支出</w:t>
            </w:r>
          </w:p>
          <w:p>
            <w:pPr>
              <w:spacing w:line="300" w:lineRule="exact"/>
              <w:jc w:val="left"/>
              <w:rPr>
                <w:rFonts w:ascii="方正书宋_GBK" w:eastAsia="方正书宋_GBK"/>
              </w:rPr>
            </w:pPr>
            <w:r>
              <w:rPr>
                <w:rFonts w:ascii="方正书宋_GBK" w:eastAsia="方正书宋_GBK"/>
              </w:rPr>
              <w:t>2.保障日常工作正常运转</w:t>
            </w:r>
          </w:p>
          <w:p>
            <w:pPr>
              <w:spacing w:line="300" w:lineRule="exact"/>
              <w:jc w:val="left"/>
              <w:rPr>
                <w:rFonts w:ascii="方正书宋_GBK" w:eastAsia="方正书宋_GBK"/>
              </w:rPr>
            </w:pPr>
            <w:r>
              <w:rPr>
                <w:rFonts w:ascii="方正书宋_GBK" w:eastAsia="方正书宋_GBK"/>
              </w:rPr>
              <w:t>3.保障人员工作积极性</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按时支付人员费用及时率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能够保障人员工资效率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r>
        <w:rPr>
          <w:rFonts w:ascii="方正仿宋_GBK" w:eastAsia="方正仿宋_GBK"/>
          <w:b/>
          <w:sz w:val="28"/>
        </w:rPr>
        <w:t>14.安全生产信息员经费绩效目标表</w:t>
      </w:r>
      <w:r>
        <w:fldChar w:fldCharType="begin"/>
      </w:r>
      <w:r>
        <w:rPr>
          <w:rFonts w:ascii="方正仿宋_GBK" w:eastAsia="方正仿宋_GBK"/>
          <w:b/>
          <w:sz w:val="28"/>
        </w:rPr>
        <w:instrText xml:space="preserve"> TC 14、安全生产信息员经费绩效目标表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910001瀑河乡本级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13062521GZZU1V0L957QO</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安全生产信息员经费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用于安全生产信息员经费支出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1.通过项目实施，维持安全生产信息员队伍的稳定。</w:t>
            </w:r>
          </w:p>
          <w:p>
            <w:pPr>
              <w:spacing w:line="300" w:lineRule="exact"/>
              <w:jc w:val="left"/>
              <w:rPr>
                <w:rFonts w:ascii="方正书宋_GBK" w:eastAsia="方正书宋_GBK"/>
              </w:rPr>
            </w:pPr>
            <w:r>
              <w:rPr>
                <w:rFonts w:ascii="方正书宋_GBK" w:eastAsia="方正书宋_GBK"/>
              </w:rPr>
              <w:t>2.有效减少安全生产事故的发生，维护安全生产形势稳中向好。</w:t>
            </w:r>
          </w:p>
          <w:p>
            <w:pPr>
              <w:spacing w:line="300" w:lineRule="exact"/>
              <w:jc w:val="left"/>
              <w:rPr>
                <w:rFonts w:ascii="方正书宋_GBK" w:eastAsia="方正书宋_GBK"/>
              </w:rPr>
            </w:pPr>
            <w:r>
              <w:rPr>
                <w:rFonts w:ascii="方正书宋_GBK" w:eastAsia="方正书宋_GBK"/>
              </w:rPr>
              <w:t>3.保障人员工作积极性</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覆盖乡村数量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安全生产信息员设置覆盖村数量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报表信息质量合格率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报表信息质量合格率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乡村安全生产信息员岗位津贴发放完成率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调查享受安全生产信息员岗位津贴人员对津贴发放的满意程度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r>
        <w:rPr>
          <w:rFonts w:ascii="方正仿宋_GBK" w:eastAsia="方正仿宋_GBK"/>
          <w:b/>
          <w:sz w:val="28"/>
        </w:rPr>
        <w:t>15..公共图书馆、文化馆（站）免费开放区级配套资金绩效目标表</w:t>
      </w:r>
      <w:r>
        <w:fldChar w:fldCharType="begin"/>
      </w:r>
      <w:r>
        <w:rPr>
          <w:rFonts w:ascii="方正仿宋_GBK" w:eastAsia="方正仿宋_GBK"/>
          <w:b/>
          <w:sz w:val="28"/>
        </w:rPr>
        <w:instrText xml:space="preserve"> TC 15、.公共图书馆、文化馆（站）免费开放区级配套资金绩效目标表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910001瀑河乡本级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13062521HIB7COOWX9LIX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.公共图书馆、文化馆（站）免费开放区级配套资金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15000.00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用于公共图书馆、文化馆（站）免费开放区级配套资金支付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1.地方美术馆、公共图书馆、文化馆（站）免费开放率提高</w:t>
            </w:r>
          </w:p>
          <w:p>
            <w:pPr>
              <w:spacing w:line="300" w:lineRule="exact"/>
              <w:jc w:val="left"/>
              <w:rPr>
                <w:rFonts w:ascii="方正书宋_GBK" w:eastAsia="方正书宋_GBK"/>
              </w:rPr>
            </w:pPr>
            <w:r>
              <w:rPr>
                <w:rFonts w:ascii="方正书宋_GBK" w:eastAsia="方正书宋_GBK"/>
              </w:rPr>
              <w:t>2.农村基层文化人才队伍建设、丰富农民群众文化生活等得到加强</w:t>
            </w:r>
          </w:p>
          <w:p>
            <w:pPr>
              <w:spacing w:line="300" w:lineRule="exact"/>
              <w:jc w:val="left"/>
              <w:rPr>
                <w:rFonts w:ascii="方正书宋_GBK" w:eastAsia="方正书宋_GBK"/>
              </w:rPr>
            </w:pPr>
            <w:r>
              <w:rPr>
                <w:rFonts w:ascii="方正书宋_GBK" w:eastAsia="方正书宋_GBK"/>
              </w:rPr>
              <w:t>3.提升农村基层文化生活水平</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村数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村级组织办公经费涉及村委会数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当年服务群众任务完成情况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在辖区开展活动的影响力，得到广大受众的充分认可。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群众对提供各种政务活动的村组织满意数量占总数的比例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r>
        <w:rPr>
          <w:rFonts w:ascii="方正仿宋_GBK" w:eastAsia="方正仿宋_GBK"/>
          <w:b/>
          <w:sz w:val="28"/>
        </w:rPr>
        <w:t>16.环境整治专项业务费绩效目标表</w:t>
      </w:r>
      <w:r>
        <w:fldChar w:fldCharType="begin"/>
      </w:r>
      <w:r>
        <w:rPr>
          <w:rFonts w:ascii="方正仿宋_GBK" w:eastAsia="方正仿宋_GBK"/>
          <w:b/>
          <w:sz w:val="28"/>
        </w:rPr>
        <w:instrText xml:space="preserve"> TC 16、环境整治专项业务费绩效目标表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910001瀑河乡本级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13062521IL9VVBKT95LWU</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环境整治专项业务费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用于环境整治专项业务费用支出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1.用于人员补助等费用支出</w:t>
            </w:r>
          </w:p>
          <w:p>
            <w:pPr>
              <w:spacing w:line="300" w:lineRule="exact"/>
              <w:jc w:val="left"/>
              <w:rPr>
                <w:rFonts w:ascii="方正书宋_GBK" w:eastAsia="方正书宋_GBK"/>
              </w:rPr>
            </w:pPr>
            <w:r>
              <w:rPr>
                <w:rFonts w:ascii="方正书宋_GBK" w:eastAsia="方正书宋_GBK"/>
              </w:rPr>
              <w:t>2.保障日常工作正常运转</w:t>
            </w:r>
          </w:p>
          <w:p>
            <w:pPr>
              <w:spacing w:line="300" w:lineRule="exact"/>
              <w:jc w:val="left"/>
              <w:rPr>
                <w:rFonts w:ascii="方正书宋_GBK" w:eastAsia="方正书宋_GBK"/>
              </w:rPr>
            </w:pPr>
            <w:r>
              <w:rPr>
                <w:rFonts w:ascii="方正书宋_GBK" w:eastAsia="方正书宋_GBK"/>
              </w:rPr>
              <w:t>3.保障人员工作积极性</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按时支付人员费用及时率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能够保障人员工资效率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r>
        <w:rPr>
          <w:rFonts w:ascii="方正仿宋_GBK" w:eastAsia="方正仿宋_GBK"/>
          <w:b/>
          <w:sz w:val="28"/>
        </w:rPr>
        <w:t>17.村级退役军人服务站吸收参战（进藏）退役军人补贴绩效目标表</w:t>
      </w:r>
      <w:r>
        <w:fldChar w:fldCharType="begin"/>
      </w:r>
      <w:r>
        <w:rPr>
          <w:rFonts w:ascii="方正仿宋_GBK" w:eastAsia="方正仿宋_GBK"/>
          <w:b/>
          <w:sz w:val="28"/>
        </w:rPr>
        <w:instrText xml:space="preserve"> TC 17、村级退役军人服务站吸收参战（进藏）退役军人补贴绩效目标表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910001瀑河乡本级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13062521N8MWSQN9377V7</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村级退役军人服务站吸收参战（进藏）退役军人补贴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90000.00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用于村级退役军人服务站吸收参战（进藏）退役军人补贴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1.维护社会稳定</w:t>
            </w:r>
          </w:p>
          <w:p>
            <w:pPr>
              <w:spacing w:line="300" w:lineRule="exact"/>
              <w:jc w:val="left"/>
              <w:rPr>
                <w:rFonts w:ascii="方正书宋_GBK" w:eastAsia="方正书宋_GBK"/>
              </w:rPr>
            </w:pPr>
            <w:r>
              <w:rPr>
                <w:rFonts w:ascii="方正书宋_GBK" w:eastAsia="方正书宋_GBK"/>
              </w:rPr>
              <w:t>2.把退役安置工作作为支出国家国防军队建设的一项重要任务强力推进</w:t>
            </w:r>
          </w:p>
          <w:p>
            <w:pPr>
              <w:spacing w:line="300" w:lineRule="exact"/>
              <w:jc w:val="left"/>
              <w:rPr>
                <w:rFonts w:ascii="方正书宋_GBK" w:eastAsia="方正书宋_GBK"/>
              </w:rPr>
            </w:pPr>
            <w:r>
              <w:rPr>
                <w:rFonts w:ascii="方正书宋_GBK" w:eastAsia="方正书宋_GBK"/>
              </w:rPr>
              <w:t>3.按时发放村级退役军人服务站吸收参战（进藏）退役军人补贴</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r>
        <w:rPr>
          <w:rFonts w:ascii="方正仿宋_GBK" w:eastAsia="方正仿宋_GBK"/>
          <w:b/>
          <w:sz w:val="28"/>
        </w:rPr>
        <w:t>18.维稳经费绩效目标表</w:t>
      </w:r>
      <w:r>
        <w:fldChar w:fldCharType="begin"/>
      </w:r>
      <w:r>
        <w:rPr>
          <w:rFonts w:ascii="方正仿宋_GBK" w:eastAsia="方正仿宋_GBK"/>
          <w:b/>
          <w:sz w:val="28"/>
        </w:rPr>
        <w:instrText xml:space="preserve"> TC 18、维稳经费绩效目标表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910001瀑河乡本级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13062521NISTQ69MGO6O1</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维稳经费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14000.00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用于进京值班出差旅费及其他费用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1.保障人员经费支出</w:t>
            </w:r>
          </w:p>
          <w:p>
            <w:pPr>
              <w:spacing w:line="300" w:lineRule="exact"/>
              <w:jc w:val="left"/>
              <w:rPr>
                <w:rFonts w:ascii="方正书宋_GBK" w:eastAsia="方正书宋_GBK"/>
              </w:rPr>
            </w:pPr>
            <w:r>
              <w:rPr>
                <w:rFonts w:ascii="方正书宋_GBK" w:eastAsia="方正书宋_GBK"/>
              </w:rPr>
              <w:t>2.做好人民调解工作，更好、更快调解诉前案件和信访案件。</w:t>
            </w:r>
          </w:p>
          <w:p>
            <w:pPr>
              <w:spacing w:line="300" w:lineRule="exact"/>
              <w:jc w:val="left"/>
              <w:rPr>
                <w:rFonts w:ascii="方正书宋_GBK" w:eastAsia="方正书宋_GBK"/>
              </w:rPr>
            </w:pPr>
            <w:r>
              <w:rPr>
                <w:rFonts w:ascii="方正书宋_GBK" w:eastAsia="方正书宋_GBK"/>
              </w:rPr>
              <w:t>3.减少社会矛盾</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按时支付人员费用及时率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能够保障人员费用效率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r>
        <w:rPr>
          <w:rFonts w:ascii="方正仿宋_GBK" w:eastAsia="方正仿宋_GBK"/>
          <w:b/>
          <w:sz w:val="28"/>
        </w:rPr>
        <w:t>19.机关运转专项业务费绩效目标表</w:t>
      </w:r>
      <w:r>
        <w:fldChar w:fldCharType="begin"/>
      </w:r>
      <w:r>
        <w:rPr>
          <w:rFonts w:ascii="方正仿宋_GBK" w:eastAsia="方正仿宋_GBK"/>
          <w:b/>
          <w:sz w:val="28"/>
        </w:rPr>
        <w:instrText xml:space="preserve"> TC 19、机关运转专项业务费绩效目标表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910001瀑河乡本级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13062521RQK1YKG4HERYF</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机关运转专项业务费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201800.00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201800.00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用于机关运转专项业务费支出。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1.用于人员补助等费用支出</w:t>
            </w:r>
          </w:p>
          <w:p>
            <w:pPr>
              <w:spacing w:line="300" w:lineRule="exact"/>
              <w:jc w:val="left"/>
              <w:rPr>
                <w:rFonts w:ascii="方正书宋_GBK" w:eastAsia="方正书宋_GBK"/>
              </w:rPr>
            </w:pPr>
            <w:r>
              <w:rPr>
                <w:rFonts w:ascii="方正书宋_GBK" w:eastAsia="方正书宋_GBK"/>
              </w:rPr>
              <w:t>2.保障日常工作正常运转</w:t>
            </w:r>
          </w:p>
          <w:p>
            <w:pPr>
              <w:spacing w:line="300" w:lineRule="exact"/>
              <w:jc w:val="left"/>
              <w:rPr>
                <w:rFonts w:ascii="方正书宋_GBK" w:eastAsia="方正书宋_GBK"/>
              </w:rPr>
            </w:pPr>
            <w:r>
              <w:rPr>
                <w:rFonts w:ascii="方正书宋_GBK" w:eastAsia="方正书宋_GBK"/>
              </w:rPr>
              <w:t>3.保障人员工作积极性</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按时支付人员费用及时率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能够保障人员工资效率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r>
        <w:rPr>
          <w:rFonts w:ascii="方正仿宋_GBK" w:eastAsia="方正仿宋_GBK"/>
          <w:b/>
          <w:sz w:val="28"/>
        </w:rPr>
        <w:t>20.团委综合事务管理经费绩效目标表</w:t>
      </w:r>
      <w:r>
        <w:fldChar w:fldCharType="begin"/>
      </w:r>
      <w:r>
        <w:rPr>
          <w:rFonts w:ascii="方正仿宋_GBK" w:eastAsia="方正仿宋_GBK"/>
          <w:b/>
          <w:sz w:val="28"/>
        </w:rPr>
        <w:instrText xml:space="preserve"> TC 20、团委综合事务管理经费绩效目标表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910001瀑河乡本级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13062521SHNX0323GDO91</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团委综合事务管理经费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用于团委综合事务管理经费支出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1.用于人员经费等费用支出</w:t>
            </w:r>
          </w:p>
          <w:p>
            <w:pPr>
              <w:spacing w:line="300" w:lineRule="exact"/>
              <w:jc w:val="left"/>
              <w:rPr>
                <w:rFonts w:ascii="方正书宋_GBK" w:eastAsia="方正书宋_GBK"/>
              </w:rPr>
            </w:pPr>
            <w:r>
              <w:rPr>
                <w:rFonts w:ascii="方正书宋_GBK" w:eastAsia="方正书宋_GBK"/>
              </w:rPr>
              <w:t>2.保障日常工作正常运转</w:t>
            </w:r>
          </w:p>
          <w:p>
            <w:pPr>
              <w:spacing w:line="300" w:lineRule="exact"/>
              <w:jc w:val="left"/>
              <w:rPr>
                <w:rFonts w:ascii="方正书宋_GBK" w:eastAsia="方正书宋_GBK"/>
              </w:rPr>
            </w:pPr>
            <w:r>
              <w:rPr>
                <w:rFonts w:ascii="方正书宋_GBK" w:eastAsia="方正书宋_GBK"/>
              </w:rPr>
              <w:t>3.保障人员工作积极性</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按时支付人员费用及时率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能够保障人员工资效率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r>
        <w:rPr>
          <w:rFonts w:ascii="方正仿宋_GBK" w:eastAsia="方正仿宋_GBK"/>
          <w:b/>
          <w:sz w:val="28"/>
        </w:rPr>
        <w:t>21.2019-2020年区奖补资金造林绩效目标表</w:t>
      </w:r>
      <w:r>
        <w:fldChar w:fldCharType="begin"/>
      </w:r>
      <w:r>
        <w:rPr>
          <w:rFonts w:ascii="方正仿宋_GBK" w:eastAsia="方正仿宋_GBK"/>
          <w:b/>
          <w:sz w:val="28"/>
        </w:rPr>
        <w:instrText xml:space="preserve"> TC 21、2019-2020年区奖补资金造林绩效目标表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910001瀑河乡本级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13062521UXD64G8LKGHXB</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2019-2020年区奖补资金造林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2363842.00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2363842.00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 2019-2020年区奖补资金造林支出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1.增加林地绿化面积</w:t>
            </w:r>
          </w:p>
          <w:p>
            <w:pPr>
              <w:spacing w:line="300" w:lineRule="exact"/>
              <w:jc w:val="left"/>
              <w:rPr>
                <w:rFonts w:ascii="方正书宋_GBK" w:eastAsia="方正书宋_GBK"/>
              </w:rPr>
            </w:pPr>
            <w:r>
              <w:rPr>
                <w:rFonts w:ascii="方正书宋_GBK" w:eastAsia="方正书宋_GBK"/>
              </w:rPr>
              <w:t>2.提高全区绿化和森林覆盖率，改善生态环境</w:t>
            </w:r>
          </w:p>
          <w:p>
            <w:pPr>
              <w:spacing w:line="300" w:lineRule="exact"/>
              <w:jc w:val="left"/>
              <w:rPr>
                <w:rFonts w:ascii="方正书宋_GBK" w:eastAsia="方正书宋_GBK"/>
              </w:rPr>
            </w:pPr>
            <w:r>
              <w:rPr>
                <w:rFonts w:ascii="方正书宋_GBK" w:eastAsia="方正书宋_GBK"/>
              </w:rPr>
              <w:t>3.提高人居环境质量</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补助金发放率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实际发放地补助金额占计划发放金额的比率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森林覆盖面积增长率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全区森林面积净增加量与全区面积的比率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资金发放准时率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资金发放准时率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预算金额成本率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预算金额成本率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项目发挥作用期限</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项目发挥作用期限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1年</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r>
        <w:rPr>
          <w:rFonts w:ascii="方正仿宋_GBK" w:eastAsia="方正仿宋_GBK"/>
          <w:b/>
          <w:sz w:val="28"/>
        </w:rPr>
        <w:t>22.村党组织活动经费绩效目标表</w:t>
      </w:r>
      <w:r>
        <w:fldChar w:fldCharType="begin"/>
      </w:r>
      <w:r>
        <w:rPr>
          <w:rFonts w:ascii="方正仿宋_GBK" w:eastAsia="方正仿宋_GBK"/>
          <w:b/>
          <w:sz w:val="28"/>
        </w:rPr>
        <w:instrText xml:space="preserve"> TC 22、村党组织活动经费绩效目标表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910001瀑河乡本级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13062521W1R9KLA39HKV3</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村党组织活动经费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110400.00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110400.00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用于村党组织活动经费支出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1.通过拨付村党组织活动经费，保障村党组织日常活动</w:t>
            </w:r>
          </w:p>
          <w:p>
            <w:pPr>
              <w:spacing w:line="300" w:lineRule="exact"/>
              <w:jc w:val="left"/>
              <w:rPr>
                <w:rFonts w:ascii="方正书宋_GBK" w:eastAsia="方正书宋_GBK"/>
              </w:rPr>
            </w:pPr>
            <w:r>
              <w:rPr>
                <w:rFonts w:ascii="方正书宋_GBK" w:eastAsia="方正书宋_GBK"/>
              </w:rPr>
              <w:t>2.由村党组织活动经费定期集中培训，提高农村党员的综合素质</w:t>
            </w:r>
          </w:p>
          <w:p>
            <w:pPr>
              <w:spacing w:line="300" w:lineRule="exact"/>
              <w:jc w:val="left"/>
              <w:rPr>
                <w:rFonts w:ascii="方正书宋_GBK" w:eastAsia="方正书宋_GBK"/>
              </w:rPr>
            </w:pPr>
            <w:r>
              <w:rPr>
                <w:rFonts w:ascii="方正书宋_GBK" w:eastAsia="方正书宋_GBK"/>
              </w:rPr>
              <w:t>3.保障村党组织活动正常运转</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组织参观学习人次</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组织前往宣传教育基地参观的人次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学习活动成果验收合格率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学习活动成果情况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达到村党组织活动效果</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培训、组织党员计划比例</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培训、组织党员计划完成情况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党员学习、培训等的开支标准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党员学习、培训等的开支标准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达到村党组织活动效果要求</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通过实施党员活动促进社会稳定水平逐步提高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社会稳定水平逐年提高</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历史标准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r>
        <w:rPr>
          <w:rFonts w:ascii="方正仿宋_GBK" w:eastAsia="方正仿宋_GBK"/>
          <w:b/>
          <w:sz w:val="28"/>
        </w:rPr>
        <w:t>23.徐水区退役军人公益岗岗位人员工资绩效目标表</w:t>
      </w:r>
      <w:r>
        <w:fldChar w:fldCharType="begin"/>
      </w:r>
      <w:r>
        <w:rPr>
          <w:rFonts w:ascii="方正仿宋_GBK" w:eastAsia="方正仿宋_GBK"/>
          <w:b/>
          <w:sz w:val="28"/>
        </w:rPr>
        <w:instrText xml:space="preserve"> TC 23、徐水区退役军人公益岗岗位人员工资绩效目标表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910001瀑河乡本级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13062521YY7BSCGUVEKZM</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徐水区退役军人公益岗岗位人员工资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24600.00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24600.00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用于支付退役军人公益岗岗位人员工资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1.维护社会稳定</w:t>
            </w:r>
          </w:p>
          <w:p>
            <w:pPr>
              <w:spacing w:line="300" w:lineRule="exact"/>
              <w:jc w:val="left"/>
              <w:rPr>
                <w:rFonts w:ascii="方正书宋_GBK" w:eastAsia="方正书宋_GBK"/>
              </w:rPr>
            </w:pPr>
            <w:r>
              <w:rPr>
                <w:rFonts w:ascii="方正书宋_GBK" w:eastAsia="方正书宋_GBK"/>
              </w:rPr>
              <w:t>2.把退役安置工作作为支出国家国防军队建设的一项重要任务强力推进</w:t>
            </w:r>
          </w:p>
          <w:p>
            <w:pPr>
              <w:spacing w:line="300" w:lineRule="exact"/>
              <w:jc w:val="left"/>
              <w:rPr>
                <w:rFonts w:ascii="方正书宋_GBK" w:eastAsia="方正书宋_GBK"/>
              </w:rPr>
            </w:pPr>
            <w:r>
              <w:rPr>
                <w:rFonts w:ascii="方正书宋_GBK" w:eastAsia="方正书宋_GBK"/>
              </w:rPr>
              <w:t>3.确保退役军人公益岗位人员工资按时发放</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bl>
    <w:p>
      <w:pPr>
        <w:sectPr>
          <w:pgSz w:w="11907" w:h="16839"/>
          <w:pgMar w:top="1984" w:right="1304" w:bottom="1134" w:left="1304" w:header="851" w:footer="992" w:gutter="0"/>
          <w:cols w:space="425" w:num="1"/>
          <w:docGrid w:type="lines" w:linePitch="312" w:charSpace="0"/>
        </w:sectPr>
      </w:pPr>
    </w:p>
    <w:p>
      <w:pPr>
        <w:rPr>
          <w:rFonts w:ascii="Times New Roman" w:hAnsi="宋体" w:eastAsia="宋体"/>
          <w:sz w:val="52"/>
        </w:rPr>
      </w:pPr>
      <w:r>
        <w:rPr>
          <w:rFonts w:ascii="方正小标宋_GBK" w:eastAsia="方正小标宋_GBK"/>
          <w:sz w:val="52"/>
        </w:rPr>
        <w:t xml:space="preserve"> </w:t>
      </w:r>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hint="eastAsia" w:ascii="仿宋" w:hAnsi="仿宋" w:eastAsia="仿宋"/>
          <w:sz w:val="32"/>
          <w:szCs w:val="32"/>
        </w:rPr>
      </w:pPr>
      <w:r>
        <w:rPr>
          <w:rFonts w:ascii="仿宋" w:hAnsi="仿宋" w:eastAsia="仿宋"/>
          <w:sz w:val="32"/>
          <w:szCs w:val="32"/>
        </w:rPr>
        <w:t>2021年，我部门无政府采购预算，空表列示。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附部门政府采购预算表空表。</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sectPr>
          <w:footerReference r:id="rId3" w:type="default"/>
          <w:pgSz w:w="11906" w:h="16838"/>
          <w:pgMar w:top="1440" w:right="1800" w:bottom="1440" w:left="1800" w:header="851" w:footer="992" w:gutter="0"/>
          <w:cols w:space="425" w:num="1"/>
          <w:docGrid w:type="lines" w:linePitch="312" w:charSpace="0"/>
        </w:sectPr>
      </w:pPr>
    </w:p>
    <w:tbl>
      <w:tblPr>
        <w:tblStyle w:val="5"/>
        <w:tblW w:w="1398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42"/>
        <w:gridCol w:w="764"/>
        <w:gridCol w:w="1134"/>
        <w:gridCol w:w="1134"/>
        <w:gridCol w:w="992"/>
        <w:gridCol w:w="851"/>
        <w:gridCol w:w="834"/>
        <w:gridCol w:w="709"/>
        <w:gridCol w:w="992"/>
        <w:gridCol w:w="1134"/>
        <w:gridCol w:w="851"/>
        <w:gridCol w:w="850"/>
        <w:gridCol w:w="851"/>
        <w:gridCol w:w="8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751" w:type="dxa"/>
            <w:gridSpan w:val="7"/>
            <w:tcBorders>
              <w:top w:val="single" w:color="FFFFFF" w:sz="6" w:space="0"/>
              <w:left w:val="single" w:color="FFFFFF" w:sz="6" w:space="0"/>
              <w:right w:val="single" w:color="FFFFFF" w:sz="6" w:space="0"/>
            </w:tcBorders>
            <w:vAlign w:val="center"/>
          </w:tcPr>
          <w:p>
            <w:pPr>
              <w:spacing w:line="700" w:lineRule="exact"/>
              <w:ind w:firstLine="4960" w:firstLineChars="1550"/>
              <w:jc w:val="left"/>
              <w:rPr>
                <w:rFonts w:hint="eastAsia" w:ascii="方正小标宋_GBK" w:eastAsia="方正小标宋_GBK"/>
                <w:sz w:val="24"/>
              </w:rPr>
            </w:pPr>
            <w:bookmarkStart w:id="4" w:name="RANGE!A1"/>
            <w:r>
              <w:rPr>
                <w:rFonts w:hint="eastAsia" w:ascii="宋体" w:hAnsi="宋体" w:eastAsia="宋体" w:cs="宋体"/>
                <w:color w:val="000000"/>
                <w:kern w:val="0"/>
                <w:sz w:val="32"/>
                <w:szCs w:val="32"/>
              </w:rPr>
              <w:t>部门政府采购预算</w:t>
            </w:r>
            <w:bookmarkEnd w:id="4"/>
          </w:p>
          <w:p>
            <w:pPr>
              <w:spacing w:line="700" w:lineRule="exact"/>
              <w:jc w:val="left"/>
              <w:rPr>
                <w:rFonts w:ascii="方正小标宋_GBK" w:eastAsia="方正小标宋_GBK"/>
                <w:sz w:val="24"/>
              </w:rPr>
            </w:pPr>
            <w:r>
              <w:rPr>
                <w:rFonts w:hint="eastAsia" w:ascii="Times New Roman" w:hAnsi="Times New Roman" w:eastAsia="等线" w:cs="Times New Roman"/>
                <w:color w:val="000000"/>
                <w:kern w:val="0"/>
                <w:sz w:val="24"/>
                <w:szCs w:val="24"/>
              </w:rPr>
              <w:t>保定市徐水区瀑河乡人民政府</w:t>
            </w:r>
          </w:p>
        </w:tc>
        <w:tc>
          <w:tcPr>
            <w:tcW w:w="6237" w:type="dxa"/>
            <w:gridSpan w:val="7"/>
            <w:tcBorders>
              <w:top w:val="single" w:color="FFFFFF" w:sz="6" w:space="0"/>
              <w:left w:val="single" w:color="FFFFFF" w:sz="6" w:space="0"/>
              <w:right w:val="single" w:color="FFFFFF" w:sz="6" w:space="0"/>
            </w:tcBorders>
            <w:vAlign w:val="center"/>
          </w:tcPr>
          <w:p>
            <w:pPr>
              <w:spacing w:line="700" w:lineRule="exact"/>
              <w:jc w:val="right"/>
              <w:rPr>
                <w:rFonts w:ascii="方正书宋_GBK" w:eastAsia="方正书宋_GBK"/>
                <w:sz w:val="24"/>
              </w:rPr>
            </w:pPr>
            <w:r>
              <w:rPr>
                <w:rFonts w:hint="eastAsia" w:ascii="宋体" w:hAnsi="宋体" w:cs="宋体"/>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06" w:type="dxa"/>
            <w:gridSpan w:val="2"/>
            <w:vAlign w:val="center"/>
          </w:tcPr>
          <w:p>
            <w:pPr>
              <w:spacing w:line="700" w:lineRule="exact"/>
              <w:jc w:val="center"/>
              <w:rPr>
                <w:rFonts w:ascii="方正书宋_GBK" w:eastAsia="方正书宋_GBK"/>
                <w:b/>
              </w:rPr>
            </w:pPr>
            <w:r>
              <w:rPr>
                <w:rFonts w:hint="eastAsia" w:ascii="宋体" w:hAnsi="宋体" w:cs="宋体"/>
                <w:b/>
              </w:rPr>
              <w:t>政府采购项目来源</w:t>
            </w:r>
          </w:p>
        </w:tc>
        <w:tc>
          <w:tcPr>
            <w:tcW w:w="1134" w:type="dxa"/>
            <w:vMerge w:val="restart"/>
            <w:vAlign w:val="center"/>
          </w:tcPr>
          <w:p>
            <w:pPr>
              <w:spacing w:line="700" w:lineRule="exact"/>
              <w:jc w:val="center"/>
              <w:rPr>
                <w:rFonts w:ascii="方正书宋_GBK" w:eastAsia="方正书宋_GBK"/>
                <w:b/>
              </w:rPr>
            </w:pPr>
            <w:r>
              <w:rPr>
                <w:rFonts w:hint="eastAsia" w:ascii="宋体" w:hAnsi="宋体" w:cs="宋体"/>
                <w:b/>
              </w:rPr>
              <w:t>采购物品名称</w:t>
            </w:r>
          </w:p>
        </w:tc>
        <w:tc>
          <w:tcPr>
            <w:tcW w:w="1134" w:type="dxa"/>
            <w:vMerge w:val="restart"/>
            <w:vAlign w:val="center"/>
          </w:tcPr>
          <w:p>
            <w:pPr>
              <w:spacing w:line="700" w:lineRule="exact"/>
              <w:jc w:val="center"/>
              <w:rPr>
                <w:rFonts w:ascii="方正书宋_GBK" w:eastAsia="方正书宋_GBK"/>
                <w:b/>
              </w:rPr>
            </w:pPr>
            <w:r>
              <w:rPr>
                <w:rFonts w:hint="eastAsia" w:ascii="宋体" w:hAnsi="宋体" w:cs="宋体"/>
                <w:b/>
              </w:rPr>
              <w:t>政府采购目录序号</w:t>
            </w:r>
          </w:p>
        </w:tc>
        <w:tc>
          <w:tcPr>
            <w:tcW w:w="992" w:type="dxa"/>
            <w:vMerge w:val="restart"/>
            <w:vAlign w:val="center"/>
          </w:tcPr>
          <w:p>
            <w:pPr>
              <w:spacing w:line="700" w:lineRule="exact"/>
              <w:jc w:val="center"/>
              <w:rPr>
                <w:rFonts w:ascii="方正书宋_GBK" w:eastAsia="方正书宋_GBK"/>
                <w:b/>
              </w:rPr>
            </w:pPr>
            <w:r>
              <w:rPr>
                <w:rFonts w:hint="eastAsia" w:ascii="宋体" w:hAnsi="宋体" w:cs="宋体"/>
                <w:b/>
              </w:rPr>
              <w:t>数量</w:t>
            </w:r>
            <w:r>
              <w:rPr>
                <w:rFonts w:ascii="方正书宋_GBK" w:eastAsia="方正书宋_GBK"/>
                <w:b/>
              </w:rPr>
              <w:t xml:space="preserve">  </w:t>
            </w:r>
            <w:r>
              <w:rPr>
                <w:rFonts w:hint="eastAsia" w:ascii="宋体" w:hAnsi="宋体" w:cs="宋体"/>
                <w:b/>
              </w:rPr>
              <w:t>单位</w:t>
            </w:r>
          </w:p>
        </w:tc>
        <w:tc>
          <w:tcPr>
            <w:tcW w:w="851" w:type="dxa"/>
            <w:vMerge w:val="restart"/>
            <w:vAlign w:val="center"/>
          </w:tcPr>
          <w:p>
            <w:pPr>
              <w:spacing w:line="700" w:lineRule="exact"/>
              <w:jc w:val="center"/>
              <w:rPr>
                <w:rFonts w:ascii="方正书宋_GBK" w:eastAsia="方正书宋_GBK"/>
                <w:b/>
              </w:rPr>
            </w:pPr>
            <w:r>
              <w:rPr>
                <w:rFonts w:hint="eastAsia" w:ascii="宋体" w:hAnsi="宋体" w:cs="宋体"/>
                <w:b/>
              </w:rPr>
              <w:t>数量</w:t>
            </w:r>
          </w:p>
        </w:tc>
        <w:tc>
          <w:tcPr>
            <w:tcW w:w="834" w:type="dxa"/>
            <w:vMerge w:val="restart"/>
            <w:vAlign w:val="center"/>
          </w:tcPr>
          <w:p>
            <w:pPr>
              <w:spacing w:line="700" w:lineRule="exact"/>
              <w:jc w:val="center"/>
              <w:rPr>
                <w:rFonts w:ascii="方正书宋_GBK" w:eastAsia="方正书宋_GBK"/>
                <w:b/>
              </w:rPr>
            </w:pPr>
            <w:r>
              <w:rPr>
                <w:rFonts w:hint="eastAsia" w:ascii="宋体" w:hAnsi="宋体" w:cs="宋体"/>
                <w:b/>
              </w:rPr>
              <w:t>单价</w:t>
            </w:r>
          </w:p>
        </w:tc>
        <w:tc>
          <w:tcPr>
            <w:tcW w:w="6237" w:type="dxa"/>
            <w:gridSpan w:val="7"/>
            <w:vAlign w:val="center"/>
          </w:tcPr>
          <w:p>
            <w:pPr>
              <w:spacing w:line="700" w:lineRule="exact"/>
              <w:jc w:val="center"/>
              <w:rPr>
                <w:rFonts w:ascii="方正书宋_GBK" w:eastAsia="方正书宋_GBK"/>
                <w:b/>
              </w:rPr>
            </w:pPr>
            <w:r>
              <w:rPr>
                <w:rFonts w:hint="eastAsia" w:ascii="宋体" w:hAnsi="宋体" w:cs="宋体"/>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042" w:type="dxa"/>
            <w:vMerge w:val="restart"/>
            <w:vAlign w:val="center"/>
          </w:tcPr>
          <w:p>
            <w:pPr>
              <w:spacing w:line="700" w:lineRule="exact"/>
              <w:jc w:val="center"/>
              <w:rPr>
                <w:rFonts w:ascii="方正书宋_GBK" w:eastAsia="方正书宋_GBK"/>
                <w:b/>
              </w:rPr>
            </w:pPr>
            <w:r>
              <w:rPr>
                <w:rFonts w:hint="eastAsia" w:ascii="宋体" w:hAnsi="宋体" w:cs="宋体"/>
                <w:b/>
              </w:rPr>
              <w:t>项目名称</w:t>
            </w:r>
          </w:p>
        </w:tc>
        <w:tc>
          <w:tcPr>
            <w:tcW w:w="764" w:type="dxa"/>
            <w:vMerge w:val="restart"/>
            <w:vAlign w:val="center"/>
          </w:tcPr>
          <w:p>
            <w:pPr>
              <w:spacing w:line="700" w:lineRule="exact"/>
              <w:jc w:val="center"/>
              <w:rPr>
                <w:rFonts w:ascii="方正书宋_GBK" w:eastAsia="方正书宋_GBK"/>
                <w:b/>
              </w:rPr>
            </w:pPr>
            <w:r>
              <w:rPr>
                <w:rFonts w:hint="eastAsia" w:ascii="宋体" w:hAnsi="宋体" w:cs="宋体"/>
                <w:b/>
              </w:rPr>
              <w:t>预算资金</w:t>
            </w:r>
          </w:p>
        </w:tc>
        <w:tc>
          <w:tcPr>
            <w:tcW w:w="1134" w:type="dxa"/>
            <w:vMerge w:val="continue"/>
            <w:vAlign w:val="center"/>
          </w:tcPr>
          <w:p>
            <w:pPr>
              <w:spacing w:line="700" w:lineRule="exact"/>
              <w:jc w:val="left"/>
              <w:outlineLvl w:val="0"/>
            </w:pPr>
          </w:p>
        </w:tc>
        <w:tc>
          <w:tcPr>
            <w:tcW w:w="1134" w:type="dxa"/>
            <w:vMerge w:val="continue"/>
            <w:vAlign w:val="center"/>
          </w:tcPr>
          <w:p>
            <w:pPr>
              <w:spacing w:line="700" w:lineRule="exact"/>
              <w:jc w:val="left"/>
              <w:outlineLvl w:val="0"/>
            </w:pPr>
          </w:p>
        </w:tc>
        <w:tc>
          <w:tcPr>
            <w:tcW w:w="992" w:type="dxa"/>
            <w:vMerge w:val="continue"/>
            <w:vAlign w:val="center"/>
          </w:tcPr>
          <w:p>
            <w:pPr>
              <w:spacing w:line="700" w:lineRule="exact"/>
              <w:jc w:val="left"/>
              <w:outlineLvl w:val="0"/>
            </w:pPr>
          </w:p>
        </w:tc>
        <w:tc>
          <w:tcPr>
            <w:tcW w:w="851" w:type="dxa"/>
            <w:vMerge w:val="continue"/>
            <w:vAlign w:val="center"/>
          </w:tcPr>
          <w:p>
            <w:pPr>
              <w:spacing w:line="700" w:lineRule="exact"/>
              <w:jc w:val="left"/>
              <w:outlineLvl w:val="0"/>
            </w:pPr>
          </w:p>
        </w:tc>
        <w:tc>
          <w:tcPr>
            <w:tcW w:w="834" w:type="dxa"/>
            <w:vMerge w:val="continue"/>
            <w:vAlign w:val="center"/>
          </w:tcPr>
          <w:p>
            <w:pPr>
              <w:spacing w:line="700" w:lineRule="exact"/>
              <w:jc w:val="left"/>
              <w:outlineLvl w:val="0"/>
            </w:pPr>
          </w:p>
        </w:tc>
        <w:tc>
          <w:tcPr>
            <w:tcW w:w="709" w:type="dxa"/>
            <w:vMerge w:val="restart"/>
            <w:vAlign w:val="center"/>
          </w:tcPr>
          <w:p>
            <w:pPr>
              <w:spacing w:line="700" w:lineRule="exact"/>
              <w:jc w:val="center"/>
              <w:rPr>
                <w:rFonts w:ascii="方正书宋_GBK" w:eastAsia="方正书宋_GBK"/>
                <w:b/>
              </w:rPr>
            </w:pPr>
            <w:r>
              <w:rPr>
                <w:rFonts w:hint="eastAsia" w:ascii="宋体" w:hAnsi="宋体" w:cs="宋体"/>
                <w:b/>
              </w:rPr>
              <w:t>总计</w:t>
            </w:r>
          </w:p>
        </w:tc>
        <w:tc>
          <w:tcPr>
            <w:tcW w:w="4678" w:type="dxa"/>
            <w:gridSpan w:val="5"/>
            <w:vAlign w:val="center"/>
          </w:tcPr>
          <w:p>
            <w:pPr>
              <w:spacing w:line="700" w:lineRule="exact"/>
              <w:jc w:val="center"/>
              <w:rPr>
                <w:rFonts w:ascii="方正书宋_GBK" w:eastAsia="方正书宋_GBK"/>
                <w:b/>
              </w:rPr>
            </w:pPr>
            <w:r>
              <w:rPr>
                <w:rFonts w:hint="eastAsia" w:ascii="宋体" w:hAnsi="宋体" w:cs="宋体"/>
                <w:b/>
              </w:rPr>
              <w:t>当年部门预算安排资金</w:t>
            </w:r>
          </w:p>
        </w:tc>
        <w:tc>
          <w:tcPr>
            <w:tcW w:w="850" w:type="dxa"/>
            <w:vMerge w:val="restart"/>
            <w:vAlign w:val="center"/>
          </w:tcPr>
          <w:p>
            <w:pPr>
              <w:spacing w:line="700" w:lineRule="exact"/>
              <w:jc w:val="center"/>
              <w:rPr>
                <w:rFonts w:ascii="方正书宋_GBK" w:eastAsia="方正书宋_GBK"/>
                <w:b/>
              </w:rPr>
            </w:pPr>
            <w:r>
              <w:rPr>
                <w:rFonts w:hint="eastAsia" w:ascii="宋体" w:hAnsi="宋体" w:cs="宋体"/>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042" w:type="dxa"/>
            <w:vMerge w:val="continue"/>
            <w:vAlign w:val="center"/>
          </w:tcPr>
          <w:p>
            <w:pPr>
              <w:spacing w:line="700" w:lineRule="exact"/>
              <w:jc w:val="left"/>
              <w:outlineLvl w:val="0"/>
            </w:pPr>
          </w:p>
        </w:tc>
        <w:tc>
          <w:tcPr>
            <w:tcW w:w="764" w:type="dxa"/>
            <w:vMerge w:val="continue"/>
            <w:vAlign w:val="center"/>
          </w:tcPr>
          <w:p>
            <w:pPr>
              <w:spacing w:line="700" w:lineRule="exact"/>
              <w:jc w:val="left"/>
              <w:outlineLvl w:val="0"/>
            </w:pPr>
          </w:p>
        </w:tc>
        <w:tc>
          <w:tcPr>
            <w:tcW w:w="1134" w:type="dxa"/>
            <w:vMerge w:val="continue"/>
            <w:vAlign w:val="center"/>
          </w:tcPr>
          <w:p>
            <w:pPr>
              <w:spacing w:line="700" w:lineRule="exact"/>
              <w:jc w:val="left"/>
              <w:outlineLvl w:val="0"/>
            </w:pPr>
          </w:p>
        </w:tc>
        <w:tc>
          <w:tcPr>
            <w:tcW w:w="1134" w:type="dxa"/>
            <w:vMerge w:val="continue"/>
            <w:vAlign w:val="center"/>
          </w:tcPr>
          <w:p>
            <w:pPr>
              <w:spacing w:line="700" w:lineRule="exact"/>
              <w:jc w:val="left"/>
              <w:outlineLvl w:val="0"/>
            </w:pPr>
          </w:p>
        </w:tc>
        <w:tc>
          <w:tcPr>
            <w:tcW w:w="992" w:type="dxa"/>
            <w:vMerge w:val="continue"/>
            <w:vAlign w:val="center"/>
          </w:tcPr>
          <w:p>
            <w:pPr>
              <w:spacing w:line="700" w:lineRule="exact"/>
              <w:jc w:val="left"/>
              <w:outlineLvl w:val="0"/>
            </w:pPr>
          </w:p>
        </w:tc>
        <w:tc>
          <w:tcPr>
            <w:tcW w:w="851" w:type="dxa"/>
            <w:vMerge w:val="continue"/>
            <w:vAlign w:val="center"/>
          </w:tcPr>
          <w:p>
            <w:pPr>
              <w:spacing w:line="700" w:lineRule="exact"/>
              <w:jc w:val="left"/>
              <w:outlineLvl w:val="0"/>
            </w:pPr>
          </w:p>
        </w:tc>
        <w:tc>
          <w:tcPr>
            <w:tcW w:w="834" w:type="dxa"/>
            <w:vMerge w:val="continue"/>
            <w:vAlign w:val="center"/>
          </w:tcPr>
          <w:p>
            <w:pPr>
              <w:spacing w:line="700" w:lineRule="exact"/>
              <w:jc w:val="left"/>
              <w:outlineLvl w:val="0"/>
            </w:pPr>
          </w:p>
        </w:tc>
        <w:tc>
          <w:tcPr>
            <w:tcW w:w="709" w:type="dxa"/>
            <w:vMerge w:val="continue"/>
            <w:vAlign w:val="center"/>
          </w:tcPr>
          <w:p>
            <w:pPr>
              <w:spacing w:line="700" w:lineRule="exact"/>
              <w:jc w:val="left"/>
              <w:outlineLvl w:val="0"/>
            </w:pPr>
          </w:p>
        </w:tc>
        <w:tc>
          <w:tcPr>
            <w:tcW w:w="992" w:type="dxa"/>
            <w:vAlign w:val="center"/>
          </w:tcPr>
          <w:p>
            <w:pPr>
              <w:spacing w:line="700" w:lineRule="exact"/>
              <w:jc w:val="center"/>
              <w:rPr>
                <w:rFonts w:ascii="方正书宋_GBK" w:eastAsia="方正书宋_GBK"/>
                <w:b/>
              </w:rPr>
            </w:pPr>
            <w:r>
              <w:rPr>
                <w:rFonts w:hint="eastAsia" w:ascii="宋体" w:hAnsi="宋体" w:cs="宋体"/>
                <w:b/>
              </w:rPr>
              <w:t>合计</w:t>
            </w:r>
          </w:p>
        </w:tc>
        <w:tc>
          <w:tcPr>
            <w:tcW w:w="1134" w:type="dxa"/>
            <w:vAlign w:val="center"/>
          </w:tcPr>
          <w:p>
            <w:pPr>
              <w:spacing w:line="700" w:lineRule="exact"/>
              <w:jc w:val="center"/>
              <w:rPr>
                <w:rFonts w:ascii="方正书宋_GBK" w:eastAsia="方正书宋_GBK"/>
                <w:b/>
              </w:rPr>
            </w:pPr>
            <w:r>
              <w:rPr>
                <w:rFonts w:hint="eastAsia" w:ascii="宋体" w:hAnsi="宋体" w:cs="宋体"/>
                <w:b/>
              </w:rPr>
              <w:t>一般公共预算拨款</w:t>
            </w:r>
          </w:p>
        </w:tc>
        <w:tc>
          <w:tcPr>
            <w:tcW w:w="851" w:type="dxa"/>
            <w:vAlign w:val="center"/>
          </w:tcPr>
          <w:p>
            <w:pPr>
              <w:spacing w:line="700" w:lineRule="exact"/>
              <w:jc w:val="center"/>
              <w:rPr>
                <w:rFonts w:ascii="方正书宋_GBK" w:eastAsia="方正书宋_GBK"/>
                <w:b/>
              </w:rPr>
            </w:pPr>
            <w:r>
              <w:rPr>
                <w:rFonts w:hint="eastAsia" w:ascii="宋体" w:hAnsi="宋体" w:cs="宋体"/>
                <w:b/>
              </w:rPr>
              <w:t>基金预算拨款</w:t>
            </w:r>
          </w:p>
        </w:tc>
        <w:tc>
          <w:tcPr>
            <w:tcW w:w="850" w:type="dxa"/>
            <w:vAlign w:val="center"/>
          </w:tcPr>
          <w:p>
            <w:pPr>
              <w:spacing w:line="700" w:lineRule="exact"/>
              <w:jc w:val="center"/>
              <w:rPr>
                <w:rFonts w:ascii="方正书宋_GBK" w:eastAsia="方正书宋_GBK"/>
                <w:b/>
              </w:rPr>
            </w:pPr>
            <w:r>
              <w:rPr>
                <w:rFonts w:hint="eastAsia" w:ascii="宋体" w:hAnsi="宋体" w:cs="宋体"/>
                <w:b/>
              </w:rPr>
              <w:t>财政专户核拨</w:t>
            </w:r>
          </w:p>
        </w:tc>
        <w:tc>
          <w:tcPr>
            <w:tcW w:w="851" w:type="dxa"/>
            <w:vAlign w:val="center"/>
          </w:tcPr>
          <w:p>
            <w:pPr>
              <w:spacing w:line="700" w:lineRule="exact"/>
              <w:jc w:val="center"/>
              <w:rPr>
                <w:rFonts w:ascii="方正书宋_GBK" w:eastAsia="方正书宋_GBK"/>
                <w:b/>
              </w:rPr>
            </w:pPr>
            <w:r>
              <w:rPr>
                <w:rFonts w:hint="eastAsia" w:ascii="宋体" w:hAnsi="宋体" w:cs="宋体"/>
                <w:b/>
              </w:rPr>
              <w:t>其他来源收入</w:t>
            </w:r>
          </w:p>
        </w:tc>
        <w:tc>
          <w:tcPr>
            <w:tcW w:w="850" w:type="dxa"/>
            <w:vMerge w:val="continue"/>
            <w:vAlign w:val="center"/>
          </w:tcPr>
          <w:p>
            <w:pPr>
              <w:spacing w:line="7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4" w:hRule="atLeast"/>
          <w:jc w:val="center"/>
        </w:trPr>
        <w:tc>
          <w:tcPr>
            <w:tcW w:w="2042" w:type="dxa"/>
            <w:vAlign w:val="center"/>
          </w:tcPr>
          <w:p>
            <w:pPr>
              <w:spacing w:line="700" w:lineRule="exact"/>
              <w:jc w:val="center"/>
              <w:rPr>
                <w:rFonts w:ascii="方正书宋_GBK" w:eastAsia="方正书宋_GBK"/>
                <w:b/>
              </w:rPr>
            </w:pPr>
          </w:p>
        </w:tc>
        <w:tc>
          <w:tcPr>
            <w:tcW w:w="764" w:type="dxa"/>
            <w:vAlign w:val="center"/>
          </w:tcPr>
          <w:p>
            <w:pPr>
              <w:spacing w:line="700" w:lineRule="exact"/>
              <w:jc w:val="right"/>
              <w:rPr>
                <w:rFonts w:ascii="方正书宋_GBK" w:eastAsia="方正书宋_GBK"/>
                <w:b/>
              </w:rPr>
            </w:pPr>
          </w:p>
        </w:tc>
        <w:tc>
          <w:tcPr>
            <w:tcW w:w="1134" w:type="dxa"/>
            <w:vAlign w:val="center"/>
          </w:tcPr>
          <w:p>
            <w:pPr>
              <w:spacing w:line="700" w:lineRule="exact"/>
              <w:jc w:val="left"/>
              <w:rPr>
                <w:rFonts w:ascii="方正书宋_GBK" w:eastAsia="方正书宋_GBK"/>
                <w:b/>
              </w:rPr>
            </w:pPr>
          </w:p>
        </w:tc>
        <w:tc>
          <w:tcPr>
            <w:tcW w:w="1134" w:type="dxa"/>
            <w:vAlign w:val="center"/>
          </w:tcPr>
          <w:p>
            <w:pPr>
              <w:spacing w:line="700" w:lineRule="exact"/>
              <w:jc w:val="left"/>
              <w:rPr>
                <w:rFonts w:ascii="方正书宋_GBK" w:eastAsia="方正书宋_GBK"/>
                <w:b/>
              </w:rPr>
            </w:pPr>
          </w:p>
        </w:tc>
        <w:tc>
          <w:tcPr>
            <w:tcW w:w="992" w:type="dxa"/>
            <w:vAlign w:val="center"/>
          </w:tcPr>
          <w:p>
            <w:pPr>
              <w:spacing w:line="700" w:lineRule="exact"/>
              <w:jc w:val="left"/>
              <w:rPr>
                <w:rFonts w:ascii="方正书宋_GBK" w:eastAsia="方正书宋_GBK"/>
                <w:b/>
              </w:rPr>
            </w:pPr>
          </w:p>
        </w:tc>
        <w:tc>
          <w:tcPr>
            <w:tcW w:w="851" w:type="dxa"/>
            <w:vAlign w:val="center"/>
          </w:tcPr>
          <w:p>
            <w:pPr>
              <w:spacing w:line="700" w:lineRule="exact"/>
              <w:jc w:val="right"/>
              <w:rPr>
                <w:rFonts w:ascii="方正书宋_GBK" w:eastAsia="方正书宋_GBK"/>
                <w:b/>
              </w:rPr>
            </w:pPr>
          </w:p>
        </w:tc>
        <w:tc>
          <w:tcPr>
            <w:tcW w:w="834" w:type="dxa"/>
            <w:vAlign w:val="center"/>
          </w:tcPr>
          <w:p/>
        </w:tc>
        <w:tc>
          <w:tcPr>
            <w:tcW w:w="709" w:type="dxa"/>
            <w:vAlign w:val="center"/>
          </w:tcPr>
          <w:p>
            <w:pPr>
              <w:spacing w:line="700" w:lineRule="exact"/>
              <w:jc w:val="right"/>
              <w:rPr>
                <w:rFonts w:ascii="方正书宋_GBK" w:eastAsia="方正书宋_GBK"/>
                <w:b/>
              </w:rPr>
            </w:pPr>
          </w:p>
        </w:tc>
        <w:tc>
          <w:tcPr>
            <w:tcW w:w="992" w:type="dxa"/>
            <w:vAlign w:val="center"/>
          </w:tcPr>
          <w:p>
            <w:pPr>
              <w:spacing w:line="700" w:lineRule="exact"/>
              <w:jc w:val="right"/>
              <w:rPr>
                <w:rFonts w:ascii="方正书宋_GBK" w:eastAsia="方正书宋_GBK"/>
                <w:b/>
              </w:rPr>
            </w:pPr>
          </w:p>
        </w:tc>
        <w:tc>
          <w:tcPr>
            <w:tcW w:w="1134" w:type="dxa"/>
            <w:vAlign w:val="center"/>
          </w:tcPr>
          <w:p>
            <w:pPr>
              <w:spacing w:line="700" w:lineRule="exact"/>
              <w:jc w:val="right"/>
              <w:rPr>
                <w:rFonts w:ascii="方正书宋_GBK" w:eastAsia="方正书宋_GBK"/>
                <w:b/>
              </w:rPr>
            </w:pPr>
          </w:p>
        </w:tc>
        <w:tc>
          <w:tcPr>
            <w:tcW w:w="851" w:type="dxa"/>
            <w:vAlign w:val="center"/>
          </w:tcPr>
          <w:p>
            <w:pPr>
              <w:spacing w:line="700" w:lineRule="exact"/>
              <w:jc w:val="right"/>
              <w:rPr>
                <w:rFonts w:ascii="方正书宋_GBK" w:eastAsia="方正书宋_GBK"/>
                <w:b/>
              </w:rPr>
            </w:pPr>
          </w:p>
        </w:tc>
        <w:tc>
          <w:tcPr>
            <w:tcW w:w="850" w:type="dxa"/>
            <w:vAlign w:val="center"/>
          </w:tcPr>
          <w:p>
            <w:pPr>
              <w:spacing w:line="700" w:lineRule="exact"/>
              <w:jc w:val="right"/>
              <w:rPr>
                <w:rFonts w:ascii="方正书宋_GBK" w:eastAsia="方正书宋_GBK"/>
                <w:b/>
              </w:rPr>
            </w:pPr>
          </w:p>
        </w:tc>
        <w:tc>
          <w:tcPr>
            <w:tcW w:w="851" w:type="dxa"/>
            <w:vAlign w:val="center"/>
          </w:tcPr>
          <w:p>
            <w:pPr>
              <w:spacing w:line="700" w:lineRule="exact"/>
              <w:jc w:val="right"/>
              <w:rPr>
                <w:rFonts w:ascii="方正书宋_GBK" w:eastAsia="方正书宋_GBK"/>
                <w:b/>
              </w:rPr>
            </w:pPr>
          </w:p>
        </w:tc>
        <w:tc>
          <w:tcPr>
            <w:tcW w:w="850" w:type="dxa"/>
            <w:vAlign w:val="center"/>
          </w:tcPr>
          <w:p>
            <w:pPr>
              <w:spacing w:line="7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9" w:hRule="atLeast"/>
          <w:jc w:val="center"/>
        </w:trPr>
        <w:tc>
          <w:tcPr>
            <w:tcW w:w="2042" w:type="dxa"/>
            <w:vAlign w:val="center"/>
          </w:tcPr>
          <w:p>
            <w:pPr>
              <w:spacing w:line="700" w:lineRule="exact"/>
              <w:jc w:val="left"/>
              <w:rPr>
                <w:rFonts w:ascii="方正书宋_GBK" w:eastAsia="方正书宋_GBK"/>
              </w:rPr>
            </w:pPr>
          </w:p>
        </w:tc>
        <w:tc>
          <w:tcPr>
            <w:tcW w:w="764" w:type="dxa"/>
            <w:vAlign w:val="center"/>
          </w:tcPr>
          <w:p>
            <w:pPr>
              <w:spacing w:line="700" w:lineRule="exact"/>
              <w:jc w:val="right"/>
              <w:rPr>
                <w:rFonts w:ascii="方正书宋_GBK" w:eastAsia="方正书宋_GBK"/>
              </w:rPr>
            </w:pPr>
          </w:p>
        </w:tc>
        <w:tc>
          <w:tcPr>
            <w:tcW w:w="1134" w:type="dxa"/>
            <w:vAlign w:val="center"/>
          </w:tcPr>
          <w:p>
            <w:pPr>
              <w:spacing w:line="700" w:lineRule="exact"/>
              <w:jc w:val="left"/>
              <w:rPr>
                <w:rFonts w:ascii="方正书宋_GBK" w:eastAsia="方正书宋_GBK"/>
              </w:rPr>
            </w:pPr>
          </w:p>
        </w:tc>
        <w:tc>
          <w:tcPr>
            <w:tcW w:w="1134" w:type="dxa"/>
            <w:vAlign w:val="center"/>
          </w:tcPr>
          <w:p>
            <w:pPr>
              <w:spacing w:line="700" w:lineRule="exact"/>
              <w:jc w:val="left"/>
              <w:rPr>
                <w:rFonts w:ascii="方正书宋_GBK" w:eastAsia="方正书宋_GBK"/>
              </w:rPr>
            </w:pPr>
          </w:p>
        </w:tc>
        <w:tc>
          <w:tcPr>
            <w:tcW w:w="992" w:type="dxa"/>
            <w:vAlign w:val="center"/>
          </w:tcPr>
          <w:p>
            <w:pPr>
              <w:spacing w:line="700" w:lineRule="exact"/>
              <w:jc w:val="left"/>
              <w:rPr>
                <w:rFonts w:ascii="方正书宋_GBK" w:eastAsia="方正书宋_GBK"/>
              </w:rPr>
            </w:pPr>
          </w:p>
        </w:tc>
        <w:tc>
          <w:tcPr>
            <w:tcW w:w="851" w:type="dxa"/>
            <w:vAlign w:val="center"/>
          </w:tcPr>
          <w:p>
            <w:pPr>
              <w:spacing w:line="700" w:lineRule="exact"/>
              <w:jc w:val="right"/>
              <w:rPr>
                <w:rFonts w:ascii="方正书宋_GBK" w:eastAsia="方正书宋_GBK"/>
              </w:rPr>
            </w:pPr>
          </w:p>
        </w:tc>
        <w:tc>
          <w:tcPr>
            <w:tcW w:w="834" w:type="dxa"/>
            <w:vAlign w:val="center"/>
          </w:tcPr>
          <w:p>
            <w:pPr>
              <w:spacing w:line="700" w:lineRule="exact"/>
              <w:jc w:val="right"/>
              <w:rPr>
                <w:rFonts w:ascii="方正书宋_GBK" w:eastAsia="方正书宋_GBK"/>
              </w:rPr>
            </w:pPr>
          </w:p>
        </w:tc>
        <w:tc>
          <w:tcPr>
            <w:tcW w:w="709" w:type="dxa"/>
            <w:vAlign w:val="center"/>
          </w:tcPr>
          <w:p>
            <w:pPr>
              <w:spacing w:line="700" w:lineRule="exact"/>
              <w:jc w:val="right"/>
              <w:rPr>
                <w:rFonts w:ascii="方正书宋_GBK" w:eastAsia="方正书宋_GBK"/>
              </w:rPr>
            </w:pPr>
          </w:p>
        </w:tc>
        <w:tc>
          <w:tcPr>
            <w:tcW w:w="992" w:type="dxa"/>
            <w:vAlign w:val="center"/>
          </w:tcPr>
          <w:p>
            <w:pPr>
              <w:spacing w:line="700" w:lineRule="exact"/>
              <w:jc w:val="right"/>
              <w:rPr>
                <w:rFonts w:ascii="方正书宋_GBK" w:eastAsia="方正书宋_GBK"/>
              </w:rPr>
            </w:pPr>
          </w:p>
        </w:tc>
        <w:tc>
          <w:tcPr>
            <w:tcW w:w="1134" w:type="dxa"/>
            <w:vAlign w:val="center"/>
          </w:tcPr>
          <w:p>
            <w:pPr>
              <w:spacing w:line="700" w:lineRule="exact"/>
              <w:jc w:val="right"/>
              <w:rPr>
                <w:rFonts w:ascii="方正书宋_GBK" w:eastAsia="方正书宋_GBK"/>
              </w:rPr>
            </w:pPr>
          </w:p>
        </w:tc>
        <w:tc>
          <w:tcPr>
            <w:tcW w:w="851" w:type="dxa"/>
            <w:vAlign w:val="center"/>
          </w:tcPr>
          <w:p>
            <w:pPr>
              <w:spacing w:line="700" w:lineRule="exact"/>
              <w:jc w:val="right"/>
              <w:rPr>
                <w:rFonts w:ascii="方正书宋_GBK" w:eastAsia="方正书宋_GBK"/>
              </w:rPr>
            </w:pPr>
          </w:p>
        </w:tc>
        <w:tc>
          <w:tcPr>
            <w:tcW w:w="850" w:type="dxa"/>
            <w:vAlign w:val="center"/>
          </w:tcPr>
          <w:p>
            <w:pPr>
              <w:spacing w:line="700" w:lineRule="exact"/>
              <w:jc w:val="right"/>
              <w:rPr>
                <w:rFonts w:ascii="方正书宋_GBK" w:eastAsia="方正书宋_GBK"/>
              </w:rPr>
            </w:pPr>
          </w:p>
        </w:tc>
        <w:tc>
          <w:tcPr>
            <w:tcW w:w="851" w:type="dxa"/>
            <w:vAlign w:val="center"/>
          </w:tcPr>
          <w:p>
            <w:pPr>
              <w:spacing w:line="700" w:lineRule="exact"/>
              <w:jc w:val="right"/>
              <w:rPr>
                <w:rFonts w:ascii="方正书宋_GBK" w:eastAsia="方正书宋_GBK"/>
              </w:rPr>
            </w:pPr>
          </w:p>
        </w:tc>
        <w:tc>
          <w:tcPr>
            <w:tcW w:w="850" w:type="dxa"/>
            <w:vAlign w:val="center"/>
          </w:tcPr>
          <w:p>
            <w:pPr>
              <w:spacing w:line="700" w:lineRule="exact"/>
              <w:jc w:val="right"/>
              <w:rPr>
                <w:rFonts w:ascii="方正书宋_GBK" w:eastAsia="方正书宋_GBK"/>
              </w:rPr>
            </w:pPr>
          </w:p>
        </w:tc>
      </w:tr>
    </w:tbl>
    <w:p>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上年末我部门固定资产总金额为262.91万元（详见下表）。</w:t>
      </w:r>
      <w:r>
        <w:rPr>
          <w:rFonts w:ascii="仿宋" w:hAnsi="仿宋" w:eastAsia="仿宋"/>
          <w:sz w:val="32"/>
          <w:szCs w:val="32"/>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56"/>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kern w:val="0"/>
                <w:sz w:val="28"/>
                <w:szCs w:val="28"/>
              </w:rPr>
              <w:t>2020</w:t>
            </w:r>
            <w:r>
              <w:rPr>
                <w:rFonts w:hint="eastAsia" w:ascii="仿宋_GB2312" w:hAnsi="仿宋" w:eastAsia="仿宋_GB2312" w:cs="宋体"/>
                <w:bCs/>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262.91</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1723.32</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44.26</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1623.32</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32.03</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3</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18.69</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199.96</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pPr>
          <w:pStyle w:val="3"/>
          <w:jc w:val="center"/>
        </w:pPr>
        <w:r>
          <w:fldChar w:fldCharType="begin"/>
        </w:r>
        <w:r>
          <w:instrText xml:space="preserve">PAGE   \* MERGEFORMAT</w:instrText>
        </w:r>
        <w:r>
          <w:fldChar w:fldCharType="separate"/>
        </w:r>
        <w:r>
          <w:rPr>
            <w:lang w:val="zh-CN"/>
          </w:rPr>
          <w:t>32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F1F"/>
    <w:rsid w:val="00013B8A"/>
    <w:rsid w:val="00044FBC"/>
    <w:rsid w:val="00055F1F"/>
    <w:rsid w:val="000577EF"/>
    <w:rsid w:val="00057F18"/>
    <w:rsid w:val="000802CB"/>
    <w:rsid w:val="000A445D"/>
    <w:rsid w:val="000B115B"/>
    <w:rsid w:val="000C178B"/>
    <w:rsid w:val="000F18EE"/>
    <w:rsid w:val="000F4FC2"/>
    <w:rsid w:val="00100E5A"/>
    <w:rsid w:val="00131DEC"/>
    <w:rsid w:val="00136AB3"/>
    <w:rsid w:val="001462BD"/>
    <w:rsid w:val="00152380"/>
    <w:rsid w:val="001638BE"/>
    <w:rsid w:val="00164810"/>
    <w:rsid w:val="00172C7A"/>
    <w:rsid w:val="00181777"/>
    <w:rsid w:val="001B4688"/>
    <w:rsid w:val="001B6235"/>
    <w:rsid w:val="001F4875"/>
    <w:rsid w:val="00212335"/>
    <w:rsid w:val="00291065"/>
    <w:rsid w:val="002918C6"/>
    <w:rsid w:val="00291EF3"/>
    <w:rsid w:val="00296524"/>
    <w:rsid w:val="002B1BEE"/>
    <w:rsid w:val="002B5133"/>
    <w:rsid w:val="002C10DC"/>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9CC"/>
    <w:rsid w:val="003E6AF3"/>
    <w:rsid w:val="003F3041"/>
    <w:rsid w:val="0040243C"/>
    <w:rsid w:val="00406BD1"/>
    <w:rsid w:val="0042017C"/>
    <w:rsid w:val="00426C19"/>
    <w:rsid w:val="00450FD9"/>
    <w:rsid w:val="00453CE0"/>
    <w:rsid w:val="00470736"/>
    <w:rsid w:val="00470BBB"/>
    <w:rsid w:val="004755BD"/>
    <w:rsid w:val="0048611E"/>
    <w:rsid w:val="004B6929"/>
    <w:rsid w:val="004C168F"/>
    <w:rsid w:val="004E2F43"/>
    <w:rsid w:val="004E3572"/>
    <w:rsid w:val="004F3C52"/>
    <w:rsid w:val="00510A1E"/>
    <w:rsid w:val="005158E2"/>
    <w:rsid w:val="00524204"/>
    <w:rsid w:val="00550049"/>
    <w:rsid w:val="00553F7E"/>
    <w:rsid w:val="00570142"/>
    <w:rsid w:val="00586C35"/>
    <w:rsid w:val="005B1B6F"/>
    <w:rsid w:val="005B6CCB"/>
    <w:rsid w:val="005C54AA"/>
    <w:rsid w:val="005C7B89"/>
    <w:rsid w:val="005F106E"/>
    <w:rsid w:val="00605489"/>
    <w:rsid w:val="0062788A"/>
    <w:rsid w:val="00641F8A"/>
    <w:rsid w:val="0066383B"/>
    <w:rsid w:val="00681680"/>
    <w:rsid w:val="00691E7D"/>
    <w:rsid w:val="006A6FA2"/>
    <w:rsid w:val="006B0EBC"/>
    <w:rsid w:val="006B5117"/>
    <w:rsid w:val="006C62DF"/>
    <w:rsid w:val="006F5104"/>
    <w:rsid w:val="006F6549"/>
    <w:rsid w:val="007259A5"/>
    <w:rsid w:val="00727524"/>
    <w:rsid w:val="00735B02"/>
    <w:rsid w:val="00750AE1"/>
    <w:rsid w:val="007657C8"/>
    <w:rsid w:val="00767A77"/>
    <w:rsid w:val="00771E49"/>
    <w:rsid w:val="00782208"/>
    <w:rsid w:val="00791938"/>
    <w:rsid w:val="007945BA"/>
    <w:rsid w:val="007A5999"/>
    <w:rsid w:val="007C7FD7"/>
    <w:rsid w:val="007F3746"/>
    <w:rsid w:val="007F733A"/>
    <w:rsid w:val="00833132"/>
    <w:rsid w:val="00845C67"/>
    <w:rsid w:val="0086454E"/>
    <w:rsid w:val="008672EA"/>
    <w:rsid w:val="00891680"/>
    <w:rsid w:val="008A0099"/>
    <w:rsid w:val="008A0B5F"/>
    <w:rsid w:val="008B5402"/>
    <w:rsid w:val="008D11BC"/>
    <w:rsid w:val="0090527E"/>
    <w:rsid w:val="00905BB7"/>
    <w:rsid w:val="0090620C"/>
    <w:rsid w:val="00912DA4"/>
    <w:rsid w:val="00916D60"/>
    <w:rsid w:val="009302B8"/>
    <w:rsid w:val="009305C6"/>
    <w:rsid w:val="00934DE9"/>
    <w:rsid w:val="00972920"/>
    <w:rsid w:val="009752AE"/>
    <w:rsid w:val="00980FF1"/>
    <w:rsid w:val="00982F3D"/>
    <w:rsid w:val="00983232"/>
    <w:rsid w:val="009A278A"/>
    <w:rsid w:val="009B6368"/>
    <w:rsid w:val="009E1762"/>
    <w:rsid w:val="009F63C4"/>
    <w:rsid w:val="00A16957"/>
    <w:rsid w:val="00A307E6"/>
    <w:rsid w:val="00A6155C"/>
    <w:rsid w:val="00A8079E"/>
    <w:rsid w:val="00A90328"/>
    <w:rsid w:val="00A92D66"/>
    <w:rsid w:val="00A9678A"/>
    <w:rsid w:val="00AA4262"/>
    <w:rsid w:val="00AB5A90"/>
    <w:rsid w:val="00AB7449"/>
    <w:rsid w:val="00AB7CA9"/>
    <w:rsid w:val="00AE4AA5"/>
    <w:rsid w:val="00AE7FA9"/>
    <w:rsid w:val="00B04777"/>
    <w:rsid w:val="00B147EB"/>
    <w:rsid w:val="00B1533D"/>
    <w:rsid w:val="00B22155"/>
    <w:rsid w:val="00B76AA9"/>
    <w:rsid w:val="00B80FAB"/>
    <w:rsid w:val="00B81C88"/>
    <w:rsid w:val="00B96C7E"/>
    <w:rsid w:val="00BA5C83"/>
    <w:rsid w:val="00BC6A7D"/>
    <w:rsid w:val="00BD4829"/>
    <w:rsid w:val="00BD6002"/>
    <w:rsid w:val="00BD719F"/>
    <w:rsid w:val="00BF5442"/>
    <w:rsid w:val="00C177A5"/>
    <w:rsid w:val="00C2275C"/>
    <w:rsid w:val="00C25388"/>
    <w:rsid w:val="00C35FEE"/>
    <w:rsid w:val="00C50535"/>
    <w:rsid w:val="00C6153C"/>
    <w:rsid w:val="00C906EF"/>
    <w:rsid w:val="00CC7D74"/>
    <w:rsid w:val="00D02F97"/>
    <w:rsid w:val="00D05413"/>
    <w:rsid w:val="00D10035"/>
    <w:rsid w:val="00D45530"/>
    <w:rsid w:val="00D45A0E"/>
    <w:rsid w:val="00D45D23"/>
    <w:rsid w:val="00D723D1"/>
    <w:rsid w:val="00D80C60"/>
    <w:rsid w:val="00D8525F"/>
    <w:rsid w:val="00DA0C4D"/>
    <w:rsid w:val="00DA5DA7"/>
    <w:rsid w:val="00DB706D"/>
    <w:rsid w:val="00DE3935"/>
    <w:rsid w:val="00DE6B32"/>
    <w:rsid w:val="00DF26B8"/>
    <w:rsid w:val="00E12C68"/>
    <w:rsid w:val="00E1581E"/>
    <w:rsid w:val="00E2325B"/>
    <w:rsid w:val="00E24075"/>
    <w:rsid w:val="00E270C9"/>
    <w:rsid w:val="00E35F38"/>
    <w:rsid w:val="00E415DE"/>
    <w:rsid w:val="00E46F27"/>
    <w:rsid w:val="00E509CC"/>
    <w:rsid w:val="00E56DC0"/>
    <w:rsid w:val="00E71A04"/>
    <w:rsid w:val="00E83823"/>
    <w:rsid w:val="00E90DA6"/>
    <w:rsid w:val="00E96342"/>
    <w:rsid w:val="00EA2FEA"/>
    <w:rsid w:val="00EA56CB"/>
    <w:rsid w:val="00EA7853"/>
    <w:rsid w:val="00EE626B"/>
    <w:rsid w:val="00F000B1"/>
    <w:rsid w:val="00F012D3"/>
    <w:rsid w:val="00F044C3"/>
    <w:rsid w:val="00F10D04"/>
    <w:rsid w:val="00F169E3"/>
    <w:rsid w:val="00F35D4B"/>
    <w:rsid w:val="00F3746B"/>
    <w:rsid w:val="00F572CB"/>
    <w:rsid w:val="00F621AF"/>
    <w:rsid w:val="00F8024E"/>
    <w:rsid w:val="00F82447"/>
    <w:rsid w:val="00F868E5"/>
    <w:rsid w:val="00F95A19"/>
    <w:rsid w:val="00FB2F32"/>
    <w:rsid w:val="00FC3191"/>
    <w:rsid w:val="00FE0F1F"/>
    <w:rsid w:val="00FF61F3"/>
    <w:rsid w:val="01FA518F"/>
    <w:rsid w:val="03E00A3F"/>
    <w:rsid w:val="08C5127D"/>
    <w:rsid w:val="10C516E5"/>
    <w:rsid w:val="1BA13AD6"/>
    <w:rsid w:val="252B192E"/>
    <w:rsid w:val="26FC3352"/>
    <w:rsid w:val="27B86DC6"/>
    <w:rsid w:val="2A386FAF"/>
    <w:rsid w:val="2BD96B9A"/>
    <w:rsid w:val="2C5249B9"/>
    <w:rsid w:val="34CE1EBE"/>
    <w:rsid w:val="40687749"/>
    <w:rsid w:val="4E7C3FBC"/>
    <w:rsid w:val="525C2405"/>
    <w:rsid w:val="561A3AF2"/>
    <w:rsid w:val="58D73A66"/>
    <w:rsid w:val="5D4605F4"/>
    <w:rsid w:val="61E91412"/>
    <w:rsid w:val="62503B63"/>
    <w:rsid w:val="67EB1F9D"/>
    <w:rsid w:val="7055531B"/>
    <w:rsid w:val="70BD62CF"/>
    <w:rsid w:val="71513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semiHidden/>
    <w:unhideWhenUsed/>
    <w:qFormat/>
    <w:uiPriority w:val="99"/>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4A91EC-561D-44B7-B14A-25FAB0956C4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2745</Words>
  <Characters>15648</Characters>
  <Lines>130</Lines>
  <Paragraphs>36</Paragraphs>
  <TotalTime>15</TotalTime>
  <ScaleCrop>false</ScaleCrop>
  <LinksUpToDate>false</LinksUpToDate>
  <CharactersWithSpaces>18357</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2021-04-26T01:33:00Z</dcterms:created>
  <dc:creator>Windows 用户</dc:creator>
  <cp:lastModifiedBy>WPS_1629592903</cp:lastModifiedBy>
  <cp:lastPrinted>2021-04-14T02:06:00Z</cp:lastPrinted>
  <dcterms:modified xsi:type="dcterms:W3CDTF">2024-01-12T06:05:41Z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64AE366115814CE48067C4B78A3AF4AE</vt:lpwstr>
  </property>
</Properties>
</file>