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义联庄乡2018年总决算</w:t>
      </w:r>
      <w:r>
        <w:rPr>
          <w:b/>
          <w:sz w:val="48"/>
          <w:szCs w:val="48"/>
        </w:rPr>
        <w:t>情况说明</w:t>
      </w:r>
      <w:bookmarkEnd w:id="0"/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乡2018年因公出国（境）费本年支出0万元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与2017年持平。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（二）本乡2018年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12万元。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；与2017年持平。公务用车运行维护费本年支出12万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，较2017年增加3万元。主要原因：2018年新调配1辆公务用车，2018年全年公务用车运行维护费增加。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（三）本乡2018年公务接待费全年支出0.74万元，较2017年减少2万元，主要原因认真落实中央八项规定，压减公务接待。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国内公务接待批次16次，国内公务接待人次137人；国外公务接待批次0个，国外公务接待人次0人。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严格按照上级下达的地方政府债务限额，在本级人民代表大会或其常务委员会批准的债务限额内，未发生新的债务，并逐步偿还地方政府性债务。我乡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  <w:lang w:eastAsia="zh-CN"/>
        </w:rPr>
        <w:t>截至</w:t>
      </w: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我乡地方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党的十八届六中全会和中央、省、市经济工作会议精神，以《</w:t>
      </w:r>
      <w:r>
        <w:rPr>
          <w:rFonts w:hint="eastAsia"/>
          <w:sz w:val="30"/>
          <w:szCs w:val="30"/>
          <w:lang w:val="en-US" w:eastAsia="zh-CN"/>
        </w:rPr>
        <w:t>中华人民共和国</w:t>
      </w:r>
      <w:r>
        <w:rPr>
          <w:rFonts w:hint="eastAsia"/>
          <w:sz w:val="30"/>
          <w:szCs w:val="30"/>
        </w:rPr>
        <w:t>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</w:t>
      </w:r>
      <w:r>
        <w:rPr>
          <w:rFonts w:hint="eastAsia"/>
          <w:sz w:val="30"/>
          <w:szCs w:val="30"/>
        </w:rPr>
        <w:t>8年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上级补助收入决算995万元，具体包括体制补助收入337万元，均衡性转移支付收入26.3万元，县级基本财力保障机制奖补资金收入17万元，农村综合改革转移支付收入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179.6万元，专项转移支付收入435.1万元。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2018年我</w:t>
      </w:r>
      <w:r>
        <w:rPr>
          <w:sz w:val="30"/>
          <w:szCs w:val="30"/>
        </w:rPr>
        <w:t>乡</w:t>
      </w:r>
      <w:r>
        <w:rPr>
          <w:rFonts w:hint="eastAsia"/>
          <w:sz w:val="30"/>
          <w:szCs w:val="30"/>
        </w:rPr>
        <w:t>政府采购支出总额58.8万元，其中：政府采购货物支出58.8万元。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我乡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确定我乡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。如我单位的维稳经费项目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 xml:space="preserve">    4万元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4万元</w:t>
      </w:r>
      <w:r>
        <w:rPr>
          <w:sz w:val="30"/>
          <w:szCs w:val="30"/>
        </w:rPr>
        <w:t>。取得了</w:t>
      </w:r>
      <w:r>
        <w:rPr>
          <w:rFonts w:hint="eastAsia"/>
          <w:sz w:val="30"/>
          <w:szCs w:val="30"/>
        </w:rPr>
        <w:t>良好的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WYzNDliZDI4MzdkNjY5YmNjMjNlZDhjM2JlYzkifQ=="/>
  </w:docVars>
  <w:rsids>
    <w:rsidRoot w:val="000276CF"/>
    <w:rsid w:val="000276CF"/>
    <w:rsid w:val="000F5341"/>
    <w:rsid w:val="0017624B"/>
    <w:rsid w:val="00372612"/>
    <w:rsid w:val="00481BDB"/>
    <w:rsid w:val="00584C94"/>
    <w:rsid w:val="005C7E95"/>
    <w:rsid w:val="00635ED7"/>
    <w:rsid w:val="006409A3"/>
    <w:rsid w:val="00670491"/>
    <w:rsid w:val="00723DE0"/>
    <w:rsid w:val="00743257"/>
    <w:rsid w:val="007B31D3"/>
    <w:rsid w:val="00836BAA"/>
    <w:rsid w:val="008C4BB4"/>
    <w:rsid w:val="00925B8D"/>
    <w:rsid w:val="009D189F"/>
    <w:rsid w:val="00AA38B1"/>
    <w:rsid w:val="00AE54E8"/>
    <w:rsid w:val="00C8355E"/>
    <w:rsid w:val="00D62631"/>
    <w:rsid w:val="00DD54AE"/>
    <w:rsid w:val="00E03B86"/>
    <w:rsid w:val="00E7738D"/>
    <w:rsid w:val="00E9592E"/>
    <w:rsid w:val="00F11DE7"/>
    <w:rsid w:val="548E0E4F"/>
    <w:rsid w:val="5E02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769</Characters>
  <Lines>6</Lines>
  <Paragraphs>1</Paragraphs>
  <TotalTime>272</TotalTime>
  <ScaleCrop>false</ScaleCrop>
  <LinksUpToDate>false</LinksUpToDate>
  <CharactersWithSpaces>902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：</cp:lastModifiedBy>
  <cp:lastPrinted>2017-08-31T09:32:00Z</cp:lastPrinted>
  <dcterms:modified xsi:type="dcterms:W3CDTF">2024-01-04T05:11:45Z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13B2D0B46C6E41479D9E605C72D7AF4A_13</vt:lpwstr>
  </property>
</Properties>
</file>