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保定市徐水区工业和信息化局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2016年部门决算信息公开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560" w:firstLineChars="2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按照《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中华人民共和国</w:t>
      </w:r>
      <w:r>
        <w:rPr>
          <w:rFonts w:hint="eastAsia" w:cs="仿宋_GB2312" w:asciiTheme="minorEastAsia" w:hAnsiTheme="minorEastAsia"/>
          <w:sz w:val="28"/>
          <w:szCs w:val="28"/>
        </w:rPr>
        <w:t>预算法》、</w:t>
      </w:r>
      <w:r>
        <w:rPr>
          <w:rFonts w:hint="eastAsia" w:asciiTheme="minorEastAsia" w:hAnsiTheme="minorEastAsia"/>
          <w:sz w:val="28"/>
          <w:szCs w:val="28"/>
        </w:rPr>
        <w:t>《地方预决算公开操作规程》和《河北省省级预算公开办法》</w:t>
      </w:r>
      <w:r>
        <w:rPr>
          <w:rFonts w:hint="eastAsia" w:cs="仿宋_GB2312" w:asciiTheme="minorEastAsia" w:hAnsiTheme="minorEastAsia"/>
          <w:sz w:val="28"/>
          <w:szCs w:val="28"/>
        </w:rPr>
        <w:t>规定，现将保定市徐水区工业和信息化局2016年部门决算公开如下：</w:t>
      </w:r>
    </w:p>
    <w:p>
      <w:pPr>
        <w:spacing w:line="520" w:lineRule="exact"/>
        <w:ind w:firstLine="560" w:firstLineChars="200"/>
        <w:jc w:val="left"/>
        <w:rPr>
          <w:rFonts w:cs="仿宋_GB2312" w:asciiTheme="minorEastAsia" w:hAnsiTheme="minorEastAsia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工信部门</w:t>
      </w:r>
      <w:r>
        <w:rPr>
          <w:b/>
          <w:sz w:val="44"/>
          <w:szCs w:val="44"/>
        </w:rPr>
        <w:t>概况</w:t>
      </w:r>
      <w:bookmarkStart w:id="0" w:name="_GoBack"/>
      <w:bookmarkEnd w:id="0"/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pStyle w:val="11"/>
        <w:widowControl/>
        <w:spacing w:line="520" w:lineRule="exact"/>
        <w:ind w:firstLine="560" w:firstLineChars="200"/>
        <w:jc w:val="both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根据原徐水县人民政府办公室《关于印发徐水县工业和信息化局（科学技术局）主要职责、内设机构和人员编制规定的通知》（徐政办[2010]57号），现将我局部门概况说明如下：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、贯彻执行党和国家的科技、信息产业发展的方针、政策、法规，结合实际，研究制定全区科技、信息产业发展战略、政策和措施；组织推动全区科技、信息产业发展体制改革；指导协调各乡镇及区直各部门的科技、信息产业发展工作，推动全区各行业科技进步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、组织拟订全区中长期科技、信息产业发展规划和年度计划，实施国家、省、市、区各类科技、信息产业发展计划，负责对全区科技、信息产业发展方向、方案及优先发展技术领域进行预测、评估和论证，为区委、区政府决策提供依据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（三）、负责全区科技三项费用、科技发展基金和科研物资的审批、分配和实验管理，协调金融部门对科技计划项目提供贷款支持，促进科技事业的发展。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四）、负责全区科研机构民营科技企业等各类机构的管理工作。负责高新技术及其产业化战略研究，负责火炬计划、星火计划、成果推广计划等科技开发计划的组织申报并指导实施，负责高新技术产品和高新技术企业的申报，负责高新技术产业园区，火炬园区的业务指导工作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五）、负责全区工业产业化，促进工业经济运行调节，负责分析全区工业发展形势，研究工业化发展政策，研究拟订全区工业发展战略，行业规划。提出相关体制改革建议，研究提出相关体制改革建议，研究提出国有企业改革政策和体制改革方案，研究发展大型企业和企业集团的措施，对工业现代化实施宏观指导，拟订年度工业生产指导性计划和调整目标，指导地方性行业技术法规和行业标准拟订，指导引进的重大技术和重大成套装备的消化创新，指导工业企业技术改造工作，组织工业项目前期工作，安排大中型及区管以上工业项目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六）、负责分析工业经济运行态势，对工业经济运行分析、跟踪、汇总并进行预警预测，组织解决工业经济方面的政策建议，负责电力行业管理。协调调度和行政执法，组织协调经济运行保障要素，组织重要物资的紧急调度，交通运输协调管理工作，负责行业的指导和协调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（七）、参与国民经济发展以经济体制改革，对外开放有关地方性法规、规章的起草和组织实施。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八）、促进民营经济发展，进一步完善中小企业担保体制，有效解决融资难问题，发挥创业辅导基地的作用，发挥中小企业培训基地的作用，加强企业调研工作。开展企业减负，企业信用等级评定，管理人员培训和企业创名牌工作，引导企业做好自营出口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（九）、负责审核成品油、废旧金属回收、电力设施回收、日常批发零售经营企业的年度审验，变更审核上报经营许可证，负责对电力设施回收、废旧金属回收、煤炭市场进行监督检查。负责民爆行业监督管理。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）、负责科技合作与交流，引进智力，组织协调大专院校、科研单位与我区各类企事业单位的科技联合协作。牵头负责全区的科学技术普及工作。协调有关部门制定有关科技人员政策，督促检查知识分子政策的贯彻落实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一）、归口管理权限技术市场工作，制定有关技术市场的政策规定，负责技术市场有关法规的监督检查。归口管理全区科技成果，负责科技成果的组织申报工作，科技成果组织示范、应用，促进科技成果向生产力转化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（十二）、负责全区知识产权工作，承担专利工作行政管理，保护权利人的合法权益。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（十三）、负责协调全区防震减灾工作，做好防震减灾规划和预案，负责地震观测网点建设。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（十四）、研究拟订全区信息产业发展战略和促进电子信息产业发展的政策；研究拟订全区信息产业中长期规划和年度计划；协调信息产业发展的有关重大问题；拟订全区信息网络的规划，实施行业管理。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（十五）、根据产业政策与技术发展政策，引导与扶持全区信息产业的发展，指导产业结构、产品结构和企业结构调整。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六）、负责电子信息产业技术政策、技术体制和技术标准的实施，推进全区电子信息产品制造业和软件业的开发工作；组织协调和推进全区软件产业的发展；对电子信息产品市场进行宏观管理；组织重大科技项目攻关和引进技术的消化、吸收和创新工作，促进科研成果产业化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七）、根据全区国民经济和社会信息化发展战略的总体规划，参与研究拟定全区信息化发展年度计划；协助推进重大信息化工程；指导、协调与组织信息资源的开发利用；指导全区电子信息技术的推广应用和信息化普及教育；负责全区信息产业系统的对外经济技术合作与交流；负责行业统计及行业信息发布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（十八）、按照区政府分工，依法对电子信息产品和计算机信息服务市场进行监管，进行服务质量监督；指导电子信息产品质量监督与管理；参与信息网络安全技术的协调工作。</w:t>
      </w:r>
    </w:p>
    <w:p>
      <w:pPr>
        <w:pStyle w:val="11"/>
        <w:widowControl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（十九）、承办区政府交办的其他工作。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部门独立核算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机构1个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设4个内设机构：综合股、工业管理股、信息产业股、科技股。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/>
          <w:snapToGrid w:val="0"/>
          <w:kern w:val="0"/>
          <w:sz w:val="28"/>
          <w:szCs w:val="28"/>
        </w:rPr>
        <w:t>年末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实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有人数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123人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其中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在职人员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60人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，离休人员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3人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，退休人员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60人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工信部门2016年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spacing w:line="52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本部门2016年本年收入总计1821.99万元，较上年增长16.4%，增收256.76万元，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本年收入_原因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上级部门下达财政专项资金收入增加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；本年支出总计1612.74万元，较上年减少43.62%，减少1247.68万元，</w:t>
      </w:r>
      <w:r>
        <w:rPr>
          <w:rFonts w:hint="eastAsia"/>
          <w:snapToGrid w:val="0"/>
          <w:kern w:val="0"/>
          <w:sz w:val="28"/>
          <w:szCs w:val="28"/>
        </w:rPr>
        <w:t>主要原因是：上级财政下达专项资金减少；年末结转结余344.46万元。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部门2016年度收入总计1821.99万元，其中财政拨款收入1820.35万元，较上年增长16.39%，增收256.32万元，主要原因上级下达专项资金较上年增加；上级补助收入0.5万元，较上年减少16.67%，减少0.1万元，主要原因是省地震局拨付地震台站台网维护费减少；其他收入1.14万元，较上年增收90%，增收0.54万元，主要原因是收回预存的电费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tabs>
          <w:tab w:val="left" w:pos="916"/>
        </w:tabs>
        <w:spacing w:line="520" w:lineRule="exact"/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本部门2016年度支出总计1612.74万元，其中基本支出1074.89万元，占总支出66.65%；项目支出537.85万元，占总支出33.35%。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tabs>
          <w:tab w:val="left" w:pos="916"/>
        </w:tabs>
        <w:spacing w:line="52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本部门2016年财政拨款收入总计1820.35万元，较上年增长16.39%</w:t>
      </w:r>
      <w:r>
        <w:rPr>
          <w:rFonts w:hint="eastAsia" w:asciiTheme="minorEastAsia" w:hAnsiTheme="minorEastAsia"/>
          <w:sz w:val="28"/>
          <w:szCs w:val="28"/>
        </w:rPr>
        <w:t>，增收256.32万元；财政拨款支出总计1611.24万元，较上年减少43.57%，减少1243.84万元，年末财政拨款结转结余344.32万元。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财政拨款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年初预算数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本年支出合计_支出年初预算数小计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1533.64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万元，本年</w:t>
      </w:r>
      <w:r>
        <w:rPr>
          <w:snapToGrid w:val="0"/>
          <w:kern w:val="0"/>
          <w:sz w:val="28"/>
          <w:szCs w:val="28"/>
        </w:rPr>
        <w:t>支出决算数为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本年支出合计_支出决算数小计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1611.24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万元，占</w:t>
      </w:r>
      <w:r>
        <w:rPr>
          <w:snapToGrid w:val="0"/>
          <w:kern w:val="0"/>
          <w:sz w:val="28"/>
          <w:szCs w:val="28"/>
        </w:rPr>
        <w:t>年初预算数的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决算占预算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105.06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，主要</w:t>
      </w:r>
      <w:r>
        <w:rPr>
          <w:snapToGrid w:val="0"/>
          <w:kern w:val="0"/>
          <w:sz w:val="28"/>
          <w:szCs w:val="28"/>
        </w:rPr>
        <w:t>原因：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上级财政下达专项资金减少。</w:t>
      </w:r>
      <w:r>
        <w:rPr>
          <w:snapToGrid w:val="0"/>
          <w:kern w:val="0"/>
          <w:sz w:val="28"/>
          <w:szCs w:val="28"/>
        </w:rPr>
        <w:fldChar w:fldCharType="end"/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2016年，在做好各项工作的前提下，节省各项开支，尤其严格控制"三公"经费的支出，全年一般公共预算财政拨款"三公"经费支出合计</w:t>
      </w:r>
      <w:r>
        <w:rPr>
          <w:rFonts w:cs="仿宋" w:asciiTheme="minorEastAsia" w:hAnsiTheme="minorEastAsia"/>
          <w:sz w:val="28"/>
          <w:szCs w:val="28"/>
        </w:rPr>
        <w:t>11.23</w:t>
      </w:r>
      <w:r>
        <w:rPr>
          <w:rFonts w:hint="eastAsia" w:cs="仿宋" w:asciiTheme="minorEastAsia" w:hAnsiTheme="minorEastAsia"/>
          <w:sz w:val="28"/>
          <w:szCs w:val="28"/>
        </w:rPr>
        <w:t>万元，较2015年减少</w:t>
      </w:r>
      <w:r>
        <w:rPr>
          <w:rFonts w:cs="仿宋" w:asciiTheme="minorEastAsia" w:hAnsiTheme="minorEastAsia"/>
          <w:sz w:val="28"/>
          <w:szCs w:val="28"/>
        </w:rPr>
        <w:t>2.78</w:t>
      </w:r>
      <w:r>
        <w:rPr>
          <w:rFonts w:hint="eastAsia" w:cs="仿宋" w:asciiTheme="minorEastAsia" w:hAnsiTheme="minorEastAsia"/>
          <w:sz w:val="28"/>
          <w:szCs w:val="28"/>
        </w:rPr>
        <w:t>万元，减少</w:t>
      </w:r>
      <w:r>
        <w:rPr>
          <w:rFonts w:cs="仿宋" w:asciiTheme="minorEastAsia" w:hAnsiTheme="minorEastAsia"/>
          <w:sz w:val="28"/>
          <w:szCs w:val="28"/>
        </w:rPr>
        <w:t>19.81</w:t>
      </w:r>
      <w:r>
        <w:rPr>
          <w:rFonts w:hint="eastAsia" w:cs="仿宋" w:asciiTheme="minorEastAsia" w:hAnsiTheme="minorEastAsia"/>
          <w:sz w:val="28"/>
          <w:szCs w:val="28"/>
        </w:rPr>
        <w:t>%。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1、本部门2016年因公出国（境）费本年支出0万元，较预算压减（增加）0万元，无增减变化，较2015年增加0万元，无增减变化。主要原因:无因公出国。因公出国（境）团组 0                                                                   个，因公出国（境）人次数0人。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2、本部门2016年度公务用车购置及运行维护费本年支出9.56万元。（2016年度未购置公务用车，年末公务用车保有量5辆。）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公务用车购置费本年支出0万元；较预算压减（增加）0万元，无增减变化；较2015年增加（减少）0万元，无增减变化。主要原因：本年度无公务用车购置。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公务用车运行维护费本年支出9.56万元；较预算压减2.44万元，减少20.33%；较2015年减少3.77万元，减少28.3%。主要原因按规定节约开支、压减支出。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3、本部门2016年公务接待费全年支出1.67万元，较预算增加0.97万元，增加138.57 %；较2015年增加1.00万元，增加147.69%。主要原因上级主管部门安排接待考察任务导致接待费增加。</w:t>
      </w:r>
    </w:p>
    <w:p>
      <w:pPr>
        <w:adjustRightInd w:val="0"/>
        <w:snapToGrid w:val="0"/>
        <w:spacing w:line="560" w:lineRule="exac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国内公务接待批次21次，国内公务接待人次278人；国外公务接待批次0次，国外公务接待人次0人。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电子政务网运行专项费用项目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53.08万元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50.99万元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全区电子政务畅通，</w:t>
      </w:r>
      <w:r>
        <w:rPr>
          <w:rFonts w:hint="eastAsia" w:ascii="宋体" w:hAnsi="宋体"/>
          <w:sz w:val="28"/>
          <w:szCs w:val="28"/>
        </w:rPr>
        <w:t>全区政务信息交换和业务互动，各部门的公共服务和业务办公。如：网上办公、信息发布、企业申报、视频会议、IP电话、政府门户网站等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年本部门机关运行经费支出53.03万元，比201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年减少万33.17元，下降38.48%。主要原因是：水费、电费、取暖费没支出，公车改革车辆减少费用降低。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2016年度公用经费总支出 53.03万元，其中办公费3.23 万元、印刷费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万元、邮电费2.34万元、取暖费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万元、差旅费0.31万元、维修（护）费1.6万元、会议费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万元、公务接待费1.62 万元、工会经费6.11万元、福利费 9.3 万元、公务用车运行维护费 9.56 万元、其他交通费用  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2016年政府采购预算总额为0万元，主要包括政府采购货物  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7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我单位2016年末固定资产总额为152.74万元，主要包括房屋 337平方米价值 20万元，车辆 5辆价值42.88万元，单价在50万元以上的设备 0万元，及其他固定资产 89.86万元。 </w:t>
      </w:r>
    </w:p>
    <w:p>
      <w:pPr>
        <w:pStyle w:val="7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2016年资产变动情况：固定资产减少2.04 万元，包括其他固定资产减少2.04万元。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我部门没有其他需要说明的事项。</w:t>
      </w:r>
    </w:p>
    <w:p>
      <w:pPr>
        <w:ind w:firstLine="560" w:firstLineChars="200"/>
        <w:rPr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第三部分名词</w:t>
      </w:r>
      <w:r>
        <w:rPr>
          <w:b/>
          <w:sz w:val="44"/>
          <w:szCs w:val="44"/>
        </w:rPr>
        <w:t>解释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（五）基本支出：填列单位为保障机构正常运转、完成日常工作任务而发生的各项支出。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（六）项目支出：填列单位为完成特定的行政工作任务或事业发展目标，在基本支出之外发生的各项支出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85BE2"/>
    <w:rsid w:val="001041EE"/>
    <w:rsid w:val="0015089B"/>
    <w:rsid w:val="00152908"/>
    <w:rsid w:val="00176C52"/>
    <w:rsid w:val="00196A77"/>
    <w:rsid w:val="001C230B"/>
    <w:rsid w:val="001C673D"/>
    <w:rsid w:val="001E68F2"/>
    <w:rsid w:val="00274100"/>
    <w:rsid w:val="002C02A2"/>
    <w:rsid w:val="003277A3"/>
    <w:rsid w:val="00372DF7"/>
    <w:rsid w:val="003875F5"/>
    <w:rsid w:val="003E3057"/>
    <w:rsid w:val="003F0B48"/>
    <w:rsid w:val="003F2C50"/>
    <w:rsid w:val="003F3B34"/>
    <w:rsid w:val="00413C95"/>
    <w:rsid w:val="004706A4"/>
    <w:rsid w:val="00471A6A"/>
    <w:rsid w:val="0058572E"/>
    <w:rsid w:val="005B3169"/>
    <w:rsid w:val="0060361A"/>
    <w:rsid w:val="00630A95"/>
    <w:rsid w:val="006563DD"/>
    <w:rsid w:val="00662953"/>
    <w:rsid w:val="006738DB"/>
    <w:rsid w:val="00691298"/>
    <w:rsid w:val="006B564B"/>
    <w:rsid w:val="006E71D0"/>
    <w:rsid w:val="00742D99"/>
    <w:rsid w:val="00791B38"/>
    <w:rsid w:val="008026BF"/>
    <w:rsid w:val="0080718E"/>
    <w:rsid w:val="0082704B"/>
    <w:rsid w:val="008423F5"/>
    <w:rsid w:val="00842CBB"/>
    <w:rsid w:val="00894246"/>
    <w:rsid w:val="00945D0B"/>
    <w:rsid w:val="00985214"/>
    <w:rsid w:val="009B74FB"/>
    <w:rsid w:val="00A372C2"/>
    <w:rsid w:val="00AA21A2"/>
    <w:rsid w:val="00B005DA"/>
    <w:rsid w:val="00B17297"/>
    <w:rsid w:val="00B40ED6"/>
    <w:rsid w:val="00C222CB"/>
    <w:rsid w:val="00C82568"/>
    <w:rsid w:val="00CA2480"/>
    <w:rsid w:val="00CB45AA"/>
    <w:rsid w:val="00D14FEE"/>
    <w:rsid w:val="00D6325B"/>
    <w:rsid w:val="00D87D3B"/>
    <w:rsid w:val="00D9008B"/>
    <w:rsid w:val="00DB7E7C"/>
    <w:rsid w:val="00DC5EA2"/>
    <w:rsid w:val="00E71A30"/>
    <w:rsid w:val="00F00F83"/>
    <w:rsid w:val="00F7078F"/>
    <w:rsid w:val="064A3FAD"/>
    <w:rsid w:val="0B6A15E4"/>
    <w:rsid w:val="0D6054DA"/>
    <w:rsid w:val="1AF90D88"/>
    <w:rsid w:val="1F545778"/>
    <w:rsid w:val="62A02981"/>
    <w:rsid w:val="67317415"/>
    <w:rsid w:val="6DA81F00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767</Words>
  <Characters>4374</Characters>
  <Lines>36</Lines>
  <Paragraphs>10</Paragraphs>
  <TotalTime>1</TotalTime>
  <ScaleCrop>false</ScaleCrop>
  <LinksUpToDate>false</LinksUpToDate>
  <CharactersWithSpaces>5131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2017-11-14T12:22:00Z</dcterms:created>
  <dc:creator>yuanxiaowei</dc:creator>
  <cp:lastModifiedBy>LENOVO</cp:lastModifiedBy>
  <cp:lastPrinted>2017-08-29T03:35:00Z</cp:lastPrinted>
  <dcterms:modified xsi:type="dcterms:W3CDTF">2024-01-12T01:46:42Z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7D0A6AA9260245919C82AC2A07A4979D</vt:lpwstr>
  </property>
</Properties>
</file>