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保定市徐水区工信局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7" w:name="_GoBack"/>
      <w:bookmarkEnd w:id="7"/>
      <w:r>
        <w:rPr>
          <w:rFonts w:hint="eastAsia" w:ascii="仿宋" w:hAnsi="仿宋" w:eastAsia="仿宋"/>
          <w:sz w:val="32"/>
          <w:szCs w:val="32"/>
        </w:rPr>
        <w:t>预算法》、《地方预决算公开操作规程》等文件规定，现将我部门预算信息公开如下：</w:t>
      </w:r>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第一部分:部门职责及机构设置情况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根据《保定市徐水区工业和信息化局职能配置、内设机构和人员编制规定》，</w:t>
      </w:r>
      <w:r>
        <w:rPr>
          <w:rFonts w:ascii="仿宋" w:hAnsi="仿宋" w:eastAsia="仿宋" w:cs="Times New Roman"/>
          <w:sz w:val="32"/>
          <w:szCs w:val="32"/>
        </w:rPr>
        <w:t xml:space="preserve"> 保定市徐水区工业和信息化局的主要职责是：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依据《保定市徐水区工业和信息化局职能配置、内设机构和人员编制规定》确定本部门职责如下：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（一）提出全区新型工业化发展战略和政策，协调解决新型工业化进程中的重大问题，拟订并组织实施全区工业的发展规划，推进产业结构战略性调整和优化升级，推进信息化和工业化融合。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二）拟订并组织实施全区工业行业规划、计划和产业政策，提出优化产业布局、结构的政策建议，推进现代产业体系建设，组织实施行业技术规范和标准，指导行业生产质量管理，协调推进工信系统名牌战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三）监测、分析全区工业运行态势，统计并发布相关信息，进行预测预警和信息引导，协调解决行业运行发展中的有关问题并提出政策建议；负责工业应急管理、产业安全和国防动员有关工作；负责区医药储备管理的有关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（四）负责提出全区工业固定资产投资规模和方向（含利用外资和境外投资）、国家和省、市财政性建设资金安排的意见。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五）负责对全区中小企业和民营经济促进工作进行指导、综合协调和监督检查，负责中小企业统计工作，研究拟订全区中小企业发展战略、中长期发展规划、年度计划并组织实施；会同有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六）拟订和组织实施中小企业发展专项资金年度计划和固定资产投资计划，提出区级中小企业发展专项资金年度预算建议，实施对中小企业发展专项资金使用的监督检查；指导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七）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八）承担全区振兴装备制造业的组织协调，贯彻执行国家、省、市重大技术装备发展和自主创新规划、政策，依托国家、省、市重点工程建设协调有关重大专项的实施，推进重大技术装备国产化，指导引进重大技术装备的消化创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（九）组织实施国家、省、市工业能源节约和资源综合利用促进政策，协调相关重大示范工程和新产品、新技术、新设备、新材料的推广应用。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（十一）组织开展工业、中小企业的对外合作与交流。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（十二）承担履行《禁止化学武器公约》的组织协调工作。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（十三）贯彻落实创新驱动发展战略方针，拟订科技发展、引进国外智力规划和政策并组织实施。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四）统筹推进全区创新体系建设和科技体制改革，会同有关部门健全技术创新激励机制；优化科研体系建设，指导科研机构改革发展，推动企业科技创新能力建设，推进区重大科技决策咨询制度建设；拟订科学普及和科学传播规划、政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（十五）牵头建立统一的国家、省、市级科研项目资金协调、监管机制；会同有关部门提出优化配置科技资源的政策措施建议，推动多元化科技投入体系建设，协调监督管理上级下达的财政科技计划专项。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（十六）监督实施重大科技创新基地建设规划，推动科研条件保障、科技平台建设和科技资源开放共享。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（十七）监督实施区重大科技项目规划，统筹关键共性技术、前沿引领技术、现代工程技术、颠覆性技术研发和创新，牵头组织重大技术攻关和成果应用示范。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（十八）组织拟订高新技术发展及产业化、科技促进农业农村和社会发展的规划、政策和措施；组织开展重点领域技术发展需求分析，提出重大任务并监督实施；指导农业科技园区建设。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（十九）牵头技术转移体系建设，拟订科技成果转移转化和促进产学研结合的相关政策措施并监督实施；指导科技服务业、技术市场和科技中介组织发展。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（二十）统筹区域科技创新体系建设，指导区域创新发展、科技资源合理布局和协同创新能力建设。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（二十一）负责科技监督评价体系建设和相关科技评估管理，指导科技评价机制改革，统筹科研诚信建设；组织实施创新调查和科技报告制度，指导全区科技保密工作。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（二十二）拟订国际科技合作与创新能力开放合作的规划、政策和措施，组织开展国际科技合作交流；指导相关部门开展对外科技合作交流工作，组织科技援外和科技援冀相关事宜。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二十三）负责引进国外智力工作。拟订区重点引进外国专家总体规划、计划并组织实施，建立外国高层次人才吸引集聚机制和重点外国专家联系服务机制；拟订出国（境）培训总体规划、政策和年度计划并监督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（二十四）会同有关部门拟订科技人才队伍建设规划和政策，建立健全科技人才评价和激励机制，组织实施科技人才计划，推动高端科技创新人才队伍建设。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（二十五）承担国家、省、市科学技术奖、高新技术企业、高新技术产品、科技型中小企业、企业技术创新中心、众创空间等创新平台的组织申报工作。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 w:hAnsi="仿宋" w:eastAsia="仿宋" w:cs="Times New Roman"/>
          <w:sz w:val="32"/>
          <w:szCs w:val="32"/>
        </w:rPr>
      </w:pPr>
      <w:r>
        <w:rPr>
          <w:rFonts w:hint="eastAsia" w:ascii="仿宋" w:hAnsi="仿宋" w:eastAsia="仿宋" w:cs="微软雅黑"/>
          <w:sz w:val="32"/>
          <w:szCs w:val="32"/>
        </w:rPr>
        <w:t>（二十六）完成区委、区政府交办的其他任务。</w:t>
      </w:r>
    </w:p>
    <w:p>
      <w:pPr>
        <w:spacing w:line="360" w:lineRule="auto"/>
        <w:ind w:firstLine="640" w:firstLineChars="200"/>
        <w:jc w:val="both"/>
        <w:rPr>
          <w:rFonts w:ascii="仿宋" w:hAnsi="仿宋" w:eastAsia="仿宋"/>
          <w:sz w:val="32"/>
          <w:szCs w:val="32"/>
        </w:rPr>
      </w:pPr>
    </w:p>
    <w:p>
      <w:pPr>
        <w:spacing w:line="360" w:lineRule="auto"/>
        <w:ind w:firstLine="640" w:firstLineChars="200"/>
        <w:jc w:val="both"/>
        <w:rPr>
          <w:rFonts w:ascii="仿宋" w:hAnsi="仿宋" w:eastAsia="仿宋"/>
          <w:sz w:val="32"/>
          <w:szCs w:val="32"/>
        </w:rPr>
      </w:pPr>
    </w:p>
    <w:p>
      <w:pPr>
        <w:spacing w:line="360" w:lineRule="auto"/>
        <w:ind w:firstLine="640" w:firstLineChars="200"/>
        <w:jc w:val="both"/>
        <w:rPr>
          <w:rFonts w:ascii="仿宋" w:hAnsi="仿宋" w:eastAsia="仿宋"/>
          <w:sz w:val="32"/>
          <w:szCs w:val="32"/>
        </w:rPr>
      </w:pPr>
    </w:p>
    <w:p>
      <w:pPr>
        <w:spacing w:line="360" w:lineRule="auto"/>
        <w:ind w:firstLine="640" w:firstLineChars="200"/>
        <w:jc w:val="both"/>
        <w:rPr>
          <w:rFonts w:ascii="仿宋" w:hAnsi="仿宋" w:eastAsia="仿宋"/>
          <w:sz w:val="32"/>
          <w:szCs w:val="32"/>
        </w:rPr>
      </w:pPr>
    </w:p>
    <w:p>
      <w:pPr>
        <w:spacing w:line="360" w:lineRule="auto"/>
        <w:ind w:firstLine="640" w:firstLineChars="200"/>
        <w:jc w:val="both"/>
        <w:rPr>
          <w:rFonts w:ascii="仿宋" w:hAnsi="仿宋" w:eastAsia="仿宋"/>
          <w:sz w:val="32"/>
          <w:szCs w:val="32"/>
        </w:rPr>
      </w:pPr>
    </w:p>
    <w:p>
      <w:pPr>
        <w:spacing w:line="360" w:lineRule="auto"/>
        <w:ind w:firstLine="640" w:firstLineChars="200"/>
        <w:jc w:val="both"/>
        <w:rPr>
          <w:rFonts w:ascii="仿宋" w:hAnsi="仿宋" w:eastAsia="仿宋"/>
          <w:sz w:val="32"/>
          <w:szCs w:val="32"/>
        </w:rPr>
      </w:pPr>
    </w:p>
    <w:p>
      <w:pPr>
        <w:spacing w:line="360" w:lineRule="auto"/>
        <w:ind w:firstLine="640" w:firstLineChars="200"/>
        <w:jc w:val="both"/>
        <w:rPr>
          <w:rFonts w:ascii="仿宋" w:hAnsi="仿宋" w:eastAsia="仿宋"/>
          <w:sz w:val="32"/>
          <w:szCs w:val="32"/>
        </w:rPr>
      </w:pPr>
    </w:p>
    <w:p>
      <w:pPr>
        <w:spacing w:line="360" w:lineRule="auto"/>
        <w:ind w:firstLine="640" w:firstLineChars="200"/>
        <w:jc w:val="both"/>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保定市徐水区工业和信息化局机关</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保定市徐水区工业和信息化局事业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公文小标宋" w:hAnsi="方正公文小标宋" w:eastAsia="方正公文小标宋" w:cs="方正公文小标宋"/>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932.77</w:t>
      </w:r>
      <w:r>
        <w:rPr>
          <w:rFonts w:ascii="仿宋" w:hAnsi="仿宋" w:eastAsia="仿宋"/>
          <w:sz w:val="32"/>
          <w:szCs w:val="32"/>
        </w:rPr>
        <w:t>万元,其中：一般公共预算收入</w:t>
      </w:r>
      <w:r>
        <w:rPr>
          <w:rFonts w:hint="eastAsia" w:ascii="仿宋" w:hAnsi="仿宋" w:eastAsia="仿宋"/>
          <w:sz w:val="32"/>
          <w:szCs w:val="32"/>
        </w:rPr>
        <w:t>932.77</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932.77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基本支出904.3万元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849.17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55.13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28.47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28.47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本年度预算收支安排932.77万元，较上年</w:t>
      </w:r>
      <w:r>
        <w:rPr>
          <w:rFonts w:ascii="仿宋" w:hAnsi="仿宋" w:eastAsia="仿宋"/>
          <w:sz w:val="32"/>
          <w:szCs w:val="32"/>
        </w:rPr>
        <w:t>减少</w:t>
      </w:r>
      <w:r>
        <w:rPr>
          <w:rFonts w:hint="eastAsia" w:ascii="仿宋" w:hAnsi="仿宋" w:eastAsia="仿宋"/>
          <w:sz w:val="32"/>
          <w:szCs w:val="32"/>
        </w:rPr>
        <w:t>36.39</w:t>
      </w:r>
      <w:r>
        <w:rPr>
          <w:rFonts w:ascii="仿宋" w:hAnsi="仿宋" w:eastAsia="仿宋"/>
          <w:sz w:val="32"/>
          <w:szCs w:val="32"/>
        </w:rPr>
        <w:t>万元。其中:基本支出减少</w:t>
      </w:r>
      <w:r>
        <w:rPr>
          <w:rFonts w:hint="eastAsia" w:ascii="仿宋" w:hAnsi="仿宋" w:eastAsia="仿宋"/>
          <w:sz w:val="32"/>
          <w:szCs w:val="32"/>
        </w:rPr>
        <w:t>33.81</w:t>
      </w:r>
      <w:r>
        <w:rPr>
          <w:rFonts w:ascii="仿宋" w:hAnsi="仿宋" w:eastAsia="仿宋"/>
          <w:sz w:val="32"/>
          <w:szCs w:val="32"/>
        </w:rPr>
        <w:t>万元，主要原因是</w:t>
      </w:r>
      <w:r>
        <w:rPr>
          <w:rFonts w:hint="eastAsia" w:ascii="仿宋" w:hAnsi="仿宋" w:eastAsia="仿宋"/>
          <w:sz w:val="32"/>
          <w:szCs w:val="32"/>
        </w:rPr>
        <w:t>在职人员办理退休，人员经费减少</w:t>
      </w:r>
      <w:r>
        <w:rPr>
          <w:rFonts w:ascii="仿宋" w:hAnsi="仿宋" w:eastAsia="仿宋"/>
          <w:sz w:val="32"/>
          <w:szCs w:val="32"/>
        </w:rPr>
        <w:t>；项目支出减少</w:t>
      </w:r>
      <w:r>
        <w:rPr>
          <w:rFonts w:hint="eastAsia" w:ascii="仿宋" w:hAnsi="仿宋" w:eastAsia="仿宋"/>
          <w:sz w:val="32"/>
          <w:szCs w:val="32"/>
        </w:rPr>
        <w:t>2.58</w:t>
      </w:r>
      <w:r>
        <w:rPr>
          <w:rFonts w:ascii="仿宋" w:hAnsi="仿宋" w:eastAsia="仿宋"/>
          <w:sz w:val="32"/>
          <w:szCs w:val="32"/>
        </w:rPr>
        <w:t>万元，主要原因是</w:t>
      </w:r>
      <w:r>
        <w:rPr>
          <w:rFonts w:hint="eastAsia" w:ascii="仿宋" w:hAnsi="仿宋" w:eastAsia="仿宋"/>
          <w:sz w:val="32"/>
          <w:szCs w:val="32"/>
        </w:rPr>
        <w:t>项目人员经费项目涉及人员退休，项目所需资金减少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第三部分：机关运行经费安排情况</w:t>
      </w:r>
    </w:p>
    <w:p>
      <w:pPr>
        <w:jc w:val="center"/>
        <w:outlineLvl w:val="0"/>
        <w:rPr>
          <w:rFonts w:hint="eastAsia" w:ascii="方正小标宋_GBK" w:eastAsia="方正小标宋_GBK"/>
          <w:sz w:val="44"/>
        </w:rPr>
      </w:pP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rPr>
        <w:t>55.13</w:t>
      </w:r>
      <w:r>
        <w:rPr>
          <w:rFonts w:ascii="仿宋" w:hAnsi="仿宋" w:eastAsia="仿宋"/>
          <w:sz w:val="32"/>
          <w:szCs w:val="32"/>
        </w:rPr>
        <w:t>万元，其中办公费</w:t>
      </w:r>
      <w:r>
        <w:rPr>
          <w:rFonts w:hint="eastAsia" w:ascii="仿宋" w:hAnsi="仿宋" w:eastAsia="仿宋"/>
          <w:sz w:val="32"/>
          <w:szCs w:val="32"/>
        </w:rPr>
        <w:t>10.1</w:t>
      </w:r>
      <w:r>
        <w:rPr>
          <w:rFonts w:ascii="仿宋" w:hAnsi="仿宋" w:eastAsia="仿宋"/>
          <w:sz w:val="32"/>
          <w:szCs w:val="32"/>
        </w:rPr>
        <w:t>万元，邮电费</w:t>
      </w:r>
      <w:r>
        <w:rPr>
          <w:rFonts w:hint="eastAsia" w:ascii="仿宋" w:hAnsi="仿宋" w:eastAsia="仿宋"/>
          <w:sz w:val="32"/>
          <w:szCs w:val="32"/>
        </w:rPr>
        <w:t>5.48</w:t>
      </w:r>
      <w:r>
        <w:rPr>
          <w:rFonts w:ascii="仿宋" w:hAnsi="仿宋" w:eastAsia="仿宋"/>
          <w:sz w:val="32"/>
          <w:szCs w:val="32"/>
        </w:rPr>
        <w:t>万元，</w:t>
      </w:r>
      <w:r>
        <w:rPr>
          <w:rFonts w:hint="eastAsia" w:ascii="仿宋" w:hAnsi="仿宋" w:eastAsia="仿宋"/>
          <w:sz w:val="32"/>
          <w:szCs w:val="32"/>
          <w:lang w:eastAsia="zh-CN"/>
        </w:rPr>
        <w:t>公务接待</w:t>
      </w:r>
      <w:r>
        <w:rPr>
          <w:rFonts w:hint="default" w:ascii="仿宋" w:hAnsi="仿宋" w:eastAsia="仿宋"/>
          <w:sz w:val="32"/>
          <w:szCs w:val="32"/>
          <w:lang w:val="en-US" w:eastAsia="zh-CN"/>
        </w:rPr>
        <w:t>0.7</w:t>
      </w:r>
      <w:r>
        <w:rPr>
          <w:rFonts w:hint="eastAsia" w:ascii="仿宋" w:hAnsi="仿宋" w:eastAsia="仿宋"/>
          <w:sz w:val="32"/>
          <w:szCs w:val="32"/>
          <w:lang w:val="en-US" w:eastAsia="zh-CN"/>
        </w:rPr>
        <w:t>万元，</w:t>
      </w:r>
      <w:r>
        <w:rPr>
          <w:rFonts w:ascii="仿宋" w:hAnsi="仿宋" w:eastAsia="仿宋"/>
          <w:sz w:val="32"/>
          <w:szCs w:val="32"/>
        </w:rPr>
        <w:t>工会经费、福利费</w:t>
      </w:r>
      <w:r>
        <w:rPr>
          <w:rFonts w:hint="eastAsia" w:ascii="仿宋" w:hAnsi="仿宋" w:eastAsia="仿宋"/>
          <w:sz w:val="32"/>
          <w:szCs w:val="32"/>
        </w:rPr>
        <w:t>8.92</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19.13</w:t>
      </w:r>
      <w:r>
        <w:rPr>
          <w:rFonts w:ascii="仿宋" w:hAnsi="仿宋" w:eastAsia="仿宋"/>
          <w:sz w:val="32"/>
          <w:szCs w:val="32"/>
        </w:rPr>
        <w:t>万元。</w:t>
      </w:r>
    </w:p>
    <w:p>
      <w:pPr>
        <w:jc w:val="both"/>
        <w:outlineLvl w:val="0"/>
        <w:rPr>
          <w:rFonts w:ascii="方正小标宋_GBK" w:eastAsia="方正小标宋_GBK"/>
          <w:sz w:val="44"/>
        </w:rPr>
      </w:pPr>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37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24"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308"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both"/>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第五部分：预算绩效信息</w:t>
      </w:r>
    </w:p>
    <w:p>
      <w:pPr>
        <w:spacing w:line="360" w:lineRule="auto"/>
        <w:jc w:val="center"/>
        <w:rPr>
          <w:rFonts w:hint="eastAsia" w:ascii="方正公文小标宋" w:hAnsi="方正公文小标宋" w:eastAsia="方正公文小标宋" w:cs="方正公文小标宋"/>
          <w:sz w:val="32"/>
          <w:szCs w:val="32"/>
        </w:rPr>
      </w:pPr>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部门整体绩效目标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rPr>
      </w:pPr>
      <w:r>
        <w:rPr>
          <w:rFonts w:ascii="仿宋" w:hAnsi="仿宋" w:eastAsia="仿宋"/>
          <w:sz w:val="32"/>
          <w:szCs w:val="32"/>
        </w:rPr>
        <w:t>2021</w:t>
      </w:r>
      <w:r>
        <w:rPr>
          <w:rFonts w:hint="eastAsia" w:ascii="仿宋" w:hAnsi="仿宋" w:eastAsia="仿宋" w:cs="微软雅黑"/>
          <w:sz w:val="32"/>
          <w:szCs w:val="32"/>
        </w:rPr>
        <w:t>年是实施</w:t>
      </w:r>
      <w:r>
        <w:rPr>
          <w:rFonts w:ascii="仿宋" w:hAnsi="仿宋" w:eastAsia="仿宋"/>
          <w:sz w:val="32"/>
          <w:szCs w:val="32"/>
        </w:rPr>
        <w:t>“</w:t>
      </w:r>
      <w:r>
        <w:rPr>
          <w:rFonts w:hint="eastAsia" w:ascii="仿宋" w:hAnsi="仿宋" w:eastAsia="仿宋" w:cs="微软雅黑"/>
          <w:sz w:val="32"/>
          <w:szCs w:val="32"/>
        </w:rPr>
        <w:t>十四五</w:t>
      </w:r>
      <w:r>
        <w:rPr>
          <w:rFonts w:ascii="仿宋" w:hAnsi="仿宋" w:eastAsia="仿宋"/>
          <w:sz w:val="32"/>
          <w:szCs w:val="32"/>
        </w:rPr>
        <w:t>”</w:t>
      </w:r>
      <w:r>
        <w:rPr>
          <w:rFonts w:hint="eastAsia" w:ascii="仿宋" w:hAnsi="仿宋" w:eastAsia="仿宋" w:cs="微软雅黑"/>
          <w:sz w:val="32"/>
          <w:szCs w:val="32"/>
        </w:rPr>
        <w:t>规划、开启全面建设社会主义现代化国家新征程的开局之年，做好工业转型升级和创新发展工作意义重大。促进徐水工业经济发展，深化工业供给侧结构性改革</w:t>
      </w:r>
      <w:r>
        <w:rPr>
          <w:rFonts w:ascii="仿宋" w:hAnsi="仿宋" w:eastAsia="仿宋"/>
          <w:sz w:val="32"/>
          <w:szCs w:val="32"/>
        </w:rPr>
        <w:t>,</w:t>
      </w:r>
      <w:r>
        <w:rPr>
          <w:rFonts w:hint="eastAsia" w:ascii="仿宋" w:hAnsi="仿宋" w:eastAsia="仿宋" w:cs="微软雅黑"/>
          <w:sz w:val="32"/>
          <w:szCs w:val="32"/>
        </w:rPr>
        <w:t>发挥财政资金效能，助推徐水工业转型升级、民营经济快速发展。改造提升传统产业，引导实施重点技改项目；加快培育规模以上工业企业；发展工业互联网</w:t>
      </w:r>
      <w:r>
        <w:rPr>
          <w:rFonts w:ascii="仿宋" w:hAnsi="仿宋" w:eastAsia="仿宋"/>
          <w:sz w:val="32"/>
          <w:szCs w:val="32"/>
        </w:rPr>
        <w:t>,</w:t>
      </w:r>
      <w:r>
        <w:rPr>
          <w:rFonts w:hint="eastAsia" w:ascii="仿宋" w:hAnsi="仿宋" w:eastAsia="仿宋" w:cs="微软雅黑"/>
          <w:sz w:val="32"/>
          <w:szCs w:val="32"/>
        </w:rPr>
        <w:t>培育壮大新兴产业；鼓励工业设计与制造业深度融合；发展壮大民营经济，支持振兴县域特色产业；继续培育一批</w:t>
      </w:r>
      <w:r>
        <w:rPr>
          <w:rFonts w:ascii="仿宋" w:hAnsi="仿宋" w:eastAsia="仿宋"/>
          <w:sz w:val="32"/>
          <w:szCs w:val="32"/>
        </w:rPr>
        <w:t>“</w:t>
      </w:r>
      <w:r>
        <w:rPr>
          <w:rFonts w:hint="eastAsia" w:ascii="仿宋" w:hAnsi="仿宋" w:eastAsia="仿宋" w:cs="微软雅黑"/>
          <w:sz w:val="32"/>
          <w:szCs w:val="32"/>
        </w:rPr>
        <w:t>专精特新</w:t>
      </w:r>
      <w:r>
        <w:rPr>
          <w:rFonts w:ascii="仿宋" w:hAnsi="仿宋" w:eastAsia="仿宋"/>
          <w:sz w:val="32"/>
          <w:szCs w:val="32"/>
        </w:rPr>
        <w:t>”</w:t>
      </w:r>
      <w:r>
        <w:rPr>
          <w:rFonts w:hint="eastAsia" w:ascii="仿宋" w:hAnsi="仿宋" w:eastAsia="仿宋" w:cs="微软雅黑"/>
          <w:sz w:val="32"/>
          <w:szCs w:val="32"/>
        </w:rPr>
        <w:t>中小企业。</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cs="微软雅黑"/>
          <w:sz w:val="32"/>
          <w:szCs w:val="32"/>
        </w:rPr>
        <w:t>以探索并坚持科技创新工作的系统性和规律性为基础，以提升科技创新工作能力和完善工作体系为目标，推动科技创新各项目标任务落实落地为主线，进一步完善多主体协同、多要素联动、多领域互动的综合创新生态体系，推动全区科技进步、推动高新技术企业做大做强、推动省级科技创新平台体系建设，有效推动省级重大科技成果在我区落地转化，全面增强科技创新对建设新时代经济徐水、美丽徐水的引领支撑作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公文小标宋" w:hAnsi="方正公文小标宋" w:eastAsia="方正公文小标宋" w:cs="方正公文小标宋"/>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beforeLines="50" w:afterLines="50"/>
        <w:ind w:firstLine="643" w:firstLineChars="200"/>
        <w:jc w:val="left"/>
        <w:outlineLvl w:val="1"/>
        <w:rPr>
          <w:rFonts w:hint="eastAsia" w:ascii="仿宋" w:hAnsi="仿宋" w:eastAsia="仿宋" w:cs="仿宋"/>
          <w:b/>
          <w:bCs/>
          <w:sz w:val="32"/>
          <w:szCs w:val="32"/>
        </w:rPr>
      </w:pPr>
      <w:bookmarkStart w:id="0" w:name="_Toc66795922"/>
      <w:r>
        <w:rPr>
          <w:rFonts w:hint="eastAsia" w:ascii="仿宋" w:hAnsi="仿宋" w:eastAsia="仿宋" w:cs="仿宋"/>
          <w:b/>
          <w:bCs/>
          <w:sz w:val="32"/>
          <w:szCs w:val="32"/>
        </w:rPr>
        <w:t>一、总体绩效目标</w:t>
      </w:r>
      <w:bookmarkEnd w:id="0"/>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TC 总体绩效目标 \f A \l 1 </w:instrText>
      </w:r>
      <w:r>
        <w:rPr>
          <w:rFonts w:hint="eastAsia" w:ascii="仿宋" w:hAnsi="仿宋" w:eastAsia="仿宋" w:cs="仿宋"/>
          <w:b/>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2021年是实施“十四五”规划、开启全面建设社会主义现代化国家新征程的开局之年，做好工业转型升级和创新发展工作意义重大。促进徐水工业经济发展，深化工业供给侧结构性改革,发挥财政资金效能，助推徐水工业转型升级、民营经济快速发展。改造提升传统产业，引导实施重点技改项目；加快培育规模以上工业企业；发展工业互联网,培育壮大新兴产业；鼓励工业设计与制造业深度融合；发展壮大民营经济，支持振兴县域特色产业；继续培育一批“专精特新”中小企业。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以探索并坚持科技创新工作的系统性和规律性为基础，以提升科技创新工作能力和完善工作体系为目标，推动科技创新各项目标任务落实落地为主线，进一步完善多主体协同、多要素联动、多领域互动的综合创新生态体系，推动全区科技进步、推动高新技术企业做大做强、推动省级科技创新平台体系建设，有效推动省级重大科技成果在我区落地转化，全面增强科技创新对建设新时代经济徐水、美丽徐水的引领支撑作用。         </w:t>
      </w:r>
    </w:p>
    <w:p>
      <w:pPr>
        <w:spacing w:line="500" w:lineRule="exact"/>
        <w:ind w:firstLine="640" w:firstLineChars="200"/>
        <w:jc w:val="left"/>
        <w:rPr>
          <w:rFonts w:hint="eastAsia" w:ascii="仿宋" w:hAnsi="仿宋" w:eastAsia="仿宋" w:cs="仿宋"/>
          <w:sz w:val="32"/>
          <w:szCs w:val="32"/>
        </w:rPr>
      </w:pPr>
    </w:p>
    <w:p>
      <w:pPr>
        <w:spacing w:beforeLines="50" w:afterLines="50" w:line="500" w:lineRule="exact"/>
        <w:ind w:firstLine="643" w:firstLineChars="200"/>
        <w:jc w:val="left"/>
        <w:outlineLvl w:val="1"/>
        <w:rPr>
          <w:rFonts w:hint="eastAsia" w:ascii="仿宋" w:hAnsi="仿宋" w:eastAsia="仿宋" w:cs="仿宋"/>
          <w:sz w:val="32"/>
          <w:szCs w:val="32"/>
        </w:rPr>
      </w:pPr>
      <w:bookmarkStart w:id="1" w:name="_Toc66795923"/>
      <w:r>
        <w:rPr>
          <w:rFonts w:hint="eastAsia" w:ascii="仿宋" w:hAnsi="仿宋" w:eastAsia="仿宋" w:cs="仿宋"/>
          <w:b/>
          <w:bCs/>
          <w:sz w:val="32"/>
          <w:szCs w:val="32"/>
        </w:rPr>
        <w:t>二、分项绩效目标</w:t>
      </w:r>
      <w:bookmarkEnd w:id="1"/>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分项绩效目标 \f A \l 1 </w:instrText>
      </w:r>
      <w:r>
        <w:rPr>
          <w:rFonts w:hint="eastAsia" w:ascii="仿宋" w:hAnsi="仿宋" w:eastAsia="仿宋" w:cs="仿宋"/>
          <w:sz w:val="32"/>
          <w:szCs w:val="32"/>
        </w:rPr>
        <w:fldChar w:fldCharType="end"/>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(一) 科学编制专项规划，实现开局起步新突破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绩效目标：以徐水区“十四五”规划为纲领，空间规划为基础，高质量、高标准、高水平推进工信局4项规划编制工作。绩效指标：切实做好《保定市徐水区工业和信息化“十四五”规划》《保定市徐水区科技创新“十四五”规划》《保定市徐水区数字经济发展规划（2020-2025）》《保定市徐水区新能源与智能物联汽车产业发展规划》4个专项规划的编制工作。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（二）促进工业转型升级、促进中小企业发展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目标：改造提升全省传统产业水平。提升两化融合水平。提升规上工业企业技术创新能力。培育壮大新兴产业发展。大力开展工业设计、绿色园区、绿色工厂、专精特新、企业上云等工作，支持实体企业技术革新、设备更新、产品焕新，梯队培育“专精特新”中小企业，引领培育一批小巨人、单项冠军企业和数字平台型企业，加快数字产业布局与平台建设，推动我区工业经济绿色发展、创新发展、高质量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绩效指标：工业增加值增速13%，新增规上企业数量17家，新增“专精特新”中小企业2家，力争3家企业上云。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（三）创新载体建设水平实现新提升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目标：提升创新主体数量，引进和培养高层次创新人才，打造高水平研发平台，创建一流科技园区，广泛开展科学普及活动，加强国际科技合作，促进平台、机构、园区、基地等科技创新载体提质增效，为提升我区综合科技创新能力提供有力支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绩效指标：高新技术企业新增4家；科技型中小企业新增50家；新增市级以上创新平台1个。</w:t>
      </w:r>
    </w:p>
    <w:p>
      <w:pPr>
        <w:spacing w:line="500" w:lineRule="exact"/>
        <w:ind w:firstLine="560" w:firstLineChars="200"/>
        <w:jc w:val="left"/>
        <w:rPr>
          <w:rFonts w:ascii="Times New Roman" w:eastAsia="方正仿宋_GBK"/>
          <w:sz w:val="28"/>
        </w:rPr>
      </w:pPr>
    </w:p>
    <w:p>
      <w:pPr>
        <w:spacing w:beforeLines="50" w:afterLines="50" w:line="500" w:lineRule="exact"/>
        <w:ind w:firstLine="643" w:firstLineChars="200"/>
        <w:jc w:val="left"/>
        <w:outlineLvl w:val="1"/>
        <w:rPr>
          <w:rFonts w:hint="eastAsia" w:ascii="仿宋" w:hAnsi="仿宋" w:eastAsia="仿宋" w:cs="仿宋"/>
          <w:sz w:val="32"/>
          <w:szCs w:val="32"/>
        </w:rPr>
      </w:pPr>
      <w:bookmarkStart w:id="2" w:name="_Toc66795924"/>
      <w:r>
        <w:rPr>
          <w:rFonts w:hint="eastAsia" w:ascii="仿宋" w:hAnsi="仿宋" w:eastAsia="仿宋" w:cs="仿宋"/>
          <w:b/>
          <w:bCs/>
          <w:sz w:val="32"/>
          <w:szCs w:val="32"/>
        </w:rPr>
        <w:t>三、工作保障措施</w:t>
      </w:r>
      <w:bookmarkEnd w:id="2"/>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工作保障措施 \f A \l 1 </w:instrTex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组织领导。建立统筹协调、分工协作、密切配合、合力推进的工作机制。成立由局主要领导同志任组长、各分管局领导任副组长、各股室主要负责人为组员的预算绩效工作领导小组，领导小组下设办公室，围绕年度总体绩效目标和分类绩效目标，细化工作方案，明确责任主体、实施进度要求，确保如期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狠抓工作落实。按照“谁花钱、谁负责、谁举证”的原则，明确各股室预算绩效管理职责。根据预算绩效领导小组指示，各股室配合领导小组办公室开展分管项目及内容的预算绩效管理具体工作，实现花钱必问效，确保财务与业务工作紧密衔接。各股室按规定对申请新增专项开展事前绩效评估，科学设定专项资金绩效目标、预算项目绩效目标，按要求积极开展预算绩效中期评估、终期绩效评价，根据评价结果进行整改，确保绩效目标顺利实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健全制度体系。围绕预算管理的主要内容和关键环节，建立事前评估、目标管理、运行监控、绩效评价、结果应用等全过程环节的预算绩效管理流程，出台专项资金管理细则，完善绩效指标框架体系，健全内部控制管理制度，确保专项资金使用科学、规范、高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强化预算管理。开展绩效运行监控管理，强化财政预算执行的刚性约束。进一步规范财政资金使用和管理，强化内部控制制度建设。督促有关股室切实加快执行进度，预算一经批复，尽快启动项目，加快履行政府采购手续，确保按照时间节点完成支出任务，及早发挥财政资金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完善评价机制。在预算绩效领导小组领导下，按照要求扎实开展绩效自评。制定评价工作方案，明确评价内容、责任处室、评价方法等。必要时，聘请第三方机构独立开展评价。对在绩效评价发现的问题，研究解决对策，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加强宣传培训。组织开展业务培训，提高本部门职工业务素质，强化预算绩效管理意识，掌握工作方法，提升管理能力。加大绩效预算宣传力度，利用多途径、多方式宣传绩效理念，营造良好的舆论氛围，促进预算绩效管理水平进一步提升。</w:t>
      </w:r>
    </w:p>
    <w:p>
      <w:pPr>
        <w:spacing w:line="500" w:lineRule="exact"/>
        <w:ind w:firstLine="640" w:firstLineChars="200"/>
        <w:jc w:val="left"/>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sz w:val="32"/>
          <w:szCs w:val="32"/>
        </w:rPr>
        <w:sectPr>
          <w:footerReference r:id="rId3"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sz w:val="52"/>
        </w:rPr>
      </w:pPr>
      <w:r>
        <w:rPr>
          <w:rFonts w:ascii="方正小标宋_GBK" w:eastAsia="方正小标宋_GBK"/>
          <w:sz w:val="52"/>
        </w:rPr>
        <w:t xml:space="preserve"> </w:t>
      </w:r>
    </w:p>
    <w:p>
      <w:pPr>
        <w:rPr>
          <w:rFonts w:ascii="Times New Roman" w:hAnsi="宋体" w:eastAsia="宋体"/>
          <w:sz w:val="52"/>
        </w:rPr>
      </w:pPr>
      <w:r>
        <w:rPr>
          <w:rFonts w:ascii="方正小标宋_GBK" w:eastAsia="方正小标宋_GBK"/>
          <w:sz w:val="52"/>
        </w:rPr>
        <w:t xml:space="preserve"> </w:t>
      </w:r>
    </w:p>
    <w:p>
      <w:pPr>
        <w:rPr>
          <w:rFonts w:ascii="Times New Roman" w:hAnsi="宋体" w:eastAsia="宋体"/>
          <w:sz w:val="52"/>
        </w:rPr>
      </w:pPr>
      <w:r>
        <w:rPr>
          <w:rFonts w:ascii="方正小标宋_GBK" w:eastAsia="方正小标宋_GBK"/>
          <w:sz w:val="52"/>
        </w:rPr>
        <w:t xml:space="preserve"> </w:t>
      </w:r>
    </w:p>
    <w:p>
      <w:pPr>
        <w:jc w:val="center"/>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第二部分</w:t>
      </w:r>
    </w:p>
    <w:p>
      <w:pPr>
        <w:jc w:val="center"/>
        <w:rPr>
          <w:rFonts w:ascii="Times New Roman" w:hAnsi="宋体" w:eastAsia="宋体"/>
          <w:sz w:val="44"/>
        </w:rPr>
      </w:pPr>
      <w:r>
        <w:rPr>
          <w:rFonts w:ascii="方正小标宋_GBK" w:eastAsia="方正小标宋_GBK"/>
          <w:sz w:val="44"/>
        </w:rPr>
        <w:t xml:space="preserve"> </w:t>
      </w:r>
    </w:p>
    <w:p>
      <w:pPr>
        <w:jc w:val="center"/>
        <w:outlineLvl w:val="0"/>
        <w:rPr>
          <w:rFonts w:hint="eastAsia" w:ascii="Times New Roman" w:hAnsi="宋体" w:eastAsia="宋体"/>
          <w:sz w:val="44"/>
        </w:rPr>
      </w:pPr>
      <w:r>
        <w:rPr>
          <w:rFonts w:hint="eastAsia" w:ascii="方正公文小标宋" w:hAnsi="方正公文小标宋" w:eastAsia="方正公文小标宋" w:cs="方正公文小标宋"/>
          <w:sz w:val="44"/>
        </w:rPr>
        <w:t>预算项目绩效目标</w:t>
      </w:r>
    </w:p>
    <w:p>
      <w:pPr>
        <w:jc w:val="center"/>
        <w:rPr>
          <w:rFonts w:ascii="Times New Roman" w:hAnsi="宋体" w:eastAsia="宋体"/>
        </w:rPr>
      </w:pPr>
      <w:r>
        <w:rPr>
          <w:rFonts w:ascii="方正书宋_GBK" w:eastAsia="方正书宋_GBK"/>
        </w:rPr>
        <w:t xml:space="preserve"> </w:t>
      </w:r>
    </w:p>
    <w:p>
      <w:pPr>
        <w:jc w:val="center"/>
        <w:sectPr>
          <w:pgSz w:w="11907" w:h="16839"/>
          <w:pgMar w:top="1984" w:right="1304" w:bottom="1134" w:left="1304" w:header="851" w:footer="992" w:gutter="0"/>
          <w:cols w:space="425" w:num="1"/>
          <w:docGrid w:type="lines" w:linePitch="312" w:charSpace="0"/>
        </w:sectPr>
      </w:pPr>
    </w:p>
    <w:p>
      <w:pPr>
        <w:jc w:val="center"/>
      </w:pPr>
    </w:p>
    <w:p>
      <w:pPr>
        <w:ind w:firstLine="562" w:firstLineChars="200"/>
        <w:jc w:val="left"/>
        <w:outlineLvl w:val="3"/>
        <w:rPr>
          <w:rFonts w:hint="eastAsia" w:ascii="仿宋" w:hAnsi="仿宋" w:eastAsia="仿宋" w:cs="仿宋"/>
          <w:b/>
          <w:sz w:val="28"/>
        </w:rPr>
      </w:pPr>
      <w:bookmarkStart w:id="3" w:name="_Toc66795925"/>
      <w:r>
        <w:rPr>
          <w:rFonts w:hint="eastAsia" w:ascii="仿宋" w:hAnsi="仿宋" w:eastAsia="仿宋" w:cs="仿宋"/>
          <w:b/>
          <w:sz w:val="28"/>
        </w:rPr>
        <w:t>1.政务管理经费绩效目标表</w:t>
      </w:r>
      <w:bookmarkEnd w:id="3"/>
      <w:r>
        <w:rPr>
          <w:rFonts w:hint="eastAsia" w:ascii="仿宋" w:hAnsi="仿宋" w:eastAsia="仿宋" w:cs="仿宋"/>
          <w:b/>
          <w:sz w:val="28"/>
        </w:rPr>
        <w:fldChar w:fldCharType="begin"/>
      </w:r>
      <w:r>
        <w:rPr>
          <w:rFonts w:hint="eastAsia" w:ascii="仿宋" w:hAnsi="仿宋" w:eastAsia="仿宋" w:cs="仿宋"/>
          <w:b/>
          <w:sz w:val="28"/>
        </w:rPr>
        <w:instrText xml:space="preserve"> TC 1、政务管理经费绩效目标表 \f C \l 1 </w:instrText>
      </w:r>
      <w:r>
        <w:rPr>
          <w:rFonts w:hint="eastAsia" w:ascii="仿宋" w:hAnsi="仿宋" w:eastAsia="仿宋" w:cs="仿宋"/>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 w:hAnsi="仿宋" w:eastAsia="仿宋" w:cs="仿宋"/>
                <w:b/>
              </w:rPr>
            </w:pPr>
            <w:r>
              <w:rPr>
                <w:rFonts w:hint="eastAsia" w:ascii="仿宋" w:hAnsi="仿宋" w:eastAsia="仿宋" w:cs="仿宋"/>
                <w:b/>
              </w:rPr>
              <w:t>304001工信局本级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 w:hAnsi="仿宋" w:eastAsia="仿宋" w:cs="仿宋"/>
              </w:rPr>
            </w:pPr>
            <w:r>
              <w:rPr>
                <w:rFonts w:hint="eastAsia" w:ascii="仿宋" w:hAnsi="仿宋" w:eastAsia="仿宋" w:cs="仿宋"/>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1306252172G4ISHGNBNBX</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4281" w:type="dxa"/>
            <w:gridSpan w:val="3"/>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政务管理经费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73700.00</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73700.00</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仿宋" w:hAnsi="仿宋" w:eastAsia="仿宋" w:cs="仿宋"/>
              </w:rPr>
            </w:pPr>
          </w:p>
        </w:tc>
        <w:tc>
          <w:tcPr>
            <w:tcW w:w="8278" w:type="dxa"/>
            <w:gridSpan w:val="6"/>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本项目的实施保障了我单位正常业务开展，提高工作任务完成率。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仿宋" w:hAnsi="仿宋" w:eastAsia="仿宋" w:cs="仿宋"/>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25.00%</w:t>
            </w:r>
          </w:p>
        </w:tc>
        <w:tc>
          <w:tcPr>
            <w:tcW w:w="1587"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50.00%</w:t>
            </w:r>
          </w:p>
        </w:tc>
        <w:tc>
          <w:tcPr>
            <w:tcW w:w="1304"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8" w:type="dxa"/>
            <w:gridSpan w:val="6"/>
            <w:tcBorders>
              <w:bottom w:val="nil"/>
            </w:tcBorders>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1.保障我单位机关工作正常运转。</w:t>
            </w:r>
          </w:p>
          <w:p>
            <w:pPr>
              <w:spacing w:line="300" w:lineRule="exact"/>
              <w:jc w:val="left"/>
              <w:rPr>
                <w:rFonts w:hint="eastAsia" w:ascii="仿宋" w:hAnsi="仿宋" w:eastAsia="仿宋" w:cs="仿宋"/>
              </w:rPr>
            </w:pPr>
            <w:r>
              <w:rPr>
                <w:rFonts w:hint="eastAsia" w:ascii="仿宋" w:hAnsi="仿宋" w:eastAsia="仿宋" w:cs="仿宋"/>
              </w:rPr>
              <w:t>2.保障我单位机关后勤正常运转。</w:t>
            </w:r>
          </w:p>
          <w:p>
            <w:pPr>
              <w:spacing w:line="300" w:lineRule="exact"/>
              <w:jc w:val="left"/>
              <w:rPr>
                <w:rFonts w:hint="eastAsia" w:ascii="仿宋" w:hAnsi="仿宋" w:eastAsia="仿宋" w:cs="仿宋"/>
              </w:rPr>
            </w:pPr>
            <w:r>
              <w:rPr>
                <w:rFonts w:hint="eastAsia" w:ascii="仿宋" w:hAnsi="仿宋" w:eastAsia="仿宋" w:cs="仿宋"/>
              </w:rPr>
              <w:t>3.保障我单位业务活动正常开展。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绩效评价次数</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按季度评价资金使用程度</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4次</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综合事务管理工作完成率</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各项综合事务工作任务完成情况</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≥95各项综合事务工作任务完成情况</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控制资金支出</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资金支出进度占预算全额的比例</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≥9595%</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预算执行率</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按照支出进度要求和预算构成执行</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≥9595%</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社会影响力</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有利于提高工作完成率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≥95工作任务完成率达到95%以上</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int="eastAsia" w:ascii="仿宋" w:hAnsi="仿宋" w:eastAsia="仿宋" w:cs="仿宋"/>
          <w:b/>
          <w:sz w:val="28"/>
        </w:rPr>
      </w:pPr>
      <w:bookmarkStart w:id="4" w:name="_Toc66795926"/>
      <w:r>
        <w:rPr>
          <w:rFonts w:hint="eastAsia" w:ascii="仿宋" w:hAnsi="仿宋" w:eastAsia="仿宋" w:cs="仿宋"/>
          <w:b/>
          <w:sz w:val="28"/>
        </w:rPr>
        <w:t>2.留守人员专项费用绩效目标表</w:t>
      </w:r>
      <w:bookmarkEnd w:id="4"/>
      <w:r>
        <w:rPr>
          <w:rFonts w:hint="eastAsia" w:ascii="仿宋" w:hAnsi="仿宋" w:eastAsia="仿宋" w:cs="仿宋"/>
          <w:b/>
          <w:sz w:val="28"/>
        </w:rPr>
        <w:fldChar w:fldCharType="begin"/>
      </w:r>
      <w:r>
        <w:rPr>
          <w:rFonts w:hint="eastAsia" w:ascii="仿宋" w:hAnsi="仿宋" w:eastAsia="仿宋" w:cs="仿宋"/>
          <w:b/>
          <w:sz w:val="28"/>
        </w:rPr>
        <w:instrText xml:space="preserve"> TC 2、留守人员专项费用绩效目标表 \f C \l 1 </w:instrText>
      </w:r>
      <w:r>
        <w:rPr>
          <w:rFonts w:hint="eastAsia" w:ascii="仿宋" w:hAnsi="仿宋" w:eastAsia="仿宋" w:cs="仿宋"/>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 w:hAnsi="仿宋" w:eastAsia="仿宋" w:cs="仿宋"/>
                <w:b/>
              </w:rPr>
            </w:pPr>
            <w:r>
              <w:rPr>
                <w:rFonts w:hint="eastAsia" w:ascii="仿宋" w:hAnsi="仿宋" w:eastAsia="仿宋" w:cs="仿宋"/>
                <w:b/>
              </w:rPr>
              <w:t>304001工信局本级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 w:hAnsi="仿宋" w:eastAsia="仿宋" w:cs="仿宋"/>
              </w:rPr>
            </w:pPr>
            <w:r>
              <w:rPr>
                <w:rFonts w:hint="eastAsia" w:ascii="仿宋" w:hAnsi="仿宋" w:eastAsia="仿宋" w:cs="仿宋"/>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13062521AP54AT3177Y7Z</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4281" w:type="dxa"/>
            <w:gridSpan w:val="3"/>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留守人员专项费用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56725.00</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56725.00</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仿宋" w:hAnsi="仿宋" w:eastAsia="仿宋" w:cs="仿宋"/>
              </w:rPr>
            </w:pPr>
          </w:p>
        </w:tc>
        <w:tc>
          <w:tcPr>
            <w:tcW w:w="8278" w:type="dxa"/>
            <w:gridSpan w:val="6"/>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为国企改制留守人员发放工资补助、缴纳各项保险。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仿宋" w:hAnsi="仿宋" w:eastAsia="仿宋" w:cs="仿宋"/>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25.00%</w:t>
            </w:r>
          </w:p>
        </w:tc>
        <w:tc>
          <w:tcPr>
            <w:tcW w:w="1587"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50.00%</w:t>
            </w:r>
          </w:p>
        </w:tc>
        <w:tc>
          <w:tcPr>
            <w:tcW w:w="1304"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8" w:type="dxa"/>
            <w:gridSpan w:val="6"/>
            <w:tcBorders>
              <w:bottom w:val="nil"/>
            </w:tcBorders>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1.按时间进度发放留守人员工资补助。</w:t>
            </w:r>
          </w:p>
          <w:p>
            <w:pPr>
              <w:spacing w:line="300" w:lineRule="exact"/>
              <w:jc w:val="left"/>
              <w:rPr>
                <w:rFonts w:hint="eastAsia" w:ascii="仿宋" w:hAnsi="仿宋" w:eastAsia="仿宋" w:cs="仿宋"/>
              </w:rPr>
            </w:pPr>
            <w:r>
              <w:rPr>
                <w:rFonts w:hint="eastAsia" w:ascii="仿宋" w:hAnsi="仿宋" w:eastAsia="仿宋" w:cs="仿宋"/>
              </w:rPr>
              <w:t>2.按时间进度为留守人员缴纳各项保险。</w:t>
            </w:r>
          </w:p>
          <w:p>
            <w:pPr>
              <w:spacing w:line="300" w:lineRule="exact"/>
              <w:jc w:val="left"/>
              <w:rPr>
                <w:rFonts w:hint="eastAsia" w:ascii="仿宋" w:hAnsi="仿宋" w:eastAsia="仿宋" w:cs="仿宋"/>
              </w:rPr>
            </w:pPr>
            <w:r>
              <w:rPr>
                <w:rFonts w:hint="eastAsia" w:ascii="仿宋" w:hAnsi="仿宋" w:eastAsia="仿宋" w:cs="仿宋"/>
              </w:rPr>
              <w:t>3.保障留守人员正常开展工作。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绩效评价次数</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按季度评价资金使用程度</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4次</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覆盖率</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项目资金支出相关人数占项目总人数的比重</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≥95覆盖率达到95%以上。</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及时率</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按照时间进度要求和计划完成项目进度</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按时间进度为留守人员缴纳各项保险、发放工资补助。</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预算执行率</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按照支出进度要求和预算构成执行</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≥9595%</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社会影响力</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有利于提高留守人员的工作任务完成率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≥9595%</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bl>
    <w:p>
      <w:pPr>
        <w:spacing w:line="300" w:lineRule="exact"/>
        <w:jc w:val="left"/>
        <w:rPr>
          <w:rFonts w:hint="eastAsia" w:ascii="仿宋" w:hAnsi="仿宋" w:eastAsia="仿宋" w:cs="仿宋"/>
        </w:rPr>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int="eastAsia" w:ascii="仿宋" w:hAnsi="仿宋" w:eastAsia="仿宋" w:cs="仿宋"/>
          <w:b/>
          <w:sz w:val="28"/>
        </w:rPr>
      </w:pPr>
      <w:bookmarkStart w:id="5" w:name="_Toc66795927"/>
      <w:r>
        <w:rPr>
          <w:rFonts w:hint="eastAsia" w:ascii="仿宋" w:hAnsi="仿宋" w:eastAsia="仿宋" w:cs="仿宋"/>
          <w:b/>
          <w:sz w:val="28"/>
        </w:rPr>
        <w:t>3.化工厂、饮食服务等专项费用绩效目标表</w:t>
      </w:r>
      <w:bookmarkEnd w:id="5"/>
      <w:r>
        <w:rPr>
          <w:rFonts w:hint="eastAsia" w:ascii="仿宋" w:hAnsi="仿宋" w:eastAsia="仿宋" w:cs="仿宋"/>
          <w:b/>
          <w:sz w:val="28"/>
        </w:rPr>
        <w:fldChar w:fldCharType="begin"/>
      </w:r>
      <w:r>
        <w:rPr>
          <w:rFonts w:hint="eastAsia" w:ascii="仿宋" w:hAnsi="仿宋" w:eastAsia="仿宋" w:cs="仿宋"/>
          <w:b/>
          <w:sz w:val="28"/>
        </w:rPr>
        <w:instrText xml:space="preserve"> TC 3、化工厂、饮食服务等专项费用绩效目标表 \f C \l 1 </w:instrText>
      </w:r>
      <w:r>
        <w:rPr>
          <w:rFonts w:hint="eastAsia" w:ascii="仿宋" w:hAnsi="仿宋" w:eastAsia="仿宋" w:cs="仿宋"/>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 w:hAnsi="仿宋" w:eastAsia="仿宋" w:cs="仿宋"/>
                <w:b/>
              </w:rPr>
            </w:pPr>
            <w:r>
              <w:rPr>
                <w:rFonts w:hint="eastAsia" w:ascii="仿宋" w:hAnsi="仿宋" w:eastAsia="仿宋" w:cs="仿宋"/>
                <w:b/>
              </w:rPr>
              <w:t>304001工信局本级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 w:hAnsi="仿宋" w:eastAsia="仿宋" w:cs="仿宋"/>
              </w:rPr>
            </w:pPr>
            <w:r>
              <w:rPr>
                <w:rFonts w:hint="eastAsia" w:ascii="仿宋" w:hAnsi="仿宋" w:eastAsia="仿宋" w:cs="仿宋"/>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项目编码</w:t>
            </w:r>
          </w:p>
        </w:tc>
        <w:tc>
          <w:tcPr>
            <w:tcW w:w="2410" w:type="dxa"/>
            <w:gridSpan w:val="2"/>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13062521KA8WHDON9SZAN</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项目名称</w:t>
            </w:r>
          </w:p>
        </w:tc>
        <w:tc>
          <w:tcPr>
            <w:tcW w:w="4281" w:type="dxa"/>
            <w:gridSpan w:val="3"/>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化工厂、饮食服务等专项费用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预算规模及资金用途</w:t>
            </w:r>
          </w:p>
        </w:tc>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预算数</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154318.00</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其中：财政资金</w:t>
            </w:r>
          </w:p>
        </w:tc>
        <w:tc>
          <w:tcPr>
            <w:tcW w:w="130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154318.00</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其他资金</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hint="eastAsia" w:ascii="仿宋" w:hAnsi="仿宋" w:eastAsia="仿宋" w:cs="仿宋"/>
              </w:rPr>
            </w:pPr>
          </w:p>
        </w:tc>
        <w:tc>
          <w:tcPr>
            <w:tcW w:w="8278" w:type="dxa"/>
            <w:gridSpan w:val="6"/>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为原化工厂固定工缴纳养老保险、医疗保险，发放原饮食服务公司职工生活补助。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资金支出计划（%）</w:t>
            </w:r>
          </w:p>
        </w:tc>
        <w:tc>
          <w:tcPr>
            <w:tcW w:w="2410"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3月底</w:t>
            </w:r>
          </w:p>
        </w:tc>
        <w:tc>
          <w:tcPr>
            <w:tcW w:w="1587"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6月底</w:t>
            </w:r>
          </w:p>
        </w:tc>
        <w:tc>
          <w:tcPr>
            <w:tcW w:w="130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10月底</w:t>
            </w:r>
          </w:p>
        </w:tc>
        <w:tc>
          <w:tcPr>
            <w:tcW w:w="2977" w:type="dxa"/>
            <w:gridSpan w:val="2"/>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hint="eastAsia" w:ascii="仿宋" w:hAnsi="仿宋" w:eastAsia="仿宋" w:cs="仿宋"/>
              </w:rPr>
            </w:pPr>
          </w:p>
        </w:tc>
        <w:tc>
          <w:tcPr>
            <w:tcW w:w="2410"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25.00%</w:t>
            </w:r>
          </w:p>
        </w:tc>
        <w:tc>
          <w:tcPr>
            <w:tcW w:w="1587"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50.00%</w:t>
            </w:r>
          </w:p>
        </w:tc>
        <w:tc>
          <w:tcPr>
            <w:tcW w:w="1304" w:type="dxa"/>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75.00%</w:t>
            </w:r>
          </w:p>
        </w:tc>
        <w:tc>
          <w:tcPr>
            <w:tcW w:w="2977" w:type="dxa"/>
            <w:gridSpan w:val="2"/>
            <w:tcBorders>
              <w:bottom w:val="single" w:color="000000" w:sz="6" w:space="0"/>
            </w:tcBorders>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8278" w:type="dxa"/>
            <w:gridSpan w:val="6"/>
            <w:tcBorders>
              <w:bottom w:val="nil"/>
            </w:tcBorders>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1.按时间进度为原化工厂固定工缴纳养老保险。</w:t>
            </w:r>
          </w:p>
          <w:p>
            <w:pPr>
              <w:spacing w:line="300" w:lineRule="exact"/>
              <w:jc w:val="left"/>
              <w:rPr>
                <w:rFonts w:hint="eastAsia" w:ascii="仿宋" w:hAnsi="仿宋" w:eastAsia="仿宋" w:cs="仿宋"/>
              </w:rPr>
            </w:pPr>
            <w:r>
              <w:rPr>
                <w:rFonts w:hint="eastAsia" w:ascii="仿宋" w:hAnsi="仿宋" w:eastAsia="仿宋" w:cs="仿宋"/>
              </w:rPr>
              <w:t>2.按时间进度为原化工厂固定工缴纳医疗保险。</w:t>
            </w:r>
          </w:p>
          <w:p>
            <w:pPr>
              <w:spacing w:line="300" w:lineRule="exact"/>
              <w:jc w:val="left"/>
              <w:rPr>
                <w:rFonts w:hint="eastAsia" w:ascii="仿宋" w:hAnsi="仿宋" w:eastAsia="仿宋" w:cs="仿宋"/>
              </w:rPr>
            </w:pPr>
            <w:r>
              <w:rPr>
                <w:rFonts w:hint="eastAsia" w:ascii="仿宋" w:hAnsi="仿宋" w:eastAsia="仿宋" w:cs="仿宋"/>
              </w:rPr>
              <w:t>3.发放原饮食服务公司下岗职工生活补助。</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1701" w:type="dxa"/>
            <w:shd w:val="clear" w:color="auto" w:fill="auto"/>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绩效评价次数</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按季度评价资金使用程度</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4次</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覆盖率</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项目资金支出相关人数占项目总人数的比重</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≥95覆盖率达到95%以上。</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及时率</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按照时间进度要求和计划完成项目进度</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按时间进度为化肥厂缴纳养老、医疗保险</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仿宋" w:hAnsi="仿宋" w:eastAsia="仿宋" w:cs="仿宋"/>
              </w:rPr>
            </w:pP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预算执行率</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按照支出进度要求和预算构成执行</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≥9595%</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社会影响力</w:t>
            </w:r>
          </w:p>
        </w:tc>
        <w:tc>
          <w:tcPr>
            <w:tcW w:w="289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有利于提高留守人员的工作任务完成率</w:t>
            </w:r>
          </w:p>
        </w:tc>
        <w:tc>
          <w:tcPr>
            <w:tcW w:w="1276"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≥9595%</w:t>
            </w:r>
          </w:p>
        </w:tc>
        <w:tc>
          <w:tcPr>
            <w:tcW w:w="1701" w:type="dxa"/>
            <w:shd w:val="clear" w:color="auto" w:fill="auto"/>
            <w:vAlign w:val="center"/>
          </w:tcPr>
          <w:p>
            <w:pPr>
              <w:spacing w:line="300" w:lineRule="exact"/>
              <w:jc w:val="left"/>
              <w:rPr>
                <w:rFonts w:hint="eastAsia" w:ascii="仿宋" w:hAnsi="仿宋" w:eastAsia="仿宋" w:cs="仿宋"/>
              </w:rPr>
            </w:pPr>
            <w:r>
              <w:rPr>
                <w:rFonts w:hint="eastAsia" w:ascii="仿宋" w:hAnsi="仿宋" w:eastAsia="仿宋" w:cs="仿宋"/>
              </w:rPr>
              <w:t>依据工作要求</w:t>
            </w:r>
          </w:p>
        </w:tc>
      </w:tr>
    </w:tbl>
    <w:p>
      <w:pPr>
        <w:spacing w:line="300" w:lineRule="exact"/>
        <w:jc w:val="left"/>
        <w:rPr>
          <w:rFonts w:hint="eastAsia" w:ascii="仿宋" w:hAnsi="仿宋" w:eastAsia="仿宋" w:cs="仿宋"/>
        </w:rPr>
        <w:sectPr>
          <w:pgSz w:w="11907" w:h="16839"/>
          <w:pgMar w:top="1984" w:right="1304" w:bottom="1134" w:left="1304" w:header="851" w:footer="992" w:gutter="0"/>
          <w:cols w:space="425" w:num="1"/>
          <w:docGrid w:type="lines" w:linePitch="312" w:charSpace="0"/>
        </w:sectPr>
      </w:pPr>
    </w:p>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r>
        <w:rPr>
          <w:rFonts w:hint="eastAsia" w:ascii="仿宋" w:hAnsi="仿宋" w:eastAsia="仿宋"/>
          <w:sz w:val="32"/>
          <w:szCs w:val="32"/>
          <w:lang w:eastAsia="zh-CN"/>
        </w:rPr>
        <w:t>。附部门政府采购预算表空表</w:t>
      </w:r>
      <w:r>
        <w:rPr>
          <w:rFonts w:ascii="仿宋" w:hAnsi="仿宋" w:eastAsia="仿宋"/>
          <w:sz w:val="32"/>
          <w:szCs w:val="32"/>
        </w:rPr>
        <w:t>。</w:t>
      </w: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6" w:name="_Toc31276003"/>
      <w:r>
        <w:rPr>
          <w:rFonts w:ascii="方正小标宋_GBK" w:eastAsia="方正小标宋_GBK"/>
          <w:sz w:val="32"/>
        </w:rPr>
        <w:instrText xml:space="preserve">部门政府采购预算</w:instrText>
      </w:r>
      <w:bookmarkEnd w:id="6"/>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保定市徐水区工业和信息化</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pPr>
    </w:p>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上年末我部门固定资产总金额为139.95万元（详见下表）。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139.95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405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39.24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80.71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hint="eastAsia" w:ascii="方正公文小标宋" w:hAnsi="方正公文小标宋" w:eastAsia="方正公文小标宋" w:cs="方正公文小标宋"/>
          <w:sz w:val="44"/>
        </w:rPr>
      </w:pPr>
      <w:r>
        <w:rPr>
          <w:rFonts w:hint="eastAsia" w:ascii="方正公文小标宋" w:hAnsi="方正公文小标宋" w:eastAsia="方正公文小标宋" w:cs="方正公文小标宋"/>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3B8A"/>
    <w:rsid w:val="00044FBC"/>
    <w:rsid w:val="00055F1F"/>
    <w:rsid w:val="000577EF"/>
    <w:rsid w:val="00057F18"/>
    <w:rsid w:val="000A12F0"/>
    <w:rsid w:val="000A445D"/>
    <w:rsid w:val="000B53AA"/>
    <w:rsid w:val="000C178B"/>
    <w:rsid w:val="00131DEC"/>
    <w:rsid w:val="0013498D"/>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75B36"/>
    <w:rsid w:val="00395C5E"/>
    <w:rsid w:val="003A06D2"/>
    <w:rsid w:val="003A4557"/>
    <w:rsid w:val="003A6366"/>
    <w:rsid w:val="003A7578"/>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964B7"/>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4C54"/>
    <w:rsid w:val="006A6FA2"/>
    <w:rsid w:val="006B5117"/>
    <w:rsid w:val="006B582E"/>
    <w:rsid w:val="006C62DF"/>
    <w:rsid w:val="006F5104"/>
    <w:rsid w:val="006F6549"/>
    <w:rsid w:val="00735B02"/>
    <w:rsid w:val="007657C8"/>
    <w:rsid w:val="00767A77"/>
    <w:rsid w:val="00771E49"/>
    <w:rsid w:val="00782208"/>
    <w:rsid w:val="00791938"/>
    <w:rsid w:val="007A5999"/>
    <w:rsid w:val="007C7FD7"/>
    <w:rsid w:val="007E3893"/>
    <w:rsid w:val="007F3746"/>
    <w:rsid w:val="00833132"/>
    <w:rsid w:val="00845C67"/>
    <w:rsid w:val="0086454E"/>
    <w:rsid w:val="008672EA"/>
    <w:rsid w:val="00891680"/>
    <w:rsid w:val="008A0099"/>
    <w:rsid w:val="008A0B5F"/>
    <w:rsid w:val="008B5402"/>
    <w:rsid w:val="008B6514"/>
    <w:rsid w:val="008D11BC"/>
    <w:rsid w:val="0090527E"/>
    <w:rsid w:val="00905BB7"/>
    <w:rsid w:val="0090620C"/>
    <w:rsid w:val="00912DA4"/>
    <w:rsid w:val="00927C97"/>
    <w:rsid w:val="009302B8"/>
    <w:rsid w:val="009305C6"/>
    <w:rsid w:val="009752AE"/>
    <w:rsid w:val="00982F3D"/>
    <w:rsid w:val="00983232"/>
    <w:rsid w:val="009A278A"/>
    <w:rsid w:val="009B6368"/>
    <w:rsid w:val="009F63C4"/>
    <w:rsid w:val="00A0764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45C49"/>
    <w:rsid w:val="00C50535"/>
    <w:rsid w:val="00C6153C"/>
    <w:rsid w:val="00C906EF"/>
    <w:rsid w:val="00C97CCD"/>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29B3"/>
    <w:rsid w:val="00FB2F32"/>
    <w:rsid w:val="00FC3191"/>
    <w:rsid w:val="00FD4B5A"/>
    <w:rsid w:val="00FE0F1F"/>
    <w:rsid w:val="00FF61F3"/>
    <w:rsid w:val="05C34028"/>
    <w:rsid w:val="1B6A6B2E"/>
    <w:rsid w:val="25415473"/>
    <w:rsid w:val="26A222EA"/>
    <w:rsid w:val="2D371682"/>
    <w:rsid w:val="460C3ED6"/>
    <w:rsid w:val="5CE80637"/>
    <w:rsid w:val="5D524835"/>
    <w:rsid w:val="7BE60BD3"/>
    <w:rsid w:val="7C8E1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character" w:customStyle="1" w:styleId="11">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65851-67FF-4587-A789-FF5FACBDCE87}">
  <ds:schemaRefs/>
</ds:datastoreItem>
</file>

<file path=docProps/app.xml><?xml version="1.0" encoding="utf-8"?>
<Properties xmlns="http://schemas.openxmlformats.org/officeDocument/2006/extended-properties" xmlns:vt="http://schemas.openxmlformats.org/officeDocument/2006/docPropsVTypes">
  <Template>Normal</Template>
  <Pages>17</Pages>
  <Words>1274</Words>
  <Characters>7262</Characters>
  <Lines>60</Lines>
  <Paragraphs>17</Paragraphs>
  <TotalTime>732</TotalTime>
  <ScaleCrop>false</ScaleCrop>
  <LinksUpToDate>false</LinksUpToDate>
  <CharactersWithSpaces>8519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2024-01-12T01:31:10Z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DE8EC9BD3FF645FCBC568D5247BE3F65</vt:lpwstr>
  </property>
</Properties>
</file>