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仿宋_GB2312" w:hAnsi="宋体" w:cs="宋体"/>
          <w:color w:val="000000"/>
          <w:sz w:val="32"/>
          <w:szCs w:val="32"/>
        </w:rPr>
      </w:pPr>
    </w:p>
    <w:p>
      <w:pPr>
        <w:spacing w:line="360" w:lineRule="auto"/>
        <w:jc w:val="center"/>
        <w:rPr>
          <w:rFonts w:hint="eastAsia" w:ascii="黑体" w:hAnsi="黑体" w:eastAsia="黑体" w:cs="黑体"/>
          <w:b/>
          <w:bCs w:val="0"/>
          <w:sz w:val="48"/>
          <w:szCs w:val="48"/>
          <w:lang w:eastAsia="zh-CN"/>
        </w:rPr>
      </w:pPr>
      <w:r>
        <w:rPr>
          <w:rFonts w:hint="eastAsia" w:ascii="黑体" w:hAnsi="黑体" w:eastAsia="黑体" w:cs="黑体"/>
          <w:b/>
          <w:bCs w:val="0"/>
          <w:sz w:val="48"/>
          <w:szCs w:val="48"/>
        </w:rPr>
        <w:t>保定市徐水区</w:t>
      </w:r>
      <w:r>
        <w:rPr>
          <w:rFonts w:hint="eastAsia" w:ascii="黑体" w:hAnsi="黑体" w:eastAsia="黑体" w:cs="黑体"/>
          <w:b/>
          <w:bCs w:val="0"/>
          <w:sz w:val="48"/>
          <w:szCs w:val="48"/>
          <w:lang w:eastAsia="zh-CN"/>
        </w:rPr>
        <w:t>城市管理综合行政执法局</w:t>
      </w:r>
    </w:p>
    <w:p>
      <w:pPr>
        <w:spacing w:line="360" w:lineRule="auto"/>
        <w:jc w:val="center"/>
        <w:rPr>
          <w:rFonts w:hint="eastAsia" w:ascii="黑体" w:hAnsi="黑体" w:eastAsia="黑体" w:cs="黑体"/>
          <w:b/>
          <w:bCs w:val="0"/>
          <w:sz w:val="48"/>
          <w:szCs w:val="48"/>
        </w:rPr>
      </w:pPr>
      <w:r>
        <w:rPr>
          <w:rFonts w:hint="eastAsia" w:ascii="黑体" w:hAnsi="黑体" w:eastAsia="黑体" w:cs="黑体"/>
          <w:b/>
          <w:bCs w:val="0"/>
          <w:sz w:val="48"/>
          <w:szCs w:val="48"/>
        </w:rPr>
        <w:t>202</w:t>
      </w:r>
      <w:r>
        <w:rPr>
          <w:rFonts w:hint="eastAsia" w:ascii="黑体" w:hAnsi="黑体" w:eastAsia="黑体" w:cs="黑体"/>
          <w:b/>
          <w:bCs w:val="0"/>
          <w:sz w:val="48"/>
          <w:szCs w:val="48"/>
          <w:lang w:val="en-US"/>
        </w:rPr>
        <w:t>2</w:t>
      </w:r>
      <w:r>
        <w:rPr>
          <w:rFonts w:hint="eastAsia" w:ascii="黑体" w:hAnsi="黑体" w:eastAsia="黑体" w:cs="黑体"/>
          <w:b/>
          <w:bCs w:val="0"/>
          <w:sz w:val="48"/>
          <w:szCs w:val="48"/>
        </w:rPr>
        <w:t>年</w:t>
      </w:r>
      <w:r>
        <w:rPr>
          <w:rFonts w:hint="eastAsia" w:ascii="黑体" w:hAnsi="黑体" w:eastAsia="黑体" w:cs="黑体"/>
          <w:b/>
          <w:bCs w:val="0"/>
          <w:sz w:val="48"/>
          <w:szCs w:val="48"/>
          <w:lang w:eastAsia="zh-CN"/>
        </w:rPr>
        <w:t>单位</w:t>
      </w:r>
      <w:r>
        <w:rPr>
          <w:rFonts w:hint="eastAsia" w:ascii="黑体" w:hAnsi="黑体" w:eastAsia="黑体" w:cs="黑体"/>
          <w:b/>
          <w:bCs w:val="0"/>
          <w:sz w:val="48"/>
          <w:szCs w:val="48"/>
        </w:rPr>
        <w:t>预算公开说明</w:t>
      </w:r>
      <w:bookmarkStart w:id="4" w:name="_GoBack"/>
      <w:bookmarkEnd w:id="4"/>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val="en-US" w:eastAsia="zh-CN"/>
        </w:rPr>
        <w:t>中华人民共和国</w:t>
      </w:r>
      <w:r>
        <w:rPr>
          <w:rFonts w:hint="eastAsia" w:ascii="Times New Roman" w:hAnsi="Times New Roman" w:eastAsia="方正仿宋_GBK" w:cs="Times New Roman"/>
          <w:color w:val="000000"/>
          <w:sz w:val="28"/>
        </w:rPr>
        <w:t>预算法》、《地方预决算公开操作规程》等文件规定，现将我</w:t>
      </w:r>
      <w:r>
        <w:rPr>
          <w:rFonts w:hint="eastAsia" w:ascii="Times New Roman" w:hAnsi="Times New Roman" w:eastAsia="方正仿宋_GBK" w:cs="Times New Roman"/>
          <w:color w:val="000000"/>
          <w:sz w:val="28"/>
          <w:lang w:eastAsia="zh-CN"/>
        </w:rPr>
        <w:t>单位</w:t>
      </w:r>
      <w:r>
        <w:rPr>
          <w:rFonts w:hint="eastAsia" w:ascii="Times New Roman" w:hAnsi="Times New Roman" w:eastAsia="方正仿宋_GBK" w:cs="Times New Roman"/>
          <w:color w:val="000000"/>
          <w:sz w:val="28"/>
        </w:rPr>
        <w:t>预算信息公开如下：</w:t>
      </w:r>
    </w:p>
    <w:p>
      <w:pPr>
        <w:jc w:val="center"/>
        <w:outlineLvl w:val="0"/>
        <w:rPr>
          <w:rFonts w:ascii="方正小标宋_GBK" w:eastAsia="方正小标宋_GBK"/>
          <w:sz w:val="44"/>
          <w:szCs w:val="44"/>
        </w:rPr>
      </w:pPr>
      <w:r>
        <w:rPr>
          <w:rFonts w:hint="eastAsia" w:ascii="方正小标宋_GBK" w:eastAsia="方正小标宋_GBK"/>
          <w:sz w:val="44"/>
          <w:szCs w:val="44"/>
        </w:rPr>
        <w:t>第一部分</w:t>
      </w:r>
      <w:r>
        <w:rPr>
          <w:rFonts w:ascii="方正小标宋_GBK" w:eastAsia="方正小标宋_GBK"/>
          <w:sz w:val="44"/>
          <w:szCs w:val="44"/>
        </w:rPr>
        <w:t>:</w:t>
      </w:r>
      <w:r>
        <w:rPr>
          <w:rFonts w:hint="eastAsia" w:ascii="方正小标宋_GBK" w:eastAsia="方正小标宋_GBK"/>
          <w:sz w:val="44"/>
          <w:szCs w:val="44"/>
          <w:lang w:eastAsia="zh-CN"/>
        </w:rPr>
        <w:t>单位</w:t>
      </w:r>
      <w:r>
        <w:rPr>
          <w:rFonts w:ascii="方正小标宋_GBK" w:eastAsia="方正小标宋_GBK"/>
          <w:sz w:val="44"/>
          <w:szCs w:val="44"/>
        </w:rPr>
        <w:t>职责及机构设置情况</w:t>
      </w:r>
    </w:p>
    <w:p>
      <w:pPr>
        <w:numPr>
          <w:ilvl w:val="0"/>
          <w:numId w:val="0"/>
        </w:numPr>
        <w:spacing w:line="360" w:lineRule="auto"/>
        <w:rPr>
          <w:rFonts w:hint="eastAsia" w:ascii="仿宋" w:hAnsi="仿宋" w:eastAsia="仿宋"/>
          <w:b/>
          <w:sz w:val="32"/>
          <w:szCs w:val="32"/>
        </w:rPr>
      </w:pPr>
    </w:p>
    <w:p>
      <w:pPr>
        <w:numPr>
          <w:ilvl w:val="0"/>
          <w:numId w:val="1"/>
        </w:numPr>
        <w:spacing w:line="360" w:lineRule="auto"/>
        <w:ind w:firstLine="643" w:firstLineChars="200"/>
        <w:rPr>
          <w:rFonts w:hint="eastAsia" w:ascii="仿宋" w:hAnsi="仿宋" w:eastAsia="仿宋"/>
          <w:b/>
          <w:sz w:val="32"/>
          <w:szCs w:val="32"/>
        </w:rPr>
      </w:pPr>
      <w:r>
        <w:rPr>
          <w:rFonts w:hint="eastAsia" w:ascii="仿宋" w:hAnsi="仿宋" w:eastAsia="仿宋"/>
          <w:b/>
          <w:sz w:val="32"/>
          <w:szCs w:val="32"/>
          <w:lang w:eastAsia="zh-CN"/>
        </w:rPr>
        <w:t>单位</w:t>
      </w:r>
      <w:r>
        <w:rPr>
          <w:rFonts w:hint="eastAsia" w:ascii="仿宋" w:hAnsi="仿宋" w:eastAsia="仿宋"/>
          <w:b/>
          <w:sz w:val="32"/>
          <w:szCs w:val="32"/>
        </w:rPr>
        <w:t>职责</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根据《保定市徐水区城市管理综合行政执法局职能配置、内设机构和人员编制规定》，保定市徐水区城市管理综合行政执法局的主要职责是：</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（一）宣传贯彻国家和省、市有关城市管理的政策和法规；拟订和实施城市管理有关规定。</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（二）负责全区城市管理工作的业务指导、组织协调、监督检查和考核评价。</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（三）拟订和实施城市管理长期规划和年度计划，推进数字城管智慧化。</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（四）负责城市道路、桥梁、照明、供水、排水、燃气、供热、污水和垃圾处理等市政公用设施运行管理、乡村道路的建设和维护、城市容貌和环境卫生管理、城市园林绿化管理等方面的全部工作。</w:t>
      </w:r>
    </w:p>
    <w:p>
      <w:pPr>
        <w:pStyle w:val="10"/>
        <w:rPr>
          <w:rFonts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（五）负责城市公共空间秩序管理方面的户外广告设置，门头牌匾外立面装修、“街道家具”管理工作。</w:t>
      </w:r>
    </w:p>
    <w:p>
      <w:pPr>
        <w:pStyle w:val="10"/>
        <w:rPr>
          <w:rFonts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（六）负责城市交通管理方面的便道（人行道）、广场（游园）车辆停放管理工作。</w:t>
      </w:r>
    </w:p>
    <w:p>
      <w:pPr>
        <w:pStyle w:val="10"/>
        <w:rPr>
          <w:rFonts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（七）负责城市环境保护管理方面的道路扬尘、露天烧烤整治工作。</w:t>
      </w:r>
    </w:p>
    <w:p>
      <w:pPr>
        <w:pStyle w:val="10"/>
        <w:rPr>
          <w:rFonts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（八）负责城市应急管理等方面的道路清融雪以及城市道路、桥梁、照明应急保障，供水、燃气、污水处理应急工作的指导工作。</w:t>
      </w:r>
    </w:p>
    <w:p>
      <w:pPr>
        <w:pStyle w:val="10"/>
        <w:rPr>
          <w:rFonts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（九）集中行使“与群众生产生活密切相关、执法频率高、多头执法扰民问题突出、专业技术要求适宜、与城市管理密切相关”的行政处罚权。</w:t>
      </w:r>
    </w:p>
    <w:p>
      <w:pPr>
        <w:numPr>
          <w:ilvl w:val="0"/>
          <w:numId w:val="0"/>
        </w:numPr>
        <w:spacing w:line="360" w:lineRule="auto"/>
        <w:ind w:firstLine="560" w:firstLineChars="200"/>
        <w:rPr>
          <w:rFonts w:hint="eastAsia"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（十）承办市、区人民政府决定调整的城市管理领域的其他职责。</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方正书宋_GBK" w:hAnsi="方正书宋_GBK" w:eastAsia="方正书宋_GBK" w:cs="方正书宋_GBK"/>
                <w:kern w:val="2"/>
                <w:sz w:val="21"/>
                <w:szCs w:val="22"/>
                <w:lang w:val="en-US" w:eastAsia="zh-CN" w:bidi="ar-SA"/>
              </w:rPr>
            </w:pPr>
            <w:r>
              <w:rPr>
                <w:rFonts w:hint="eastAsia" w:ascii="方正书宋_GBK" w:hAnsi="方正书宋_GBK" w:eastAsia="方正书宋_GBK" w:cs="方正书宋_GBK"/>
                <w:kern w:val="2"/>
                <w:sz w:val="21"/>
                <w:szCs w:val="22"/>
                <w:lang w:val="en-US" w:eastAsia="zh-CN" w:bidi="ar-SA"/>
              </w:rPr>
              <w:t>序号</w:t>
            </w:r>
          </w:p>
        </w:tc>
        <w:tc>
          <w:tcPr>
            <w:tcW w:w="2692" w:type="dxa"/>
            <w:tcBorders>
              <w:bottom w:val="single" w:color="000000" w:sz="6" w:space="0"/>
            </w:tcBorders>
            <w:vAlign w:val="center"/>
          </w:tcPr>
          <w:p>
            <w:pPr>
              <w:widowControl/>
              <w:jc w:val="center"/>
              <w:rPr>
                <w:rFonts w:ascii="方正书宋_GBK" w:hAnsi="方正书宋_GBK" w:eastAsia="方正书宋_GBK" w:cs="方正书宋_GBK"/>
                <w:kern w:val="2"/>
                <w:sz w:val="21"/>
                <w:szCs w:val="22"/>
                <w:lang w:val="en-US" w:eastAsia="zh-CN" w:bidi="ar-SA"/>
              </w:rPr>
            </w:pPr>
            <w:r>
              <w:rPr>
                <w:rFonts w:hint="eastAsia" w:ascii="方正书宋_GBK" w:hAnsi="方正书宋_GBK" w:eastAsia="方正书宋_GBK" w:cs="方正书宋_GBK"/>
                <w:kern w:val="2"/>
                <w:sz w:val="21"/>
                <w:szCs w:val="22"/>
                <w:lang w:val="en-US" w:eastAsia="zh-CN" w:bidi="ar-SA"/>
              </w:rPr>
              <w:t>单位名称</w:t>
            </w:r>
          </w:p>
        </w:tc>
        <w:tc>
          <w:tcPr>
            <w:tcW w:w="1701" w:type="dxa"/>
            <w:tcBorders>
              <w:bottom w:val="single" w:color="000000" w:sz="6" w:space="0"/>
            </w:tcBorders>
            <w:vAlign w:val="center"/>
          </w:tcPr>
          <w:p>
            <w:pPr>
              <w:widowControl/>
              <w:jc w:val="center"/>
              <w:rPr>
                <w:rFonts w:ascii="方正书宋_GBK" w:hAnsi="方正书宋_GBK" w:eastAsia="方正书宋_GBK" w:cs="方正书宋_GBK"/>
                <w:kern w:val="2"/>
                <w:sz w:val="21"/>
                <w:szCs w:val="22"/>
                <w:lang w:val="en-US" w:eastAsia="zh-CN" w:bidi="ar-SA"/>
              </w:rPr>
            </w:pPr>
            <w:r>
              <w:rPr>
                <w:rFonts w:hint="eastAsia" w:ascii="方正书宋_GBK" w:hAnsi="方正书宋_GBK" w:eastAsia="方正书宋_GBK" w:cs="方正书宋_GBK"/>
                <w:kern w:val="2"/>
                <w:sz w:val="21"/>
                <w:szCs w:val="22"/>
                <w:lang w:val="en-US" w:eastAsia="zh-CN" w:bidi="ar-SA"/>
              </w:rPr>
              <w:t>单位性质</w:t>
            </w:r>
          </w:p>
        </w:tc>
        <w:tc>
          <w:tcPr>
            <w:tcW w:w="1418" w:type="dxa"/>
            <w:tcBorders>
              <w:bottom w:val="single" w:color="000000" w:sz="6" w:space="0"/>
            </w:tcBorders>
            <w:vAlign w:val="center"/>
          </w:tcPr>
          <w:p>
            <w:pPr>
              <w:widowControl/>
              <w:jc w:val="center"/>
              <w:rPr>
                <w:rFonts w:ascii="方正书宋_GBK" w:hAnsi="方正书宋_GBK" w:eastAsia="方正书宋_GBK" w:cs="方正书宋_GBK"/>
                <w:kern w:val="2"/>
                <w:sz w:val="21"/>
                <w:szCs w:val="22"/>
                <w:lang w:val="en-US" w:eastAsia="zh-CN" w:bidi="ar-SA"/>
              </w:rPr>
            </w:pPr>
            <w:r>
              <w:rPr>
                <w:rFonts w:hint="eastAsia" w:ascii="方正书宋_GBK" w:hAnsi="方正书宋_GBK" w:eastAsia="方正书宋_GBK" w:cs="方正书宋_GBK"/>
                <w:kern w:val="2"/>
                <w:sz w:val="21"/>
                <w:szCs w:val="22"/>
                <w:lang w:val="en-US" w:eastAsia="zh-CN" w:bidi="ar-SA"/>
              </w:rPr>
              <w:t>单位规格</w:t>
            </w:r>
          </w:p>
        </w:tc>
        <w:tc>
          <w:tcPr>
            <w:tcW w:w="3260" w:type="dxa"/>
            <w:tcBorders>
              <w:bottom w:val="single" w:color="000000" w:sz="6" w:space="0"/>
            </w:tcBorders>
            <w:vAlign w:val="center"/>
          </w:tcPr>
          <w:p>
            <w:pPr>
              <w:widowControl/>
              <w:jc w:val="center"/>
              <w:rPr>
                <w:rFonts w:ascii="方正书宋_GBK" w:hAnsi="方正书宋_GBK" w:eastAsia="方正书宋_GBK" w:cs="方正书宋_GBK"/>
                <w:kern w:val="2"/>
                <w:sz w:val="21"/>
                <w:szCs w:val="22"/>
                <w:lang w:val="en-US" w:eastAsia="zh-CN" w:bidi="ar-SA"/>
              </w:rPr>
            </w:pPr>
            <w:r>
              <w:rPr>
                <w:rFonts w:hint="eastAsia" w:ascii="方正书宋_GBK" w:hAnsi="方正书宋_GBK" w:eastAsia="方正书宋_GBK" w:cs="方正书宋_GBK"/>
                <w:kern w:val="2"/>
                <w:sz w:val="21"/>
                <w:szCs w:val="22"/>
                <w:lang w:val="en-US" w:eastAsia="zh-CN" w:bidi="ar-S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hint="default" w:ascii="仿宋_GB2312" w:hAnsi="仿宋" w:eastAsia="仿宋_GB2312"/>
                <w:bCs/>
                <w:sz w:val="24"/>
                <w:szCs w:val="24"/>
                <w:lang w:val="en-US"/>
              </w:rPr>
            </w:pPr>
            <w:r>
              <w:rPr>
                <w:rFonts w:hint="default" w:ascii="仿宋_GB2312" w:hAnsi="仿宋" w:eastAsia="仿宋_GB2312"/>
                <w:bCs/>
                <w:sz w:val="24"/>
                <w:szCs w:val="24"/>
                <w:lang w:val="en-US"/>
              </w:rPr>
              <w:t>1</w:t>
            </w:r>
          </w:p>
        </w:tc>
        <w:tc>
          <w:tcPr>
            <w:tcW w:w="2692" w:type="dxa"/>
            <w:tcBorders>
              <w:top w:val="single" w:color="auto" w:sz="4" w:space="0"/>
              <w:bottom w:val="single" w:color="auto" w:sz="4" w:space="0"/>
            </w:tcBorders>
            <w:vAlign w:val="center"/>
          </w:tcPr>
          <w:p>
            <w:pPr>
              <w:pStyle w:val="11"/>
              <w:ind w:firstLine="0" w:firstLineChars="0"/>
              <w:rPr>
                <w:rFonts w:ascii="仿宋_GB2312" w:hAnsi="仿宋" w:eastAsia="仿宋_GB2312"/>
                <w:bCs/>
                <w:sz w:val="24"/>
                <w:szCs w:val="24"/>
              </w:rPr>
            </w:pPr>
            <w:r>
              <w:t>保定市徐水区城市管理综合行政执法局（事业）</w:t>
            </w:r>
          </w:p>
        </w:tc>
        <w:tc>
          <w:tcPr>
            <w:tcW w:w="1701" w:type="dxa"/>
            <w:vAlign w:val="center"/>
          </w:tcPr>
          <w:p>
            <w:pPr>
              <w:pStyle w:val="12"/>
              <w:ind w:firstLine="0" w:firstLineChars="0"/>
              <w:rPr>
                <w:rFonts w:ascii="仿宋_GB2312" w:hAnsi="仿宋" w:eastAsia="仿宋_GB2312"/>
                <w:bCs/>
                <w:sz w:val="24"/>
                <w:szCs w:val="24"/>
              </w:rPr>
            </w:pPr>
            <w:r>
              <w:t>事业</w:t>
            </w:r>
          </w:p>
        </w:tc>
        <w:tc>
          <w:tcPr>
            <w:tcW w:w="1418" w:type="dxa"/>
            <w:vAlign w:val="center"/>
          </w:tcPr>
          <w:p>
            <w:pPr>
              <w:pStyle w:val="12"/>
              <w:ind w:firstLine="0" w:firstLineChars="0"/>
              <w:rPr>
                <w:rFonts w:ascii="方正书宋_GBK" w:hAnsi="方正书宋_GBK" w:eastAsia="方正书宋_GBK" w:cs="方正书宋_GBK"/>
                <w:kern w:val="2"/>
                <w:sz w:val="21"/>
                <w:szCs w:val="22"/>
                <w:lang w:val="en-US" w:eastAsia="zh-CN" w:bidi="ar-SA"/>
              </w:rPr>
            </w:pPr>
            <w:r>
              <w:t>正科级</w:t>
            </w:r>
          </w:p>
        </w:tc>
        <w:tc>
          <w:tcPr>
            <w:tcW w:w="3260" w:type="dxa"/>
            <w:vAlign w:val="center"/>
          </w:tcPr>
          <w:p>
            <w:pPr>
              <w:pStyle w:val="12"/>
              <w:ind w:firstLine="0" w:firstLineChars="0"/>
              <w:rPr>
                <w:rFonts w:ascii="仿宋_GB2312" w:hAnsi="仿宋" w:eastAsia="仿宋_GB2312"/>
                <w:bCs/>
                <w:sz w:val="24"/>
                <w:szCs w:val="24"/>
              </w:rPr>
            </w:pPr>
            <w:r>
              <w:t>财政性资金基本保证</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hint="eastAsia" w:ascii="仿宋" w:hAnsi="仿宋" w:eastAsia="仿宋"/>
          <w:sz w:val="32"/>
          <w:szCs w:val="32"/>
        </w:rPr>
      </w:pPr>
    </w:p>
    <w:p>
      <w:pPr>
        <w:numPr>
          <w:ilvl w:val="0"/>
          <w:numId w:val="0"/>
        </w:numPr>
        <w:spacing w:line="360" w:lineRule="auto"/>
        <w:ind w:firstLine="560" w:firstLineChars="200"/>
        <w:rPr>
          <w:rFonts w:ascii="Times New Roman" w:hAnsi="Times New Roman" w:eastAsia="方正仿宋_GBK" w:cs="Times New Roman"/>
          <w:color w:val="000000"/>
          <w:kern w:val="2"/>
          <w:sz w:val="28"/>
          <w:szCs w:val="22"/>
          <w:lang w:val="en-US" w:eastAsia="zh-CN" w:bidi="ar-SA"/>
        </w:rPr>
      </w:pPr>
      <w:r>
        <w:rPr>
          <w:rFonts w:hint="eastAsia" w:ascii="Times New Roman" w:hAnsi="Times New Roman" w:eastAsia="方正仿宋_GBK" w:cs="Times New Roman"/>
          <w:color w:val="000000"/>
          <w:kern w:val="2"/>
          <w:sz w:val="28"/>
          <w:szCs w:val="22"/>
          <w:lang w:val="en-US" w:eastAsia="zh-CN" w:bidi="ar-SA"/>
        </w:rPr>
        <w:t>按照预算管理有关规定，目前我区单位预算的编制实行综合预算制度，即全部收入和支出都反映</w:t>
      </w:r>
      <w:r>
        <w:rPr>
          <w:rFonts w:ascii="Times New Roman" w:hAnsi="Times New Roman" w:eastAsia="方正仿宋_GBK" w:cs="Times New Roman"/>
          <w:color w:val="000000"/>
          <w:kern w:val="2"/>
          <w:sz w:val="28"/>
          <w:szCs w:val="22"/>
          <w:lang w:val="en-US" w:eastAsia="zh-CN" w:bidi="ar-SA"/>
        </w:rPr>
        <w:t>在</w:t>
      </w:r>
      <w:r>
        <w:rPr>
          <w:rFonts w:hint="eastAsia" w:ascii="Times New Roman" w:hAnsi="Times New Roman" w:eastAsia="方正仿宋_GBK" w:cs="Times New Roman"/>
          <w:color w:val="000000"/>
          <w:kern w:val="2"/>
          <w:sz w:val="28"/>
          <w:szCs w:val="22"/>
          <w:lang w:val="en-US" w:eastAsia="zh-CN" w:bidi="ar-SA"/>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numPr>
          <w:ilvl w:val="0"/>
          <w:numId w:val="0"/>
        </w:numPr>
        <w:spacing w:line="360" w:lineRule="auto"/>
        <w:ind w:firstLine="560" w:firstLineChars="200"/>
        <w:rPr>
          <w:rFonts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202</w:t>
      </w:r>
      <w:r>
        <w:rPr>
          <w:rFonts w:hint="default" w:ascii="Times New Roman" w:hAnsi="Times New Roman" w:eastAsia="方正仿宋_GBK" w:cs="Times New Roman"/>
          <w:color w:val="000000"/>
          <w:kern w:val="2"/>
          <w:sz w:val="28"/>
          <w:szCs w:val="22"/>
          <w:lang w:val="en-US" w:eastAsia="zh-CN" w:bidi="ar-SA"/>
        </w:rPr>
        <w:t>2</w:t>
      </w:r>
      <w:r>
        <w:rPr>
          <w:rFonts w:ascii="Times New Roman" w:hAnsi="Times New Roman" w:eastAsia="方正仿宋_GBK" w:cs="Times New Roman"/>
          <w:color w:val="000000"/>
          <w:kern w:val="2"/>
          <w:sz w:val="28"/>
          <w:szCs w:val="22"/>
          <w:lang w:val="en-US" w:eastAsia="zh-CN" w:bidi="ar-SA"/>
        </w:rPr>
        <w:t>年预算收入为</w:t>
      </w:r>
      <w:r>
        <w:rPr>
          <w:rFonts w:hint="default" w:ascii="Times New Roman" w:hAnsi="Times New Roman" w:eastAsia="方正仿宋_GBK" w:cs="Times New Roman"/>
          <w:color w:val="000000"/>
          <w:kern w:val="2"/>
          <w:sz w:val="28"/>
          <w:szCs w:val="22"/>
          <w:lang w:val="en-US" w:eastAsia="zh-CN" w:bidi="ar-SA"/>
        </w:rPr>
        <w:t>3801</w:t>
      </w:r>
      <w:r>
        <w:rPr>
          <w:rFonts w:ascii="Times New Roman" w:hAnsi="Times New Roman" w:eastAsia="方正仿宋_GBK" w:cs="Times New Roman"/>
          <w:color w:val="000000"/>
          <w:kern w:val="2"/>
          <w:sz w:val="28"/>
          <w:szCs w:val="22"/>
          <w:lang w:val="en-US" w:eastAsia="zh-CN" w:bidi="ar-SA"/>
        </w:rPr>
        <w:t>万元,</w:t>
      </w:r>
      <w:r>
        <w:rPr>
          <w:rFonts w:hint="eastAsia" w:ascii="Times New Roman" w:hAnsi="Times New Roman" w:eastAsia="方正仿宋_GBK" w:cs="Times New Roman"/>
          <w:color w:val="000000"/>
          <w:kern w:val="2"/>
          <w:sz w:val="28"/>
          <w:szCs w:val="22"/>
          <w:lang w:val="en-US" w:eastAsia="zh-CN" w:bidi="ar-SA"/>
        </w:rPr>
        <w:t>全部为</w:t>
      </w:r>
      <w:r>
        <w:rPr>
          <w:rFonts w:ascii="Times New Roman" w:hAnsi="Times New Roman" w:eastAsia="方正仿宋_GBK" w:cs="Times New Roman"/>
          <w:color w:val="000000"/>
          <w:kern w:val="2"/>
          <w:sz w:val="28"/>
          <w:szCs w:val="22"/>
          <w:lang w:val="en-US" w:eastAsia="zh-CN" w:bidi="ar-SA"/>
        </w:rPr>
        <w:t>一般公共预算收入</w:t>
      </w:r>
      <w:r>
        <w:rPr>
          <w:rFonts w:hint="eastAsia" w:ascii="Times New Roman" w:hAnsi="Times New Roman" w:eastAsia="方正仿宋_GBK" w:cs="Times New Roman"/>
          <w:color w:val="000000"/>
          <w:kern w:val="2"/>
          <w:sz w:val="28"/>
          <w:szCs w:val="22"/>
          <w:lang w:val="en-US" w:eastAsia="zh-CN" w:bidi="ar-SA"/>
        </w:rPr>
        <w:t>。</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numPr>
          <w:ilvl w:val="0"/>
          <w:numId w:val="0"/>
        </w:numPr>
        <w:spacing w:line="360" w:lineRule="auto"/>
        <w:ind w:firstLine="560" w:firstLineChars="200"/>
        <w:rPr>
          <w:rFonts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202</w:t>
      </w:r>
      <w:r>
        <w:rPr>
          <w:rFonts w:hint="default" w:ascii="Times New Roman" w:hAnsi="Times New Roman" w:eastAsia="方正仿宋_GBK" w:cs="Times New Roman"/>
          <w:color w:val="000000"/>
          <w:kern w:val="2"/>
          <w:sz w:val="28"/>
          <w:szCs w:val="22"/>
          <w:lang w:val="en-US" w:eastAsia="zh-CN" w:bidi="ar-SA"/>
        </w:rPr>
        <w:t>2</w:t>
      </w:r>
      <w:r>
        <w:rPr>
          <w:rFonts w:ascii="Times New Roman" w:hAnsi="Times New Roman" w:eastAsia="方正仿宋_GBK" w:cs="Times New Roman"/>
          <w:color w:val="000000"/>
          <w:kern w:val="2"/>
          <w:sz w:val="28"/>
          <w:szCs w:val="22"/>
          <w:lang w:val="en-US" w:eastAsia="zh-CN" w:bidi="ar-SA"/>
        </w:rPr>
        <w:t>年</w:t>
      </w:r>
      <w:r>
        <w:rPr>
          <w:rFonts w:hint="eastAsia" w:ascii="Times New Roman" w:hAnsi="Times New Roman" w:eastAsia="方正仿宋_GBK" w:cs="Times New Roman"/>
          <w:color w:val="000000"/>
          <w:kern w:val="2"/>
          <w:sz w:val="28"/>
          <w:szCs w:val="22"/>
          <w:lang w:val="en-US" w:eastAsia="zh-CN" w:bidi="ar-SA"/>
        </w:rPr>
        <w:t>单位</w:t>
      </w:r>
      <w:r>
        <w:rPr>
          <w:rFonts w:ascii="Times New Roman" w:hAnsi="Times New Roman" w:eastAsia="方正仿宋_GBK" w:cs="Times New Roman"/>
          <w:color w:val="000000"/>
          <w:kern w:val="2"/>
          <w:sz w:val="28"/>
          <w:szCs w:val="22"/>
          <w:lang w:val="en-US" w:eastAsia="zh-CN" w:bidi="ar-SA"/>
        </w:rPr>
        <w:t>支出预算：</w:t>
      </w:r>
      <w:r>
        <w:rPr>
          <w:rFonts w:hint="default" w:ascii="Times New Roman" w:hAnsi="Times New Roman" w:eastAsia="方正仿宋_GBK" w:cs="Times New Roman"/>
          <w:color w:val="000000"/>
          <w:kern w:val="2"/>
          <w:sz w:val="28"/>
          <w:szCs w:val="22"/>
          <w:lang w:val="en-US" w:eastAsia="zh-CN" w:bidi="ar-SA"/>
        </w:rPr>
        <w:t>3801</w:t>
      </w:r>
      <w:r>
        <w:rPr>
          <w:rFonts w:ascii="Times New Roman" w:hAnsi="Times New Roman" w:eastAsia="方正仿宋_GBK" w:cs="Times New Roman"/>
          <w:color w:val="000000"/>
          <w:kern w:val="2"/>
          <w:sz w:val="28"/>
          <w:szCs w:val="22"/>
          <w:lang w:val="en-US" w:eastAsia="zh-CN" w:bidi="ar-SA"/>
        </w:rPr>
        <w:t>万元</w:t>
      </w:r>
    </w:p>
    <w:p>
      <w:pPr>
        <w:numPr>
          <w:ilvl w:val="0"/>
          <w:numId w:val="0"/>
        </w:numPr>
        <w:spacing w:line="360" w:lineRule="auto"/>
        <w:ind w:firstLine="560" w:firstLineChars="200"/>
        <w:rPr>
          <w:rFonts w:ascii="Times New Roman" w:hAnsi="Times New Roman" w:eastAsia="方正仿宋_GBK" w:cs="Times New Roman"/>
          <w:color w:val="000000"/>
          <w:kern w:val="2"/>
          <w:sz w:val="28"/>
          <w:szCs w:val="22"/>
          <w:lang w:val="en-US" w:eastAsia="zh-CN" w:bidi="ar-SA"/>
        </w:rPr>
      </w:pPr>
      <w:r>
        <w:rPr>
          <w:rFonts w:hint="eastAsia" w:ascii="Times New Roman" w:hAnsi="Times New Roman" w:eastAsia="方正仿宋_GBK" w:cs="Times New Roman"/>
          <w:color w:val="000000"/>
          <w:kern w:val="2"/>
          <w:sz w:val="28"/>
          <w:szCs w:val="22"/>
          <w:lang w:val="en-US" w:eastAsia="zh-CN" w:bidi="ar-SA"/>
        </w:rPr>
        <w:t>基本支出</w:t>
      </w:r>
      <w:r>
        <w:rPr>
          <w:rFonts w:hint="default" w:ascii="Times New Roman" w:hAnsi="Times New Roman" w:eastAsia="方正仿宋_GBK" w:cs="Times New Roman"/>
          <w:color w:val="000000"/>
          <w:kern w:val="2"/>
          <w:sz w:val="28"/>
          <w:szCs w:val="22"/>
          <w:lang w:val="en-US" w:eastAsia="zh-CN" w:bidi="ar-SA"/>
        </w:rPr>
        <w:t>3801</w:t>
      </w:r>
      <w:r>
        <w:rPr>
          <w:rFonts w:hint="eastAsia" w:ascii="Times New Roman" w:hAnsi="Times New Roman" w:eastAsia="方正仿宋_GBK" w:cs="Times New Roman"/>
          <w:color w:val="000000"/>
          <w:kern w:val="2"/>
          <w:sz w:val="28"/>
          <w:szCs w:val="22"/>
          <w:lang w:val="en-US" w:eastAsia="zh-CN" w:bidi="ar-SA"/>
        </w:rPr>
        <w:t>万元</w:t>
      </w:r>
    </w:p>
    <w:p>
      <w:pPr>
        <w:numPr>
          <w:ilvl w:val="0"/>
          <w:numId w:val="0"/>
        </w:numPr>
        <w:spacing w:line="360" w:lineRule="auto"/>
        <w:ind w:firstLine="560" w:firstLineChars="200"/>
        <w:rPr>
          <w:rFonts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 xml:space="preserve">    其中：人员经费</w:t>
      </w:r>
      <w:r>
        <w:rPr>
          <w:rFonts w:hint="default" w:ascii="Times New Roman" w:hAnsi="Times New Roman" w:eastAsia="方正仿宋_GBK" w:cs="Times New Roman"/>
          <w:color w:val="000000"/>
          <w:kern w:val="2"/>
          <w:sz w:val="28"/>
          <w:szCs w:val="22"/>
          <w:lang w:val="en-US" w:eastAsia="zh-CN" w:bidi="ar-SA"/>
        </w:rPr>
        <w:t>3678.49</w:t>
      </w:r>
      <w:r>
        <w:rPr>
          <w:rFonts w:ascii="Times New Roman" w:hAnsi="Times New Roman" w:eastAsia="方正仿宋_GBK" w:cs="Times New Roman"/>
          <w:color w:val="000000"/>
          <w:kern w:val="2"/>
          <w:sz w:val="28"/>
          <w:szCs w:val="22"/>
          <w:lang w:val="en-US" w:eastAsia="zh-CN" w:bidi="ar-SA"/>
        </w:rPr>
        <w:t>万元</w:t>
      </w:r>
    </w:p>
    <w:p>
      <w:pPr>
        <w:numPr>
          <w:ilvl w:val="0"/>
          <w:numId w:val="0"/>
        </w:numPr>
        <w:spacing w:line="360" w:lineRule="auto"/>
        <w:ind w:firstLine="560" w:firstLineChars="200"/>
        <w:rPr>
          <w:rFonts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 xml:space="preserve">          日常公用经费</w:t>
      </w:r>
      <w:r>
        <w:rPr>
          <w:rFonts w:hint="default" w:ascii="Times New Roman" w:hAnsi="Times New Roman" w:eastAsia="方正仿宋_GBK" w:cs="Times New Roman"/>
          <w:color w:val="000000"/>
          <w:kern w:val="2"/>
          <w:sz w:val="28"/>
          <w:szCs w:val="22"/>
          <w:lang w:val="en-US" w:eastAsia="zh-CN" w:bidi="ar-SA"/>
        </w:rPr>
        <w:t>122.51</w:t>
      </w:r>
      <w:r>
        <w:rPr>
          <w:rFonts w:ascii="Times New Roman" w:hAnsi="Times New Roman" w:eastAsia="方正仿宋_GBK" w:cs="Times New Roman"/>
          <w:color w:val="000000"/>
          <w:kern w:val="2"/>
          <w:sz w:val="28"/>
          <w:szCs w:val="22"/>
          <w:lang w:val="en-US" w:eastAsia="zh-CN" w:bidi="ar-SA"/>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numPr>
          <w:ilvl w:val="0"/>
          <w:numId w:val="0"/>
        </w:numPr>
        <w:spacing w:line="360" w:lineRule="auto"/>
        <w:ind w:firstLine="560" w:firstLineChars="200"/>
        <w:rPr>
          <w:rFonts w:hint="default" w:ascii="Times New Roman" w:hAnsi="Times New Roman" w:eastAsia="方正仿宋_GBK" w:cs="Times New Roman"/>
          <w:color w:val="000000"/>
          <w:kern w:val="2"/>
          <w:sz w:val="28"/>
          <w:szCs w:val="22"/>
          <w:highlight w:val="none"/>
          <w:lang w:val="en-US" w:eastAsia="zh-CN" w:bidi="ar-SA"/>
        </w:rPr>
      </w:pPr>
      <w:r>
        <w:rPr>
          <w:rFonts w:hint="eastAsia" w:ascii="Times New Roman" w:hAnsi="Times New Roman" w:eastAsia="方正仿宋_GBK" w:cs="Times New Roman"/>
          <w:color w:val="000000"/>
          <w:kern w:val="2"/>
          <w:sz w:val="28"/>
          <w:szCs w:val="22"/>
          <w:lang w:val="en-US" w:eastAsia="zh-CN" w:bidi="ar-SA"/>
        </w:rPr>
        <w:t>本年度预算收支安排</w:t>
      </w:r>
      <w:r>
        <w:rPr>
          <w:rFonts w:hint="default" w:ascii="Times New Roman" w:hAnsi="Times New Roman" w:eastAsia="方正仿宋_GBK" w:cs="Times New Roman"/>
          <w:color w:val="000000"/>
          <w:kern w:val="2"/>
          <w:sz w:val="28"/>
          <w:szCs w:val="22"/>
          <w:lang w:val="en-US" w:eastAsia="zh-CN" w:bidi="ar-SA"/>
        </w:rPr>
        <w:t>3801</w:t>
      </w:r>
      <w:r>
        <w:rPr>
          <w:rFonts w:hint="eastAsia" w:ascii="Times New Roman" w:hAnsi="Times New Roman" w:eastAsia="方正仿宋_GBK" w:cs="Times New Roman"/>
          <w:color w:val="000000"/>
          <w:kern w:val="2"/>
          <w:sz w:val="28"/>
          <w:szCs w:val="22"/>
          <w:lang w:val="en-US" w:eastAsia="zh-CN" w:bidi="ar-SA"/>
        </w:rPr>
        <w:t>万元，较上年增加</w:t>
      </w:r>
      <w:r>
        <w:rPr>
          <w:rFonts w:hint="default" w:ascii="Times New Roman" w:hAnsi="Times New Roman" w:eastAsia="方正仿宋_GBK" w:cs="Times New Roman"/>
          <w:color w:val="000000"/>
          <w:kern w:val="2"/>
          <w:sz w:val="28"/>
          <w:szCs w:val="22"/>
          <w:lang w:val="en-US" w:eastAsia="zh-CN" w:bidi="ar-SA"/>
        </w:rPr>
        <w:t>568.08</w:t>
      </w:r>
      <w:r>
        <w:rPr>
          <w:rFonts w:ascii="Times New Roman" w:hAnsi="Times New Roman" w:eastAsia="方正仿宋_GBK" w:cs="Times New Roman"/>
          <w:color w:val="000000"/>
          <w:kern w:val="2"/>
          <w:sz w:val="28"/>
          <w:szCs w:val="22"/>
          <w:lang w:val="en-US" w:eastAsia="zh-CN" w:bidi="ar-SA"/>
        </w:rPr>
        <w:t>万元。其中:</w:t>
      </w:r>
      <w:r>
        <w:rPr>
          <w:rFonts w:hint="eastAsia" w:ascii="Times New Roman" w:hAnsi="Times New Roman" w:eastAsia="方正仿宋_GBK" w:cs="Times New Roman"/>
          <w:color w:val="000000"/>
          <w:kern w:val="2"/>
          <w:sz w:val="28"/>
          <w:szCs w:val="22"/>
          <w:lang w:val="en-US" w:eastAsia="zh-CN" w:bidi="ar-SA"/>
        </w:rPr>
        <w:t>人员经费</w:t>
      </w:r>
      <w:r>
        <w:rPr>
          <w:rFonts w:ascii="Times New Roman" w:hAnsi="Times New Roman" w:eastAsia="方正仿宋_GBK" w:cs="Times New Roman"/>
          <w:color w:val="000000"/>
          <w:kern w:val="2"/>
          <w:sz w:val="28"/>
          <w:szCs w:val="22"/>
          <w:lang w:val="en-US" w:eastAsia="zh-CN" w:bidi="ar-SA"/>
        </w:rPr>
        <w:t>增加</w:t>
      </w:r>
      <w:r>
        <w:rPr>
          <w:rFonts w:hint="default" w:ascii="Times New Roman" w:hAnsi="Times New Roman" w:eastAsia="方正仿宋_GBK" w:cs="Times New Roman"/>
          <w:color w:val="000000"/>
          <w:kern w:val="2"/>
          <w:sz w:val="28"/>
          <w:szCs w:val="22"/>
          <w:lang w:val="en-US" w:eastAsia="zh-CN" w:bidi="ar-SA"/>
        </w:rPr>
        <w:t>579.64</w:t>
      </w:r>
      <w:r>
        <w:rPr>
          <w:rFonts w:ascii="Times New Roman" w:hAnsi="Times New Roman" w:eastAsia="方正仿宋_GBK" w:cs="Times New Roman"/>
          <w:color w:val="000000"/>
          <w:kern w:val="2"/>
          <w:sz w:val="28"/>
          <w:szCs w:val="22"/>
          <w:lang w:val="en-US" w:eastAsia="zh-CN" w:bidi="ar-SA"/>
        </w:rPr>
        <w:t>万元，</w:t>
      </w:r>
      <w:r>
        <w:rPr>
          <w:rFonts w:ascii="Times New Roman" w:hAnsi="Times New Roman" w:eastAsia="方正仿宋_GBK" w:cs="Times New Roman"/>
          <w:color w:val="000000"/>
          <w:kern w:val="2"/>
          <w:sz w:val="28"/>
          <w:szCs w:val="22"/>
          <w:highlight w:val="none"/>
          <w:lang w:val="en-US" w:eastAsia="zh-CN" w:bidi="ar-SA"/>
        </w:rPr>
        <w:t>主要原因是</w:t>
      </w:r>
      <w:r>
        <w:rPr>
          <w:rFonts w:hint="eastAsia" w:ascii="Times New Roman" w:hAnsi="Times New Roman" w:eastAsia="方正仿宋_GBK" w:cs="Times New Roman"/>
          <w:color w:val="000000"/>
          <w:kern w:val="2"/>
          <w:sz w:val="28"/>
          <w:szCs w:val="22"/>
          <w:highlight w:val="none"/>
          <w:lang w:val="en-US" w:eastAsia="zh-CN" w:bidi="ar-SA"/>
        </w:rPr>
        <w:t>有</w:t>
      </w:r>
      <w:r>
        <w:rPr>
          <w:rFonts w:hint="default" w:ascii="Times New Roman" w:hAnsi="Times New Roman" w:eastAsia="方正仿宋_GBK" w:cs="Times New Roman"/>
          <w:color w:val="000000"/>
          <w:kern w:val="2"/>
          <w:sz w:val="28"/>
          <w:szCs w:val="22"/>
          <w:highlight w:val="none"/>
          <w:lang w:val="en-US" w:eastAsia="zh-CN" w:bidi="ar-SA"/>
        </w:rPr>
        <w:t>2022</w:t>
      </w:r>
      <w:r>
        <w:rPr>
          <w:rFonts w:hint="eastAsia" w:ascii="Times New Roman" w:hAnsi="Times New Roman" w:eastAsia="方正仿宋_GBK" w:cs="Times New Roman"/>
          <w:color w:val="000000"/>
          <w:kern w:val="2"/>
          <w:sz w:val="28"/>
          <w:szCs w:val="22"/>
          <w:highlight w:val="none"/>
          <w:lang w:val="en-US" w:eastAsia="zh-CN" w:bidi="ar-SA"/>
        </w:rPr>
        <w:t>年人员工资增加，日常公用经费减少</w:t>
      </w:r>
      <w:r>
        <w:rPr>
          <w:rFonts w:hint="default" w:ascii="Times New Roman" w:hAnsi="Times New Roman" w:eastAsia="方正仿宋_GBK" w:cs="Times New Roman"/>
          <w:color w:val="000000"/>
          <w:kern w:val="2"/>
          <w:sz w:val="28"/>
          <w:szCs w:val="22"/>
          <w:highlight w:val="none"/>
          <w:lang w:val="en-US" w:eastAsia="zh-CN" w:bidi="ar-SA"/>
        </w:rPr>
        <w:t>11.56</w:t>
      </w:r>
      <w:r>
        <w:rPr>
          <w:rFonts w:hint="eastAsia" w:ascii="Times New Roman" w:hAnsi="Times New Roman" w:eastAsia="方正仿宋_GBK" w:cs="Times New Roman"/>
          <w:color w:val="000000"/>
          <w:kern w:val="2"/>
          <w:sz w:val="28"/>
          <w:szCs w:val="22"/>
          <w:highlight w:val="none"/>
          <w:lang w:val="en-US" w:eastAsia="zh-CN" w:bidi="ar-SA"/>
        </w:rPr>
        <w:t>万元，因为单位厉行节约，节省了开支。</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numPr>
          <w:ilvl w:val="0"/>
          <w:numId w:val="0"/>
        </w:numPr>
        <w:spacing w:line="360" w:lineRule="auto"/>
        <w:ind w:firstLine="560" w:firstLineChars="200"/>
        <w:rPr>
          <w:rFonts w:ascii="Times New Roman" w:hAnsi="Times New Roman" w:eastAsia="方正仿宋_GBK" w:cs="Times New Roman"/>
          <w:color w:val="000000"/>
          <w:kern w:val="2"/>
          <w:sz w:val="28"/>
          <w:szCs w:val="22"/>
          <w:lang w:val="en-US" w:eastAsia="zh-CN" w:bidi="ar-SA"/>
        </w:rPr>
      </w:pPr>
    </w:p>
    <w:p>
      <w:pPr>
        <w:numPr>
          <w:ilvl w:val="0"/>
          <w:numId w:val="0"/>
        </w:numPr>
        <w:spacing w:line="360" w:lineRule="auto"/>
        <w:ind w:firstLine="560" w:firstLineChars="200"/>
        <w:rPr>
          <w:rFonts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202</w:t>
      </w:r>
      <w:r>
        <w:rPr>
          <w:rFonts w:hint="default" w:ascii="Times New Roman" w:hAnsi="Times New Roman" w:eastAsia="方正仿宋_GBK" w:cs="Times New Roman"/>
          <w:color w:val="000000"/>
          <w:kern w:val="2"/>
          <w:sz w:val="28"/>
          <w:szCs w:val="22"/>
          <w:lang w:val="en-US" w:eastAsia="zh-CN" w:bidi="ar-SA"/>
        </w:rPr>
        <w:t>2</w:t>
      </w:r>
      <w:r>
        <w:rPr>
          <w:rFonts w:ascii="Times New Roman" w:hAnsi="Times New Roman" w:eastAsia="方正仿宋_GBK" w:cs="Times New Roman"/>
          <w:color w:val="000000"/>
          <w:kern w:val="2"/>
          <w:sz w:val="28"/>
          <w:szCs w:val="22"/>
          <w:lang w:val="en-US" w:eastAsia="zh-CN" w:bidi="ar-SA"/>
        </w:rPr>
        <w:t>年我</w:t>
      </w:r>
      <w:r>
        <w:rPr>
          <w:rFonts w:hint="eastAsia" w:ascii="Times New Roman" w:hAnsi="Times New Roman" w:eastAsia="方正仿宋_GBK" w:cs="Times New Roman"/>
          <w:color w:val="000000"/>
          <w:kern w:val="2"/>
          <w:sz w:val="28"/>
          <w:szCs w:val="22"/>
          <w:lang w:val="en-US" w:eastAsia="zh-CN" w:bidi="ar-SA"/>
        </w:rPr>
        <w:t>单位</w:t>
      </w:r>
      <w:r>
        <w:rPr>
          <w:rFonts w:ascii="Times New Roman" w:hAnsi="Times New Roman" w:eastAsia="方正仿宋_GBK" w:cs="Times New Roman"/>
          <w:color w:val="000000"/>
          <w:kern w:val="2"/>
          <w:sz w:val="28"/>
          <w:szCs w:val="22"/>
          <w:lang w:val="en-US" w:eastAsia="zh-CN" w:bidi="ar-SA"/>
        </w:rPr>
        <w:t>机关运行经费安排</w:t>
      </w:r>
      <w:r>
        <w:rPr>
          <w:rFonts w:hint="default" w:ascii="Times New Roman" w:hAnsi="Times New Roman" w:eastAsia="方正仿宋_GBK" w:cs="Times New Roman"/>
          <w:color w:val="000000"/>
          <w:kern w:val="2"/>
          <w:sz w:val="28"/>
          <w:szCs w:val="22"/>
          <w:lang w:val="en-US" w:eastAsia="zh-CN" w:bidi="ar-SA"/>
        </w:rPr>
        <w:t>122.51</w:t>
      </w:r>
      <w:r>
        <w:rPr>
          <w:rFonts w:ascii="Times New Roman" w:hAnsi="Times New Roman" w:eastAsia="方正仿宋_GBK" w:cs="Times New Roman"/>
          <w:color w:val="000000"/>
          <w:kern w:val="2"/>
          <w:sz w:val="28"/>
          <w:szCs w:val="22"/>
          <w:lang w:val="en-US" w:eastAsia="zh-CN" w:bidi="ar-SA"/>
        </w:rPr>
        <w:t>万元，其中办公费</w:t>
      </w:r>
      <w:r>
        <w:rPr>
          <w:rFonts w:hint="default" w:ascii="Times New Roman" w:hAnsi="Times New Roman" w:eastAsia="方正仿宋_GBK" w:cs="Times New Roman"/>
          <w:color w:val="000000"/>
          <w:kern w:val="2"/>
          <w:sz w:val="28"/>
          <w:szCs w:val="22"/>
          <w:lang w:val="en-US" w:eastAsia="zh-CN" w:bidi="ar-SA"/>
        </w:rPr>
        <w:t>53.66</w:t>
      </w:r>
      <w:r>
        <w:rPr>
          <w:rFonts w:ascii="Times New Roman" w:hAnsi="Times New Roman" w:eastAsia="方正仿宋_GBK" w:cs="Times New Roman"/>
          <w:color w:val="000000"/>
          <w:kern w:val="2"/>
          <w:sz w:val="28"/>
          <w:szCs w:val="22"/>
          <w:lang w:val="en-US" w:eastAsia="zh-CN" w:bidi="ar-SA"/>
        </w:rPr>
        <w:t>万元，工会经费、福利费</w:t>
      </w:r>
      <w:r>
        <w:rPr>
          <w:rFonts w:hint="default" w:ascii="Times New Roman" w:hAnsi="Times New Roman" w:eastAsia="方正仿宋_GBK" w:cs="Times New Roman"/>
          <w:color w:val="000000"/>
          <w:kern w:val="2"/>
          <w:sz w:val="28"/>
          <w:szCs w:val="22"/>
          <w:lang w:val="en-US" w:eastAsia="zh-CN" w:bidi="ar-SA"/>
        </w:rPr>
        <w:t>49.51</w:t>
      </w:r>
      <w:r>
        <w:rPr>
          <w:rFonts w:ascii="Times New Roman" w:hAnsi="Times New Roman" w:eastAsia="方正仿宋_GBK" w:cs="Times New Roman"/>
          <w:color w:val="000000"/>
          <w:kern w:val="2"/>
          <w:sz w:val="28"/>
          <w:szCs w:val="22"/>
          <w:lang w:val="en-US" w:eastAsia="zh-CN" w:bidi="ar-SA"/>
        </w:rPr>
        <w:t>万元，其他支出</w:t>
      </w:r>
      <w:r>
        <w:rPr>
          <w:rFonts w:hint="default" w:ascii="Times New Roman" w:hAnsi="Times New Roman" w:eastAsia="方正仿宋_GBK" w:cs="Times New Roman"/>
          <w:color w:val="000000"/>
          <w:kern w:val="2"/>
          <w:sz w:val="28"/>
          <w:szCs w:val="22"/>
          <w:lang w:val="en-US" w:eastAsia="zh-CN" w:bidi="ar-SA"/>
        </w:rPr>
        <w:t>19.34</w:t>
      </w:r>
      <w:r>
        <w:rPr>
          <w:rFonts w:ascii="Times New Roman" w:hAnsi="Times New Roman" w:eastAsia="方正仿宋_GBK" w:cs="Times New Roman"/>
          <w:color w:val="000000"/>
          <w:kern w:val="2"/>
          <w:sz w:val="28"/>
          <w:szCs w:val="22"/>
          <w:lang w:val="en-US" w:eastAsia="zh-CN" w:bidi="ar-SA"/>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p>
    <w:p>
      <w:pPr>
        <w:ind w:firstLine="880" w:firstLineChars="200"/>
        <w:jc w:val="both"/>
        <w:outlineLvl w:val="0"/>
        <w:rPr>
          <w:rFonts w:hint="eastAsia" w:ascii="方正小标宋_GBK" w:eastAsia="方正小标宋_GBK"/>
          <w:sz w:val="44"/>
        </w:rPr>
      </w:pPr>
    </w:p>
    <w:p>
      <w:pPr>
        <w:ind w:firstLine="880" w:firstLineChars="200"/>
        <w:jc w:val="both"/>
        <w:outlineLvl w:val="0"/>
        <w:rPr>
          <w:rFonts w:hint="eastAsia" w:ascii="方正小标宋_GBK" w:eastAsia="方正小标宋_GBK"/>
          <w:sz w:val="44"/>
        </w:rPr>
      </w:pPr>
    </w:p>
    <w:p>
      <w:pPr>
        <w:ind w:firstLine="880" w:firstLineChars="200"/>
        <w:jc w:val="both"/>
        <w:outlineLvl w:val="0"/>
        <w:rPr>
          <w:rFonts w:hint="eastAsia" w:ascii="方正小标宋_GBK" w:eastAsia="方正小标宋_GBK"/>
          <w:sz w:val="44"/>
        </w:rPr>
      </w:pPr>
    </w:p>
    <w:p>
      <w:pPr>
        <w:ind w:firstLine="880" w:firstLineChars="200"/>
        <w:jc w:val="both"/>
        <w:outlineLvl w:val="0"/>
        <w:rPr>
          <w:rFonts w:hint="eastAsia" w:ascii="方正小标宋_GBK" w:eastAsia="方正小标宋_GBK"/>
          <w:sz w:val="44"/>
        </w:rPr>
      </w:pPr>
    </w:p>
    <w:p>
      <w:pPr>
        <w:ind w:firstLine="880" w:firstLineChars="200"/>
        <w:jc w:val="both"/>
        <w:outlineLvl w:val="0"/>
        <w:rPr>
          <w:rFonts w:hint="eastAsia" w:ascii="方正小标宋_GBK" w:eastAsia="方正小标宋_GBK"/>
          <w:sz w:val="44"/>
        </w:rPr>
      </w:pPr>
    </w:p>
    <w:p>
      <w:pPr>
        <w:ind w:firstLine="880" w:firstLineChars="200"/>
        <w:jc w:val="both"/>
        <w:outlineLvl w:val="0"/>
        <w:rPr>
          <w:rFonts w:hint="eastAsia" w:ascii="方正小标宋_GBK" w:eastAsia="方正小标宋_GBK"/>
          <w:sz w:val="44"/>
        </w:rPr>
      </w:pPr>
    </w:p>
    <w:p>
      <w:pPr>
        <w:ind w:firstLine="880" w:firstLineChars="200"/>
        <w:jc w:val="both"/>
        <w:outlineLvl w:val="0"/>
        <w:rPr>
          <w:rFonts w:hint="eastAsia" w:ascii="方正小标宋_GBK" w:eastAsia="方正小标宋_GBK"/>
          <w:sz w:val="44"/>
        </w:rPr>
      </w:pPr>
      <w:r>
        <w:rPr>
          <w:rFonts w:hint="eastAsia" w:ascii="方正小标宋_GBK" w:eastAsia="方正小标宋_GBK"/>
          <w:sz w:val="44"/>
        </w:rPr>
        <w:t>第四部分：财政拨款“三公”经费预算情况及增减变化原因</w:t>
      </w:r>
    </w:p>
    <w:p>
      <w:pPr>
        <w:ind w:firstLine="560" w:firstLineChars="200"/>
        <w:jc w:val="both"/>
        <w:outlineLvl w:val="0"/>
        <w:rPr>
          <w:rFonts w:hint="eastAsia" w:ascii="方正小标宋_GBK" w:eastAsia="方正小标宋_GBK"/>
          <w:sz w:val="28"/>
          <w:szCs w:val="28"/>
          <w:lang w:eastAsia="zh-CN"/>
        </w:rPr>
      </w:pP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无</w:t>
      </w:r>
      <w:r>
        <w:rPr>
          <w:rFonts w:hint="eastAsia" w:ascii="仿宋" w:hAnsi="仿宋" w:eastAsia="仿宋"/>
          <w:sz w:val="32"/>
          <w:szCs w:val="32"/>
          <w:lang w:eastAsia="zh-CN"/>
        </w:rPr>
        <w:t>“三公”经费预算</w:t>
      </w:r>
      <w:r>
        <w:rPr>
          <w:rFonts w:ascii="仿宋" w:hAnsi="仿宋" w:eastAsia="仿宋"/>
          <w:sz w:val="32"/>
          <w:szCs w:val="32"/>
        </w:rPr>
        <w:t>，空表列示。</w:t>
      </w:r>
    </w:p>
    <w:p>
      <w:pPr>
        <w:ind w:firstLine="560" w:firstLineChars="200"/>
        <w:jc w:val="both"/>
        <w:outlineLvl w:val="0"/>
        <w:rPr>
          <w:rFonts w:hint="eastAsia" w:ascii="方正小标宋_GBK" w:eastAsia="方正小标宋_GBK"/>
          <w:sz w:val="28"/>
          <w:szCs w:val="28"/>
          <w:lang w:eastAsia="zh-CN"/>
        </w:rPr>
      </w:pPr>
    </w:p>
    <w:tbl>
      <w:tblPr>
        <w:tblStyle w:val="5"/>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5"/>
              <w:gridCol w:w="1277"/>
              <w:gridCol w:w="1419"/>
              <w:gridCol w:w="837"/>
              <w:gridCol w:w="2402"/>
            </w:tblGrid>
            <w:tr>
              <w:tblPrEx>
                <w:tblCellMar>
                  <w:top w:w="0" w:type="dxa"/>
                  <w:left w:w="108" w:type="dxa"/>
                  <w:bottom w:w="0" w:type="dxa"/>
                  <w:right w:w="108" w:type="dxa"/>
                </w:tblCellMar>
              </w:tblPrEx>
              <w:trPr>
                <w:trHeight w:val="735" w:hRule="atLeast"/>
                <w:jc w:val="center"/>
              </w:trPr>
              <w:tc>
                <w:tcPr>
                  <w:tcW w:w="810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384" w:hRule="atLeast"/>
                <w:jc w:val="center"/>
              </w:trPr>
              <w:tc>
                <w:tcPr>
                  <w:tcW w:w="2165" w:type="dxa"/>
                  <w:tcBorders>
                    <w:top w:val="nil"/>
                    <w:left w:val="nil"/>
                    <w:bottom w:val="nil"/>
                    <w:right w:val="nil"/>
                  </w:tcBorders>
                  <w:vAlign w:val="center"/>
                </w:tcPr>
                <w:p>
                  <w:pPr>
                    <w:widowControl/>
                    <w:jc w:val="left"/>
                    <w:rPr>
                      <w:rFonts w:ascii="宋体" w:hAnsi="宋体" w:cs="宋体"/>
                      <w:kern w:val="0"/>
                      <w:sz w:val="24"/>
                      <w:szCs w:val="24"/>
                    </w:rPr>
                  </w:pPr>
                </w:p>
              </w:tc>
              <w:tc>
                <w:tcPr>
                  <w:tcW w:w="1277" w:type="dxa"/>
                  <w:tcBorders>
                    <w:top w:val="nil"/>
                    <w:left w:val="nil"/>
                    <w:bottom w:val="nil"/>
                    <w:right w:val="nil"/>
                  </w:tcBorders>
                  <w:vAlign w:val="center"/>
                </w:tcPr>
                <w:p>
                  <w:pPr>
                    <w:widowControl/>
                    <w:jc w:val="left"/>
                    <w:rPr>
                      <w:rFonts w:ascii="宋体" w:hAnsi="宋体" w:cs="宋体"/>
                      <w:kern w:val="0"/>
                      <w:sz w:val="24"/>
                      <w:szCs w:val="24"/>
                    </w:rPr>
                  </w:pPr>
                </w:p>
              </w:tc>
              <w:tc>
                <w:tcPr>
                  <w:tcW w:w="1419" w:type="dxa"/>
                  <w:tcBorders>
                    <w:top w:val="nil"/>
                    <w:left w:val="nil"/>
                    <w:bottom w:val="nil"/>
                    <w:right w:val="nil"/>
                  </w:tcBorders>
                  <w:vAlign w:val="center"/>
                </w:tcPr>
                <w:p>
                  <w:pPr>
                    <w:widowControl/>
                    <w:jc w:val="left"/>
                    <w:rPr>
                      <w:rFonts w:ascii="宋体" w:hAnsi="宋体" w:cs="宋体"/>
                      <w:kern w:val="0"/>
                      <w:sz w:val="24"/>
                      <w:szCs w:val="24"/>
                    </w:rPr>
                  </w:pPr>
                </w:p>
              </w:tc>
              <w:tc>
                <w:tcPr>
                  <w:tcW w:w="837" w:type="dxa"/>
                  <w:tcBorders>
                    <w:top w:val="nil"/>
                    <w:left w:val="nil"/>
                    <w:bottom w:val="nil"/>
                    <w:right w:val="nil"/>
                  </w:tcBorders>
                  <w:vAlign w:val="center"/>
                </w:tcPr>
                <w:p>
                  <w:pPr>
                    <w:widowControl/>
                    <w:jc w:val="left"/>
                    <w:rPr>
                      <w:rFonts w:ascii="宋体" w:hAnsi="宋体" w:cs="宋体"/>
                      <w:kern w:val="0"/>
                      <w:sz w:val="24"/>
                      <w:szCs w:val="24"/>
                    </w:rPr>
                  </w:pPr>
                </w:p>
              </w:tc>
              <w:tc>
                <w:tcPr>
                  <w:tcW w:w="2402"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747" w:hRule="atLeast"/>
                <w:jc w:val="center"/>
              </w:trPr>
              <w:tc>
                <w:tcPr>
                  <w:tcW w:w="21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83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40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379" w:hRule="atLeast"/>
                <w:jc w:val="center"/>
              </w:trPr>
              <w:tc>
                <w:tcPr>
                  <w:tcW w:w="216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40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379" w:hRule="atLeast"/>
                <w:jc w:val="center"/>
              </w:trPr>
              <w:tc>
                <w:tcPr>
                  <w:tcW w:w="216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40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747" w:hRule="atLeast"/>
                <w:jc w:val="center"/>
              </w:trPr>
              <w:tc>
                <w:tcPr>
                  <w:tcW w:w="216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p>
              </w:tc>
              <w:tc>
                <w:tcPr>
                  <w:tcW w:w="1419"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p>
              </w:tc>
              <w:tc>
                <w:tcPr>
                  <w:tcW w:w="83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p>
              </w:tc>
              <w:tc>
                <w:tcPr>
                  <w:tcW w:w="2402"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1023" w:hRule="atLeast"/>
                <w:jc w:val="center"/>
              </w:trPr>
              <w:tc>
                <w:tcPr>
                  <w:tcW w:w="216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40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1360" w:hRule="atLeast"/>
                <w:jc w:val="center"/>
              </w:trPr>
              <w:tc>
                <w:tcPr>
                  <w:tcW w:w="216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7" w:type="dxa"/>
                  <w:tcBorders>
                    <w:top w:val="nil"/>
                    <w:left w:val="nil"/>
                    <w:bottom w:val="single" w:color="auto" w:sz="4" w:space="0"/>
                    <w:right w:val="single" w:color="auto" w:sz="4" w:space="0"/>
                  </w:tcBorders>
                  <w:vAlign w:val="center"/>
                </w:tcPr>
                <w:p>
                  <w:pPr>
                    <w:widowControl/>
                    <w:tabs>
                      <w:tab w:val="left" w:pos="419"/>
                    </w:tabs>
                    <w:jc w:val="left"/>
                    <w:rPr>
                      <w:rFonts w:ascii="仿宋_GB2312" w:hAnsi="宋体" w:eastAsia="仿宋_GB2312" w:cs="宋体"/>
                      <w:color w:val="FF0000"/>
                      <w:kern w:val="0"/>
                      <w:sz w:val="24"/>
                      <w:szCs w:val="24"/>
                    </w:rPr>
                  </w:pPr>
                </w:p>
              </w:tc>
              <w:tc>
                <w:tcPr>
                  <w:tcW w:w="141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p>
              </w:tc>
              <w:tc>
                <w:tcPr>
                  <w:tcW w:w="240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379" w:hRule="atLeast"/>
                <w:jc w:val="center"/>
              </w:trPr>
              <w:tc>
                <w:tcPr>
                  <w:tcW w:w="2165" w:type="dxa"/>
                  <w:tcBorders>
                    <w:top w:val="nil"/>
                    <w:left w:val="nil"/>
                    <w:bottom w:val="nil"/>
                    <w:right w:val="nil"/>
                  </w:tcBorders>
                  <w:vAlign w:val="center"/>
                </w:tcPr>
                <w:p>
                  <w:pPr>
                    <w:widowControl/>
                    <w:jc w:val="left"/>
                    <w:rPr>
                      <w:rFonts w:ascii="宋体" w:hAnsi="宋体" w:cs="宋体"/>
                      <w:kern w:val="0"/>
                      <w:sz w:val="24"/>
                      <w:szCs w:val="24"/>
                    </w:rPr>
                  </w:pPr>
                </w:p>
              </w:tc>
              <w:tc>
                <w:tcPr>
                  <w:tcW w:w="1277" w:type="dxa"/>
                  <w:tcBorders>
                    <w:top w:val="nil"/>
                    <w:left w:val="nil"/>
                    <w:bottom w:val="nil"/>
                    <w:right w:val="nil"/>
                  </w:tcBorders>
                  <w:vAlign w:val="center"/>
                </w:tcPr>
                <w:p>
                  <w:pPr>
                    <w:widowControl/>
                    <w:jc w:val="left"/>
                    <w:rPr>
                      <w:rFonts w:ascii="宋体" w:hAnsi="宋体" w:cs="宋体"/>
                      <w:kern w:val="0"/>
                      <w:sz w:val="24"/>
                      <w:szCs w:val="24"/>
                    </w:rPr>
                  </w:pPr>
                </w:p>
              </w:tc>
              <w:tc>
                <w:tcPr>
                  <w:tcW w:w="1419" w:type="dxa"/>
                  <w:tcBorders>
                    <w:top w:val="nil"/>
                    <w:left w:val="nil"/>
                    <w:bottom w:val="nil"/>
                    <w:right w:val="nil"/>
                  </w:tcBorders>
                  <w:vAlign w:val="center"/>
                </w:tcPr>
                <w:p>
                  <w:pPr>
                    <w:widowControl/>
                    <w:jc w:val="left"/>
                    <w:rPr>
                      <w:rFonts w:ascii="宋体" w:hAnsi="宋体" w:cs="宋体"/>
                      <w:kern w:val="0"/>
                      <w:sz w:val="24"/>
                      <w:szCs w:val="24"/>
                    </w:rPr>
                  </w:pPr>
                </w:p>
              </w:tc>
              <w:tc>
                <w:tcPr>
                  <w:tcW w:w="837" w:type="dxa"/>
                  <w:tcBorders>
                    <w:top w:val="nil"/>
                    <w:left w:val="nil"/>
                    <w:bottom w:val="nil"/>
                    <w:right w:val="nil"/>
                  </w:tcBorders>
                  <w:vAlign w:val="center"/>
                </w:tcPr>
                <w:p>
                  <w:pPr>
                    <w:widowControl/>
                    <w:jc w:val="left"/>
                    <w:rPr>
                      <w:rFonts w:ascii="宋体" w:hAnsi="宋体" w:cs="宋体"/>
                      <w:kern w:val="0"/>
                      <w:sz w:val="24"/>
                      <w:szCs w:val="24"/>
                    </w:rPr>
                  </w:pPr>
                </w:p>
              </w:tc>
              <w:tc>
                <w:tcPr>
                  <w:tcW w:w="2402"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before="10" w:after="10"/>
        <w:ind w:firstLine="560"/>
        <w:jc w:val="left"/>
        <w:outlineLvl w:val="1"/>
        <w:rPr>
          <w:rFonts w:ascii="方正黑体_GBK" w:hAnsi="方正黑体_GBK" w:eastAsia="方正黑体_GBK" w:cs="方正黑体_GBK"/>
          <w:color w:val="000000"/>
          <w:sz w:val="28"/>
        </w:rPr>
      </w:pPr>
      <w:bookmarkStart w:id="0" w:name="_Toc_2_2_0000000001"/>
    </w:p>
    <w:p>
      <w:pPr>
        <w:spacing w:before="10" w:after="10"/>
        <w:ind w:firstLine="560"/>
        <w:jc w:val="left"/>
        <w:outlineLvl w:val="1"/>
      </w:pPr>
      <w:r>
        <w:rPr>
          <w:rFonts w:ascii="方正黑体_GBK" w:hAnsi="方正黑体_GBK" w:eastAsia="方正黑体_GBK" w:cs="方正黑体_GBK"/>
          <w:color w:val="000000"/>
          <w:sz w:val="28"/>
        </w:rPr>
        <w:t>一、总体绩效目标</w:t>
      </w:r>
      <w:bookmarkEnd w:id="0"/>
    </w:p>
    <w:p>
      <w:pPr>
        <w:pStyle w:val="13"/>
        <w:ind w:left="0" w:leftChars="0" w:firstLine="560" w:firstLineChars="200"/>
      </w:pPr>
      <w:r>
        <w:rPr>
          <w:rFonts w:ascii="Times New Roman" w:hAnsi="Times New Roman" w:eastAsia="方正仿宋_GBK" w:cs="Times New Roman"/>
          <w:color w:val="000000"/>
          <w:kern w:val="2"/>
          <w:sz w:val="28"/>
          <w:szCs w:val="22"/>
          <w:lang w:val="en-US" w:eastAsia="zh-CN" w:bidi="ar-SA"/>
        </w:rPr>
        <w:t>根据区财政预算绩效管理要求，我</w:t>
      </w:r>
      <w:r>
        <w:rPr>
          <w:rFonts w:hint="eastAsia" w:cs="Times New Roman"/>
          <w:color w:val="000000"/>
          <w:kern w:val="2"/>
          <w:sz w:val="28"/>
          <w:szCs w:val="22"/>
          <w:lang w:val="en-US" w:eastAsia="zh-CN" w:bidi="ar-SA"/>
        </w:rPr>
        <w:t>单位</w:t>
      </w:r>
      <w:r>
        <w:rPr>
          <w:rFonts w:ascii="Times New Roman" w:hAnsi="Times New Roman" w:eastAsia="方正仿宋_GBK" w:cs="Times New Roman"/>
          <w:color w:val="000000"/>
          <w:kern w:val="2"/>
          <w:sz w:val="28"/>
          <w:szCs w:val="22"/>
          <w:lang w:val="en-US" w:eastAsia="zh-CN" w:bidi="ar-SA"/>
        </w:rPr>
        <w:t>以“</w:t>
      </w:r>
      <w:r>
        <w:rPr>
          <w:rFonts w:hint="eastAsia" w:cs="Times New Roman"/>
          <w:color w:val="000000"/>
          <w:kern w:val="2"/>
          <w:sz w:val="28"/>
          <w:szCs w:val="22"/>
          <w:lang w:val="en-US" w:eastAsia="zh-CN" w:bidi="ar-SA"/>
        </w:rPr>
        <w:t>单位</w:t>
      </w:r>
      <w:r>
        <w:rPr>
          <w:rFonts w:ascii="Times New Roman" w:hAnsi="Times New Roman" w:eastAsia="方正仿宋_GBK" w:cs="Times New Roman"/>
          <w:color w:val="000000"/>
          <w:kern w:val="2"/>
          <w:sz w:val="28"/>
          <w:szCs w:val="22"/>
          <w:lang w:val="en-US" w:eastAsia="zh-CN" w:bidi="ar-SA"/>
        </w:rPr>
        <w:t>职责 —工作活动”为依据，强化举措，攻坚克难，按照“管理、服务、执法”三位一体的格局，持续开展了市容秩序和环境卫生综合整治活动，扎实开展了创城和大气污染防治工作，实现城市管理持续化、常态化、精细化，进一步完善市政服务设施，加强园</w:t>
      </w:r>
      <w:r>
        <w:t>林绿化管理养护，提高城市承载能力，提升城市形象和品位，营造出干净整洁、和谐宜居的城区环境。</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4"/>
      </w:pPr>
      <w:r>
        <w:t>1、提高城区环境卫生质量，改善人居环境。</w:t>
      </w:r>
    </w:p>
    <w:p>
      <w:pPr>
        <w:pStyle w:val="14"/>
      </w:pPr>
      <w:r>
        <w:t>绩效目标：城区道路清扫水平进一步提高，城区内生活垃圾清扫更及时，更干净；公厕进行了更专业化的管理，有效保护环境，提高全城区环境卫生质量，使整个城区内环境卫生有了很大的提高。</w:t>
      </w:r>
    </w:p>
    <w:p>
      <w:pPr>
        <w:pStyle w:val="14"/>
      </w:pPr>
      <w:r>
        <w:t>绩效指标：机械化清扫作业率100%；垃圾收集运输工作已全部市场化运营，做到了垃圾日产日清，无积存；公厕管理做到干净，整洁、无杂物。</w:t>
      </w:r>
    </w:p>
    <w:p>
      <w:pPr>
        <w:pStyle w:val="14"/>
      </w:pPr>
      <w:r>
        <w:t>2、</w:t>
      </w:r>
      <w:r>
        <w:tab/>
      </w:r>
      <w:r>
        <w:t>进一步充实执法力量，加强执法队伍建设。</w:t>
      </w:r>
    </w:p>
    <w:p>
      <w:pPr>
        <w:pStyle w:val="14"/>
      </w:pPr>
      <w:r>
        <w:t>绩效目标：2022年我单位协管员40名，协助执法人员开展城市管理工作，营造了干净、整洁、有序的城市环境。</w:t>
      </w:r>
    </w:p>
    <w:p>
      <w:pPr>
        <w:pStyle w:val="14"/>
      </w:pPr>
      <w:r>
        <w:t>绩效指标：通过协管人员协助执法，促进社会安定，树立执法队伍的形象，实现城市管理工作的“持续化、常态化、精细化”目标。</w:t>
      </w:r>
    </w:p>
    <w:p>
      <w:pPr>
        <w:pStyle w:val="14"/>
      </w:pPr>
      <w:r>
        <w:t>3、加大执法巡逻力度，保障执法工作正常运行。</w:t>
      </w:r>
    </w:p>
    <w:p>
      <w:pPr>
        <w:pStyle w:val="14"/>
      </w:pPr>
      <w:r>
        <w:t>绩效目标：我单位车辆分为自购车辆和租用车辆，执法车辆</w:t>
      </w:r>
    </w:p>
    <w:p>
      <w:pPr>
        <w:pStyle w:val="14"/>
      </w:pPr>
      <w:r>
        <w:t>日夜巡逻，全天候不间断运行，维护了城市秩序，保障了居民安全出行。</w:t>
      </w:r>
    </w:p>
    <w:p>
      <w:pPr>
        <w:pStyle w:val="14"/>
      </w:pPr>
      <w:r>
        <w:t>绩效指标：维护城市市容市貌秩序完成率大于等于90%、维护城市管理秩序、规范城乡建设环境完成率大于等于90%，充分利用车辆，加大巡逻力度，保障执法运转率100%。</w:t>
      </w:r>
    </w:p>
    <w:p>
      <w:pPr>
        <w:pStyle w:val="14"/>
      </w:pPr>
      <w:r>
        <w:t>4、满足徐水区污水处理需求，保障出水水质达标，实现“清水入淀，润泽雄安”。</w:t>
      </w:r>
    </w:p>
    <w:p>
      <w:pPr>
        <w:pStyle w:val="14"/>
      </w:pPr>
      <w:r>
        <w:t>绩效目标：徐水污水处理厂二期工程项目总体绩效目标为：新建3万吨/日污水处理厂一座；出水水质执行《大清河流域水污染物排放标准》(DB132795-2018)中的核心区域污染物排放标准。</w:t>
      </w:r>
    </w:p>
    <w:p>
      <w:pPr>
        <w:pStyle w:val="14"/>
      </w:pPr>
      <w:r>
        <w:t>绩效指标：改善污水处理能力，提高污水处理厂处理污水能力，保护并改善雄安新区上游水环境，效果明显；提升徐水区内河的水体水质，处理后的出水用于灌溉农田，促进农业发展，效果明显。</w:t>
      </w:r>
    </w:p>
    <w:p>
      <w:pPr>
        <w:pStyle w:val="14"/>
      </w:pPr>
      <w:r>
        <w:t xml:space="preserve">5、持续推进生态园林城市建设，提升城区园林绿化品质。 </w:t>
      </w:r>
    </w:p>
    <w:p>
      <w:pPr>
        <w:pStyle w:val="14"/>
      </w:pPr>
      <w:r>
        <w:t>绩效目标：结合我区园林绿化实际情况，通过政府采购方式与专业的绿化养护公司签订合同，对我区公园、游园、行道树、道路绿化进行了专业的管理养护，进一步提升城区园林绿化品质。</w:t>
      </w:r>
    </w:p>
    <w:p>
      <w:pPr>
        <w:pStyle w:val="14"/>
      </w:pPr>
      <w:r>
        <w:t>绩效指标：绿地率达到39.9%；人均公园绿地面积达到14.6平方米。</w:t>
      </w:r>
    </w:p>
    <w:p>
      <w:pPr>
        <w:pStyle w:val="14"/>
      </w:pPr>
      <w:r>
        <w:t>6、市政设施的管理与维护。</w:t>
      </w:r>
    </w:p>
    <w:p>
      <w:pPr>
        <w:pStyle w:val="14"/>
      </w:pPr>
      <w:r>
        <w:t>绩效目标：负责城市道路、桥梁、路灯照明、燃气、供热等市政公用设施运行管理与维护工作，保障市政设施的完好，为居民的生活出行提供便利条件。</w:t>
      </w:r>
    </w:p>
    <w:p>
      <w:pPr>
        <w:pStyle w:val="14"/>
      </w:pPr>
      <w:r>
        <w:t>绩效指标：路灯照明率达到95%以上，燃气普及率达到100%。</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5"/>
      </w:pPr>
      <w:r>
        <w:t>为充分履行我单位</w:t>
      </w:r>
      <w:r>
        <w:rPr>
          <w:rFonts w:hint="eastAsia"/>
          <w:lang w:eastAsia="zh-CN"/>
        </w:rPr>
        <w:t>单位</w:t>
      </w:r>
      <w:r>
        <w:t>职责，达到上述绩效目标要求，并保证年度发展规划目标的顺利实现，采取下列几项措施：</w:t>
      </w:r>
    </w:p>
    <w:p>
      <w:pPr>
        <w:pStyle w:val="15"/>
      </w:pPr>
      <w:r>
        <w:t>完善制度建设：通过不断完善支付制度，保证预算绩效目标顺利完成。</w:t>
      </w:r>
    </w:p>
    <w:p>
      <w:pPr>
        <w:pStyle w:val="15"/>
      </w:pPr>
      <w:r>
        <w:t>加强支出管理：通过优化支出结构、编细编实预算、加快履行政府采购手续、尽快启动项目、尽快支付资金等多项措施保证达到支出进度。</w:t>
      </w:r>
    </w:p>
    <w:p>
      <w:pPr>
        <w:pStyle w:val="15"/>
      </w:pPr>
      <w:r>
        <w:t>加强绩效运行监控:按要求开展绩效运行监控，发现问题及时采取措施，确保绩效目标保质如期实现。</w:t>
      </w:r>
    </w:p>
    <w:p>
      <w:pPr>
        <w:pStyle w:val="15"/>
      </w:pPr>
      <w:r>
        <w:t>做好绩效自评：按要求开展上一年度预算绩效自评和重点评价工作，对评价中发现的问题及时整改，调整优化支出结构，提高财政资金使用效益。</w:t>
      </w:r>
    </w:p>
    <w:p>
      <w:pPr>
        <w:pStyle w:val="15"/>
      </w:pPr>
      <w:r>
        <w:t>规范财务资产管理：完善财务管理制度，严格审批程序，加强固定资产登记、使用管理和报废处理管理，做到支出合理，物尽其用。</w:t>
      </w:r>
    </w:p>
    <w:p>
      <w:pPr>
        <w:pStyle w:val="15"/>
      </w:pPr>
      <w: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pStyle w:val="15"/>
      </w:pPr>
      <w:r>
        <w:t>加强宣传培训调研等：加强人员培训，提高本</w:t>
      </w:r>
      <w:r>
        <w:rPr>
          <w:rFonts w:hint="eastAsia"/>
          <w:lang w:eastAsia="zh-CN"/>
        </w:rPr>
        <w:t>单位</w:t>
      </w:r>
      <w:r>
        <w:t>职工业务素质；加强调研，提出优化财政资金配置、提高资金使用效益的建议；加大宣传力度，强化预算绩效管理意识，促进预算绩效管理水平进一步提高。</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numPr>
          <w:ilvl w:val="0"/>
          <w:numId w:val="0"/>
        </w:numPr>
        <w:spacing w:line="360" w:lineRule="auto"/>
        <w:ind w:firstLine="560" w:firstLineChars="200"/>
        <w:rPr>
          <w:rFonts w:ascii="Times New Roman" w:hAnsi="Times New Roman" w:eastAsia="方正仿宋_GBK" w:cs="Times New Roman"/>
          <w:color w:val="000000"/>
          <w:kern w:val="2"/>
          <w:sz w:val="28"/>
          <w:szCs w:val="22"/>
          <w:lang w:val="en-US" w:eastAsia="zh-CN" w:bidi="ar-SA"/>
        </w:rPr>
      </w:pP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无政府采购预算，空表列示。</w:t>
      </w:r>
    </w:p>
    <w:tbl>
      <w:tblPr>
        <w:tblStyle w:val="5"/>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04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单位政府采购预算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24"/>
                <w:szCs w:val="24"/>
                <w:u w:val="none"/>
                <w:lang w:val="en-US"/>
              </w:rPr>
            </w:pPr>
            <w:r>
              <w:rPr>
                <w:rFonts w:hint="default" w:ascii="Times New Roman" w:hAnsi="Times New Roman" w:eastAsia="等线" w:cs="Times New Roman"/>
                <w:i w:val="0"/>
                <w:iCs w:val="0"/>
                <w:color w:val="000000"/>
                <w:sz w:val="24"/>
                <w:szCs w:val="24"/>
                <w:u w:val="none"/>
                <w:lang w:val="en-US"/>
              </w:rPr>
              <w:t>506003</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政府采购项目来源</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采购物品名称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政府采购目录序号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计量  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数量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单价</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政府采购金额（当年部门预算安排资金）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预算资金</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一般公共预算拨款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基金预算拨款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国有资本经营预算拨款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财政专户核拨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合  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bookmarkStart w:id="3" w:name="_Toc_2_2_0000000007"/>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both"/>
        <w:outlineLvl w:val="1"/>
        <w:rPr>
          <w:rFonts w:ascii="方正小标宋_GBK" w:hAnsi="方正小标宋_GBK" w:eastAsia="方正小标宋_GBK" w:cs="方正小标宋_GBK"/>
          <w:color w:val="000000"/>
          <w:sz w:val="32"/>
        </w:rPr>
        <w:sectPr>
          <w:footerReference r:id="rId3" w:type="default"/>
          <w:pgSz w:w="16838" w:h="11906" w:orient="landscape"/>
          <w:pgMar w:top="1800" w:right="1440" w:bottom="1800" w:left="1440" w:header="851" w:footer="992" w:gutter="0"/>
          <w:cols w:space="425" w:num="1"/>
          <w:docGrid w:type="lines" w:linePitch="312" w:charSpace="0"/>
        </w:sectPr>
      </w:pPr>
    </w:p>
    <w:bookmarkEnd w:id="3"/>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numPr>
          <w:ilvl w:val="0"/>
          <w:numId w:val="0"/>
        </w:numPr>
        <w:spacing w:line="360" w:lineRule="auto"/>
        <w:ind w:firstLine="560" w:firstLineChars="200"/>
        <w:rPr>
          <w:rFonts w:hint="eastAsia" w:ascii="Times New Roman" w:hAnsi="Times New Roman" w:eastAsia="方正仿宋_GBK" w:cs="Times New Roman"/>
          <w:color w:val="000000"/>
          <w:kern w:val="2"/>
          <w:sz w:val="28"/>
          <w:szCs w:val="22"/>
          <w:lang w:val="en-US" w:eastAsia="zh-CN" w:bidi="ar-SA"/>
        </w:rPr>
      </w:pPr>
    </w:p>
    <w:p>
      <w:pPr>
        <w:numPr>
          <w:ilvl w:val="0"/>
          <w:numId w:val="0"/>
        </w:numPr>
        <w:spacing w:line="360" w:lineRule="auto"/>
        <w:ind w:firstLine="560" w:firstLineChars="200"/>
        <w:rPr>
          <w:rFonts w:ascii="Times New Roman" w:hAnsi="Times New Roman" w:eastAsia="方正仿宋_GBK" w:cs="Times New Roman"/>
          <w:color w:val="000000"/>
          <w:kern w:val="2"/>
          <w:sz w:val="28"/>
          <w:szCs w:val="22"/>
          <w:lang w:val="en-US" w:eastAsia="zh-CN" w:bidi="ar-SA"/>
        </w:rPr>
      </w:pPr>
      <w:r>
        <w:rPr>
          <w:rFonts w:hint="eastAsia" w:ascii="Times New Roman" w:hAnsi="Times New Roman" w:eastAsia="方正仿宋_GBK" w:cs="Times New Roman"/>
          <w:color w:val="000000"/>
          <w:kern w:val="2"/>
          <w:sz w:val="28"/>
          <w:szCs w:val="22"/>
          <w:lang w:val="en-US" w:eastAsia="zh-CN" w:bidi="ar-SA"/>
        </w:rPr>
        <w:t>上年末我单位固定资产总金额为</w:t>
      </w:r>
      <w:r>
        <w:rPr>
          <w:rFonts w:hint="default" w:ascii="Times New Roman" w:hAnsi="Times New Roman" w:eastAsia="方正仿宋_GBK" w:cs="Times New Roman"/>
          <w:color w:val="000000"/>
          <w:kern w:val="2"/>
          <w:sz w:val="28"/>
          <w:szCs w:val="22"/>
          <w:lang w:val="en-US" w:eastAsia="zh-CN" w:bidi="ar-SA"/>
        </w:rPr>
        <w:t>0</w:t>
      </w:r>
      <w:r>
        <w:rPr>
          <w:rFonts w:hint="eastAsia" w:ascii="Times New Roman" w:hAnsi="Times New Roman" w:eastAsia="方正仿宋_GBK" w:cs="Times New Roman"/>
          <w:color w:val="000000"/>
          <w:kern w:val="2"/>
          <w:sz w:val="28"/>
          <w:szCs w:val="22"/>
          <w:lang w:val="en-US" w:eastAsia="zh-CN" w:bidi="ar-SA"/>
        </w:rPr>
        <w:t>万元（详见下表）。</w:t>
      </w:r>
      <w:r>
        <w:rPr>
          <w:rFonts w:ascii="Times New Roman" w:hAnsi="Times New Roman" w:eastAsia="方正仿宋_GBK" w:cs="Times New Roman"/>
          <w:color w:val="000000"/>
          <w:kern w:val="2"/>
          <w:sz w:val="28"/>
          <w:szCs w:val="22"/>
          <w:lang w:val="en-US" w:eastAsia="zh-CN" w:bidi="ar-SA"/>
        </w:rPr>
        <w:t xml:space="preserve"> </w:t>
      </w:r>
      <w:r>
        <w:rPr>
          <w:rFonts w:hint="eastAsia" w:ascii="Times New Roman" w:hAnsi="Times New Roman" w:eastAsia="方正仿宋_GBK" w:cs="Times New Roman"/>
          <w:color w:val="000000"/>
          <w:kern w:val="2"/>
          <w:sz w:val="28"/>
          <w:szCs w:val="22"/>
          <w:lang w:val="en-US" w:eastAsia="zh-CN" w:bidi="ar-SA"/>
        </w:rPr>
        <w:t>我单位本年度无国有资产购置计划，拟购置金额为</w:t>
      </w:r>
      <w:r>
        <w:rPr>
          <w:rFonts w:ascii="Times New Roman" w:hAnsi="Times New Roman" w:eastAsia="方正仿宋_GBK" w:cs="Times New Roman"/>
          <w:color w:val="000000"/>
          <w:kern w:val="2"/>
          <w:sz w:val="28"/>
          <w:szCs w:val="22"/>
          <w:lang w:val="en-US" w:eastAsia="zh-CN" w:bidi="ar-SA"/>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hint="eastAsia" w:ascii="仿宋_GB2312" w:hAnsi="仿宋" w:eastAsia="仿宋_GB2312" w:cs="宋体"/>
                <w:bCs/>
                <w:color w:val="0000FF"/>
                <w:kern w:val="0"/>
                <w:sz w:val="28"/>
                <w:szCs w:val="28"/>
              </w:rPr>
              <w:t>：</w:t>
            </w:r>
            <w:r>
              <w:rPr>
                <w:rFonts w:ascii="仿宋_GB2312" w:hAnsi="仿宋" w:eastAsia="仿宋_GB2312" w:cs="宋体"/>
                <w:bCs/>
                <w:color w:val="auto"/>
                <w:kern w:val="0"/>
                <w:sz w:val="28"/>
                <w:szCs w:val="28"/>
              </w:rPr>
              <w:t>202</w:t>
            </w:r>
            <w:r>
              <w:rPr>
                <w:rFonts w:hint="default" w:ascii="仿宋_GB2312" w:hAnsi="仿宋" w:eastAsia="仿宋_GB2312" w:cs="宋体"/>
                <w:bCs/>
                <w:color w:val="auto"/>
                <w:kern w:val="0"/>
                <w:sz w:val="28"/>
                <w:szCs w:val="28"/>
                <w:lang w:val="en-US"/>
              </w:rPr>
              <w:t>1</w:t>
            </w:r>
            <w:r>
              <w:rPr>
                <w:rFonts w:hint="eastAsia" w:ascii="仿宋_GB2312" w:hAnsi="仿宋" w:eastAsia="仿宋_GB2312" w:cs="宋体"/>
                <w:bCs/>
                <w:color w:val="auto"/>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auto"/>
                <w:kern w:val="0"/>
                <w:sz w:val="24"/>
                <w:szCs w:val="24"/>
                <w:highlight w:val="none"/>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auto"/>
                <w:kern w:val="0"/>
                <w:sz w:val="24"/>
                <w:szCs w:val="24"/>
                <w:highlight w:val="none"/>
                <w:lang w:val="en-US" w:eastAsia="zh-CN"/>
              </w:rPr>
            </w:pP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numPr>
          <w:ilvl w:val="0"/>
          <w:numId w:val="0"/>
        </w:numPr>
        <w:spacing w:line="360" w:lineRule="auto"/>
        <w:ind w:firstLine="560" w:firstLineChars="200"/>
        <w:rPr>
          <w:rFonts w:hint="eastAsia" w:ascii="Times New Roman" w:hAnsi="Times New Roman" w:eastAsia="方正仿宋_GBK" w:cs="Times New Roman"/>
          <w:color w:val="000000"/>
          <w:kern w:val="2"/>
          <w:sz w:val="28"/>
          <w:szCs w:val="22"/>
          <w:lang w:val="en-US" w:eastAsia="zh-CN" w:bidi="ar-SA"/>
        </w:rPr>
      </w:pPr>
      <w:r>
        <w:rPr>
          <w:rFonts w:hint="eastAsia" w:ascii="Times New Roman" w:hAnsi="Times New Roman" w:eastAsia="方正仿宋_GBK" w:cs="Times New Roman"/>
          <w:color w:val="000000"/>
          <w:kern w:val="2"/>
          <w:sz w:val="28"/>
          <w:szCs w:val="22"/>
          <w:lang w:val="en-US" w:eastAsia="zh-CN" w:bidi="ar-SA"/>
        </w:rPr>
        <w:t>1、一般公共预算财政拨款收入：指区级财政当年拨付的资金。</w:t>
      </w:r>
    </w:p>
    <w:p>
      <w:pPr>
        <w:numPr>
          <w:ilvl w:val="0"/>
          <w:numId w:val="0"/>
        </w:numPr>
        <w:spacing w:line="360" w:lineRule="auto"/>
        <w:ind w:firstLine="560" w:firstLineChars="200"/>
        <w:rPr>
          <w:rFonts w:hint="eastAsia" w:ascii="Times New Roman" w:hAnsi="Times New Roman" w:eastAsia="方正仿宋_GBK" w:cs="Times New Roman"/>
          <w:color w:val="000000"/>
          <w:kern w:val="2"/>
          <w:sz w:val="28"/>
          <w:szCs w:val="22"/>
          <w:lang w:val="en-US" w:eastAsia="zh-CN" w:bidi="ar-SA"/>
        </w:rPr>
      </w:pPr>
      <w:r>
        <w:rPr>
          <w:rFonts w:hint="eastAsia" w:ascii="Times New Roman" w:hAnsi="Times New Roman" w:eastAsia="方正仿宋_GBK" w:cs="Times New Roman"/>
          <w:color w:val="000000"/>
          <w:kern w:val="2"/>
          <w:sz w:val="28"/>
          <w:szCs w:val="22"/>
          <w:lang w:val="en-US" w:eastAsia="zh-CN" w:bidi="ar-SA"/>
        </w:rPr>
        <w:t>2、其他收入：指除上述“财政拨款收入”、“事业收入”等以外的收入。</w:t>
      </w:r>
    </w:p>
    <w:p>
      <w:pPr>
        <w:numPr>
          <w:ilvl w:val="0"/>
          <w:numId w:val="0"/>
        </w:numPr>
        <w:spacing w:line="360" w:lineRule="auto"/>
        <w:ind w:firstLine="560" w:firstLineChars="200"/>
        <w:rPr>
          <w:rFonts w:hint="eastAsia" w:ascii="Times New Roman" w:hAnsi="Times New Roman" w:eastAsia="方正仿宋_GBK" w:cs="Times New Roman"/>
          <w:color w:val="000000"/>
          <w:kern w:val="2"/>
          <w:sz w:val="28"/>
          <w:szCs w:val="22"/>
          <w:lang w:val="en-US" w:eastAsia="zh-CN" w:bidi="ar-SA"/>
        </w:rPr>
      </w:pPr>
      <w:r>
        <w:rPr>
          <w:rFonts w:hint="eastAsia" w:ascii="Times New Roman" w:hAnsi="Times New Roman" w:eastAsia="方正仿宋_GBK" w:cs="Times New Roman"/>
          <w:color w:val="000000"/>
          <w:kern w:val="2"/>
          <w:sz w:val="28"/>
          <w:szCs w:val="22"/>
          <w:lang w:val="en-US" w:eastAsia="zh-CN" w:bidi="ar-SA"/>
        </w:rPr>
        <w:t>3、基本支出：指为保障机构正常运转、完成日常工作任务而发生的人员支出和公用支出。</w:t>
      </w:r>
    </w:p>
    <w:p>
      <w:pPr>
        <w:numPr>
          <w:ilvl w:val="0"/>
          <w:numId w:val="0"/>
        </w:numPr>
        <w:spacing w:line="360" w:lineRule="auto"/>
        <w:ind w:firstLine="560" w:firstLineChars="200"/>
        <w:rPr>
          <w:rFonts w:hint="eastAsia" w:ascii="Times New Roman" w:hAnsi="Times New Roman" w:eastAsia="方正仿宋_GBK" w:cs="Times New Roman"/>
          <w:color w:val="000000"/>
          <w:kern w:val="2"/>
          <w:sz w:val="28"/>
          <w:szCs w:val="22"/>
          <w:lang w:val="en-US" w:eastAsia="zh-CN" w:bidi="ar-SA"/>
        </w:rPr>
      </w:pPr>
      <w:r>
        <w:rPr>
          <w:rFonts w:hint="eastAsia" w:ascii="Times New Roman" w:hAnsi="Times New Roman" w:eastAsia="方正仿宋_GBK" w:cs="Times New Roman"/>
          <w:color w:val="000000"/>
          <w:kern w:val="2"/>
          <w:sz w:val="28"/>
          <w:szCs w:val="22"/>
          <w:lang w:val="en-US" w:eastAsia="zh-CN" w:bidi="ar-SA"/>
        </w:rPr>
        <w:t>4、项目支出：指在基本支出之外为完成特定行政任务和事业发展目标所发生的支出。</w:t>
      </w:r>
    </w:p>
    <w:p>
      <w:pPr>
        <w:numPr>
          <w:ilvl w:val="0"/>
          <w:numId w:val="0"/>
        </w:numPr>
        <w:spacing w:line="360" w:lineRule="auto"/>
        <w:ind w:firstLine="560" w:firstLineChars="200"/>
        <w:rPr>
          <w:rFonts w:hint="eastAsia" w:ascii="Times New Roman" w:hAnsi="Times New Roman" w:eastAsia="方正仿宋_GBK" w:cs="Times New Roman"/>
          <w:color w:val="000000"/>
          <w:kern w:val="2"/>
          <w:sz w:val="28"/>
          <w:szCs w:val="22"/>
          <w:lang w:val="en-US" w:eastAsia="zh-CN" w:bidi="ar-SA"/>
        </w:rPr>
      </w:pPr>
      <w:r>
        <w:rPr>
          <w:rFonts w:hint="eastAsia" w:ascii="Times New Roman" w:hAnsi="Times New Roman" w:eastAsia="方正仿宋_GBK" w:cs="Times New Roman"/>
          <w:color w:val="000000"/>
          <w:kern w:val="2"/>
          <w:sz w:val="28"/>
          <w:szCs w:val="22"/>
          <w:lang w:val="en-US" w:eastAsia="zh-CN" w:bidi="ar-SA"/>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numPr>
          <w:ilvl w:val="0"/>
          <w:numId w:val="0"/>
        </w:numPr>
        <w:spacing w:line="360" w:lineRule="auto"/>
        <w:ind w:firstLine="560" w:firstLineChars="200"/>
        <w:rPr>
          <w:rFonts w:hint="eastAsia" w:ascii="Times New Roman" w:hAnsi="Times New Roman" w:eastAsia="方正仿宋_GBK" w:cs="Times New Roman"/>
          <w:color w:val="000000"/>
          <w:kern w:val="2"/>
          <w:sz w:val="28"/>
          <w:szCs w:val="22"/>
          <w:lang w:val="en-US" w:eastAsia="zh-CN" w:bidi="ar-SA"/>
        </w:rPr>
      </w:pPr>
      <w:r>
        <w:rPr>
          <w:rFonts w:hint="eastAsia" w:ascii="Times New Roman" w:hAnsi="Times New Roman" w:eastAsia="方正仿宋_GBK" w:cs="Times New Roman"/>
          <w:color w:val="000000"/>
          <w:kern w:val="2"/>
          <w:sz w:val="28"/>
          <w:szCs w:val="22"/>
          <w:lang w:val="en-US" w:eastAsia="zh-CN" w:bidi="ar-SA"/>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0"/>
          <w:numId w:val="0"/>
        </w:numPr>
        <w:spacing w:line="360" w:lineRule="auto"/>
        <w:ind w:firstLine="560" w:firstLineChars="200"/>
        <w:rPr>
          <w:rFonts w:hint="eastAsia" w:ascii="Times New Roman" w:hAnsi="Times New Roman" w:eastAsia="方正仿宋_GBK" w:cs="Times New Roman"/>
          <w:color w:val="000000"/>
          <w:kern w:val="2"/>
          <w:sz w:val="28"/>
          <w:szCs w:val="22"/>
          <w:lang w:val="en-US" w:eastAsia="zh-CN" w:bidi="ar-SA"/>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numPr>
          <w:ilvl w:val="0"/>
          <w:numId w:val="0"/>
        </w:numPr>
        <w:spacing w:line="360" w:lineRule="auto"/>
        <w:ind w:firstLine="560" w:firstLineChars="200"/>
        <w:rPr>
          <w:rFonts w:hint="eastAsia" w:ascii="Times New Roman" w:hAnsi="Times New Roman" w:eastAsia="方正仿宋_GBK" w:cs="Times New Roman"/>
          <w:color w:val="000000"/>
          <w:kern w:val="2"/>
          <w:sz w:val="28"/>
          <w:szCs w:val="22"/>
          <w:lang w:val="en-US" w:eastAsia="zh-CN" w:bidi="ar-SA"/>
        </w:rPr>
      </w:pPr>
      <w:r>
        <w:rPr>
          <w:rFonts w:hint="eastAsia" w:ascii="Times New Roman" w:hAnsi="Times New Roman" w:eastAsia="方正仿宋_GBK" w:cs="Times New Roman"/>
          <w:color w:val="000000"/>
          <w:kern w:val="2"/>
          <w:sz w:val="28"/>
          <w:szCs w:val="22"/>
          <w:lang w:val="en-US" w:eastAsia="zh-CN" w:bidi="ar-SA"/>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12819"/>
    <w:multiLevelType w:val="singleLevel"/>
    <w:tmpl w:val="C58128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hYTNmYzJjMmZlZTRjNzllMDk4M2QxOGQ2YWFmNTA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D6FFB"/>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2416B1D"/>
    <w:rsid w:val="0262688E"/>
    <w:rsid w:val="029E5EB1"/>
    <w:rsid w:val="02C4777C"/>
    <w:rsid w:val="02D92D90"/>
    <w:rsid w:val="031D5871"/>
    <w:rsid w:val="03653E59"/>
    <w:rsid w:val="05957B1B"/>
    <w:rsid w:val="073B29D1"/>
    <w:rsid w:val="08284F6E"/>
    <w:rsid w:val="09B600A9"/>
    <w:rsid w:val="09F41152"/>
    <w:rsid w:val="0A214432"/>
    <w:rsid w:val="0A830C2B"/>
    <w:rsid w:val="0AC61362"/>
    <w:rsid w:val="0BA7743F"/>
    <w:rsid w:val="0C5D6C8B"/>
    <w:rsid w:val="0CEC4532"/>
    <w:rsid w:val="0D19540C"/>
    <w:rsid w:val="0D6649E2"/>
    <w:rsid w:val="0DBF0DC3"/>
    <w:rsid w:val="0F24464B"/>
    <w:rsid w:val="0F4F57A4"/>
    <w:rsid w:val="10A61B3D"/>
    <w:rsid w:val="10AA0104"/>
    <w:rsid w:val="115A58DF"/>
    <w:rsid w:val="12532399"/>
    <w:rsid w:val="14761404"/>
    <w:rsid w:val="156819EC"/>
    <w:rsid w:val="156E275C"/>
    <w:rsid w:val="15715CE0"/>
    <w:rsid w:val="169A500F"/>
    <w:rsid w:val="179E069B"/>
    <w:rsid w:val="17FF6231"/>
    <w:rsid w:val="19431837"/>
    <w:rsid w:val="198671DA"/>
    <w:rsid w:val="19FF2871"/>
    <w:rsid w:val="1A0219A7"/>
    <w:rsid w:val="1A387D8D"/>
    <w:rsid w:val="1B080B38"/>
    <w:rsid w:val="1C613C00"/>
    <w:rsid w:val="1C6841A3"/>
    <w:rsid w:val="1D8E6DBB"/>
    <w:rsid w:val="1DEA6AC6"/>
    <w:rsid w:val="1E3102A2"/>
    <w:rsid w:val="1EAA1AF6"/>
    <w:rsid w:val="1EFF20FF"/>
    <w:rsid w:val="1F107FCC"/>
    <w:rsid w:val="1F2F40A6"/>
    <w:rsid w:val="1F3F6070"/>
    <w:rsid w:val="20371BF2"/>
    <w:rsid w:val="21E90F3A"/>
    <w:rsid w:val="21EA47DF"/>
    <w:rsid w:val="22096C7C"/>
    <w:rsid w:val="22327A20"/>
    <w:rsid w:val="2268759B"/>
    <w:rsid w:val="2376368F"/>
    <w:rsid w:val="238E1CB9"/>
    <w:rsid w:val="24FA4587"/>
    <w:rsid w:val="24FF11EF"/>
    <w:rsid w:val="25154A48"/>
    <w:rsid w:val="25F541D1"/>
    <w:rsid w:val="26912A06"/>
    <w:rsid w:val="27733670"/>
    <w:rsid w:val="27C50842"/>
    <w:rsid w:val="27EE24A7"/>
    <w:rsid w:val="285233E0"/>
    <w:rsid w:val="287814CA"/>
    <w:rsid w:val="291D6D52"/>
    <w:rsid w:val="2C54566A"/>
    <w:rsid w:val="2CAD784F"/>
    <w:rsid w:val="2D11703D"/>
    <w:rsid w:val="2D2D2A68"/>
    <w:rsid w:val="2D812A68"/>
    <w:rsid w:val="2EC27174"/>
    <w:rsid w:val="2F04155A"/>
    <w:rsid w:val="300A3AA2"/>
    <w:rsid w:val="301B7B0A"/>
    <w:rsid w:val="30323CB2"/>
    <w:rsid w:val="3274128E"/>
    <w:rsid w:val="334B5646"/>
    <w:rsid w:val="33913F9C"/>
    <w:rsid w:val="3602454B"/>
    <w:rsid w:val="36251F78"/>
    <w:rsid w:val="36644AD0"/>
    <w:rsid w:val="36A033DC"/>
    <w:rsid w:val="36D90B57"/>
    <w:rsid w:val="374A686A"/>
    <w:rsid w:val="37FD4B23"/>
    <w:rsid w:val="380A0043"/>
    <w:rsid w:val="39136426"/>
    <w:rsid w:val="394D3696"/>
    <w:rsid w:val="396806EE"/>
    <w:rsid w:val="39DC094B"/>
    <w:rsid w:val="3B203DB5"/>
    <w:rsid w:val="3C477664"/>
    <w:rsid w:val="3D6A4778"/>
    <w:rsid w:val="3E132D15"/>
    <w:rsid w:val="3E4A64B4"/>
    <w:rsid w:val="3E7202F0"/>
    <w:rsid w:val="3E77408D"/>
    <w:rsid w:val="3EE21755"/>
    <w:rsid w:val="3F3E40E1"/>
    <w:rsid w:val="3F497EAC"/>
    <w:rsid w:val="41171179"/>
    <w:rsid w:val="4180187B"/>
    <w:rsid w:val="42183528"/>
    <w:rsid w:val="42742073"/>
    <w:rsid w:val="42A82A7B"/>
    <w:rsid w:val="42CD2929"/>
    <w:rsid w:val="43E9417D"/>
    <w:rsid w:val="44AD0528"/>
    <w:rsid w:val="45493171"/>
    <w:rsid w:val="469304D5"/>
    <w:rsid w:val="46E13191"/>
    <w:rsid w:val="47322E20"/>
    <w:rsid w:val="47365A41"/>
    <w:rsid w:val="4741593D"/>
    <w:rsid w:val="476E1706"/>
    <w:rsid w:val="481004EC"/>
    <w:rsid w:val="490A439C"/>
    <w:rsid w:val="493A50D3"/>
    <w:rsid w:val="49D60857"/>
    <w:rsid w:val="4A5F43D8"/>
    <w:rsid w:val="4A7E0810"/>
    <w:rsid w:val="4C193516"/>
    <w:rsid w:val="4CBA194A"/>
    <w:rsid w:val="4CBB6605"/>
    <w:rsid w:val="4CF37881"/>
    <w:rsid w:val="4D2D2A8C"/>
    <w:rsid w:val="4D917BCD"/>
    <w:rsid w:val="4DF719A6"/>
    <w:rsid w:val="4E563772"/>
    <w:rsid w:val="4F537822"/>
    <w:rsid w:val="4FCF16A9"/>
    <w:rsid w:val="51A06BAC"/>
    <w:rsid w:val="51E6357A"/>
    <w:rsid w:val="51F26009"/>
    <w:rsid w:val="52830F52"/>
    <w:rsid w:val="529138BC"/>
    <w:rsid w:val="52AF3BB5"/>
    <w:rsid w:val="52BE128A"/>
    <w:rsid w:val="52F74345"/>
    <w:rsid w:val="53117F59"/>
    <w:rsid w:val="54486DE0"/>
    <w:rsid w:val="54703B5D"/>
    <w:rsid w:val="552A7FD7"/>
    <w:rsid w:val="552B465F"/>
    <w:rsid w:val="55E335BA"/>
    <w:rsid w:val="55EB4A44"/>
    <w:rsid w:val="56B554CD"/>
    <w:rsid w:val="56E05FE5"/>
    <w:rsid w:val="5758012E"/>
    <w:rsid w:val="581C7C5A"/>
    <w:rsid w:val="5955673D"/>
    <w:rsid w:val="59B02C1F"/>
    <w:rsid w:val="59E41302"/>
    <w:rsid w:val="5ACC3880"/>
    <w:rsid w:val="5C00536A"/>
    <w:rsid w:val="5C487804"/>
    <w:rsid w:val="5C490A53"/>
    <w:rsid w:val="5CE96B71"/>
    <w:rsid w:val="5D0F6149"/>
    <w:rsid w:val="5E33682B"/>
    <w:rsid w:val="5EB922C8"/>
    <w:rsid w:val="5F432363"/>
    <w:rsid w:val="5FC554BF"/>
    <w:rsid w:val="5FC70E71"/>
    <w:rsid w:val="607B33B1"/>
    <w:rsid w:val="60FB34D9"/>
    <w:rsid w:val="62A03B37"/>
    <w:rsid w:val="632B096E"/>
    <w:rsid w:val="637D4063"/>
    <w:rsid w:val="63B409E3"/>
    <w:rsid w:val="644C1BD6"/>
    <w:rsid w:val="646F7DB1"/>
    <w:rsid w:val="64BA05EE"/>
    <w:rsid w:val="657B18FD"/>
    <w:rsid w:val="659E5E41"/>
    <w:rsid w:val="65A27D66"/>
    <w:rsid w:val="66343653"/>
    <w:rsid w:val="6720182B"/>
    <w:rsid w:val="672B2E14"/>
    <w:rsid w:val="67311D92"/>
    <w:rsid w:val="67C17FF7"/>
    <w:rsid w:val="688B090F"/>
    <w:rsid w:val="68A24E55"/>
    <w:rsid w:val="692224B0"/>
    <w:rsid w:val="69296E0B"/>
    <w:rsid w:val="6ABF095B"/>
    <w:rsid w:val="6B4B2BD0"/>
    <w:rsid w:val="6B5B53B2"/>
    <w:rsid w:val="6D5C522A"/>
    <w:rsid w:val="6DED4449"/>
    <w:rsid w:val="6F230CD6"/>
    <w:rsid w:val="7014199F"/>
    <w:rsid w:val="70802DF1"/>
    <w:rsid w:val="70EB0943"/>
    <w:rsid w:val="7522766A"/>
    <w:rsid w:val="763D7C04"/>
    <w:rsid w:val="765647D5"/>
    <w:rsid w:val="78264657"/>
    <w:rsid w:val="78BD6B22"/>
    <w:rsid w:val="796A711F"/>
    <w:rsid w:val="7A5B4BEE"/>
    <w:rsid w:val="7AB833EB"/>
    <w:rsid w:val="7B577CD6"/>
    <w:rsid w:val="7C1978D4"/>
    <w:rsid w:val="7E2627C5"/>
    <w:rsid w:val="7E890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character" w:customStyle="1" w:styleId="23">
    <w:name w:val="font31"/>
    <w:basedOn w:val="6"/>
    <w:uiPriority w:val="0"/>
    <w:rPr>
      <w:rFonts w:hint="default" w:ascii="Times New Roman" w:hAnsi="Times New Roman" w:cs="Times New Roman"/>
      <w:color w:val="000000"/>
      <w:sz w:val="24"/>
      <w:szCs w:val="24"/>
      <w:u w:val="none"/>
    </w:rPr>
  </w:style>
  <w:style w:type="character" w:customStyle="1" w:styleId="24">
    <w:name w:val="font5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274</Words>
  <Characters>1562</Characters>
  <Lines>13</Lines>
  <Paragraphs>3</Paragraphs>
  <TotalTime>15</TotalTime>
  <ScaleCrop>false</ScaleCrop>
  <LinksUpToDate>false</LinksUpToDate>
  <CharactersWithSpaces>1833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1</cp:lastModifiedBy>
  <cp:lastPrinted>2021-04-14T02:06:00Z</cp:lastPrinted>
  <dcterms:modified xsi:type="dcterms:W3CDTF">2024-01-11T07:02:39Z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76EAFEA3433E47EF9BBEB116C4FC5C2C</vt:lpwstr>
  </property>
</Properties>
</file>