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中共保定市徐水区委网络安全和信息化委员会</w:t>
      </w:r>
    </w:p>
    <w:p>
      <w:pPr>
        <w:spacing w:line="360" w:lineRule="auto"/>
        <w:jc w:val="center"/>
        <w:rPr>
          <w:rFonts w:ascii="宋体" w:hAnsi="宋体" w:eastAsia="宋体"/>
          <w:b/>
          <w:sz w:val="44"/>
          <w:szCs w:val="44"/>
        </w:rPr>
      </w:pPr>
      <w:r>
        <w:rPr>
          <w:rFonts w:hint="eastAsia" w:ascii="宋体" w:hAnsi="宋体" w:eastAsia="宋体"/>
          <w:b/>
          <w:sz w:val="44"/>
          <w:szCs w:val="44"/>
        </w:rPr>
        <w:t>办公室</w:t>
      </w:r>
      <w:r>
        <w:rPr>
          <w:rFonts w:ascii="宋体" w:hAnsi="宋体" w:eastAsia="宋体"/>
          <w:b/>
          <w:sz w:val="44"/>
          <w:szCs w:val="44"/>
        </w:rPr>
        <w:t>2022年单位预算公开说明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bookmarkStart w:id="5" w:name="_GoBack"/>
      <w:bookmarkEnd w:id="5"/>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、《地方预决算公开操作规程》等文件规定，现将我单位预算信息公开如下：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:单位职责及机构设置情况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pPr>
        <w:spacing w:line="360" w:lineRule="auto"/>
        <w:ind w:firstLine="640" w:firstLineChars="200"/>
        <w:rPr>
          <w:rFonts w:ascii="仿宋" w:hAnsi="仿宋" w:eastAsia="仿宋"/>
          <w:sz w:val="32"/>
          <w:szCs w:val="32"/>
        </w:rPr>
      </w:pPr>
      <w:r>
        <w:rPr>
          <w:rFonts w:ascii="仿宋" w:hAnsi="仿宋" w:eastAsia="仿宋"/>
          <w:sz w:val="32"/>
          <w:szCs w:val="32"/>
        </w:rPr>
        <w:t>根据《中共保定市徐水区委网络安全和信息化委员会办公室职能配置、内设机构和人员编制规定》，中共保定市徐水区委网络安全和信息化委员会办公室的主要职责是：</w:t>
      </w:r>
    </w:p>
    <w:p>
      <w:pPr>
        <w:spacing w:line="360" w:lineRule="auto"/>
        <w:ind w:firstLine="640" w:firstLineChars="200"/>
        <w:rPr>
          <w:rFonts w:ascii="仿宋" w:hAnsi="仿宋" w:eastAsia="仿宋"/>
          <w:sz w:val="32"/>
          <w:szCs w:val="32"/>
        </w:rPr>
      </w:pPr>
      <w:r>
        <w:rPr>
          <w:rFonts w:ascii="仿宋" w:hAnsi="仿宋" w:eastAsia="仿宋"/>
          <w:sz w:val="32"/>
          <w:szCs w:val="32"/>
        </w:rPr>
        <w:t>根据《中共保定市徐水区委网络安全和信息化委员会办公室职能配置、内设机构和人员编制规定》， 中共保定市徐水区委网络安全和信息化委员会办公室的主要职责是：负责处理区委网络安全和信息化委员会日常事务工作，协调督促有关方面落实委员会的有关决定事项、工作部署和要求，组织开展对涉及我区政府、经济、文化、社会、生态及军事等各个领域的网络安全和信息化重大问题研究，向委员会提出工作建议；组织研究起草我区网络安全和信息化发展战略、宏观规划和重大政策；统筹推进全区网络安全和信息化法治、标准建设，根据职责权限负责相关规划的起草、实施和监督检查，根据职责权限推动落实网络安全和信息化领域国家标准并监督实施；依法完善与信息化相关的统计调查制度；统筹协调全区网络安全保障体系和可信体系建设；督促落实我区涉及政治、经济、文化、社会、生态及军事等各个领域的网络安全和信息化重大事项；负责协调处置网络安全和信息化重大突发事件与有关应急工作；负责全区互联网信息内容管理；负责指导协调全区网络舆情信息工作；推动全区网络阵地建设和重点新闻网站规划建设；推动全区网络社会工作和网络文化、网络文明建设；发展、联系、服务网络社会组织，指导互联网行业自律，推进网站党建工作；落实国家互联网信息服务资本准入和信息网络行业安全审查的有关政策；协调推进全区信息网络行业自主创新和发展；规划指导区内机构开展金融信息服务业务；组织拟订网络安全和信息化干部人才队伍发展规划，组织开展网信系统干部教育培训和人才队伍建设，规划指导全区互联网信息服务从业人员教育培训和考评工作，组织开展网络媒介素养教育；组织开展相关领域国内国际交流与合作；指导、检查、推动各乡镇和有关单位网络安全和信息化工作；完成上级网信办和区委、区政府及区委网络安全和信息化委员会交办的其他任务。根据《中共保定市徐水区委网络安全和信息化委员会办公室职能配置、内设机构和人员编制规定》， 中共保定市徐水区委网络安全和信息化委员会办公室的主要职责是：负责处理区委网络安全和信息化委员会日常事务工作，协调督促有关方面落实委员会的有关决定事项、工作部署和要求，组织开展对涉及我区政府、经济、文化、社会、生态及军事等各个领域的网络安全和信息化重大问题研究，向委员会提出工作建议；组织研究起草我区网络安全和信息化发展战略、宏观规划和重大政策；统筹推进全区网络安全和信息化法治、标准建设，根据职责权限负责相关规划的起草、实施和监督检查，根据职责权限推动落实网络安全和信息化领域国家标准并监督实施；依法完善与信息化相关的统计调查制度；统筹协调全区网络安全保障体系和可信体系建设；督促落实我区涉及政治、经济、文化、社会、生态及军事等各个领域的网络安全和信息化重大事项；负责协调处置网络安全和信息化重大突发事件与有关应急工作；负责全区互联网信息内容管理；负责指导协调全区网络舆情信息工作；推动全区网络阵地建设和重点新闻网站规划建设；推动全区网络社会工作和网络文化、网络文明建设；发展、联系、服务网络社会组织，指导互联网行业自律，推进网站党建工作；落实国家互联网信息服务资本准入和信息网络行业安全审查的有关政策；协调推进全区信息网络行业自主创新和发展；规划指导区内机构开展金融信息服务业务；组织拟订网络安全和信息化干部人才队伍发展规划，组织开展网信系统干部教育培训和人才队伍建设，规划指导全区互联网信息服务从业人员教育培训和考评工作，组织开展网络媒介素养教育；组织开展相关领域国内国际交流与合作；指导、检查、推动各乡镇和有关单位网络安全和信息</w:t>
      </w:r>
    </w:p>
    <w:p>
      <w:pPr>
        <w:spacing w:line="360" w:lineRule="auto"/>
        <w:ind w:firstLine="640" w:firstLineChars="200"/>
        <w:rPr>
          <w:rFonts w:ascii="仿宋" w:hAnsi="仿宋" w:eastAsia="仿宋"/>
          <w:sz w:val="32"/>
          <w:szCs w:val="32"/>
        </w:rPr>
      </w:pPr>
      <w:r>
        <w:rPr>
          <w:rFonts w:ascii="仿宋" w:hAnsi="仿宋" w:eastAsia="仿宋"/>
          <w:sz w:val="32"/>
          <w:szCs w:val="32"/>
        </w:rPr>
        <w:t>化工作；完成上级网信办和区委、区政府及区委网络安全和信息化委员会交办的其他任务。</w:t>
      </w:r>
    </w:p>
    <w:p>
      <w:pPr>
        <w:spacing w:line="360" w:lineRule="auto"/>
        <w:ind w:firstLine="640" w:firstLineChars="200"/>
        <w:rPr>
          <w:rFonts w:ascii="仿宋" w:hAnsi="仿宋" w:eastAsia="仿宋"/>
          <w:sz w:val="32"/>
          <w:szCs w:val="32"/>
        </w:rPr>
        <w:sectPr>
          <w:pgSz w:w="11900" w:h="16840"/>
          <w:pgMar w:top="1361" w:right="1020" w:bottom="1361" w:left="1020" w:header="720" w:footer="720" w:gutter="0"/>
          <w:pgNumType w:start="1"/>
          <w:cols w:space="720" w:num="1"/>
        </w:sectPr>
      </w:pPr>
    </w:p>
    <w:p>
      <w:pPr>
        <w:spacing w:line="360" w:lineRule="auto"/>
        <w:rPr>
          <w:rFonts w:ascii="仿宋" w:hAnsi="仿宋" w:eastAsia="仿宋"/>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中共保定市徐水区委网络安全和信息化委员会办公室</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 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ascii="仿宋_GB2312" w:hAnsi="仿宋" w:eastAsia="仿宋_GB2312"/>
                <w:bCs/>
                <w:sz w:val="24"/>
                <w:szCs w:val="24"/>
              </w:rPr>
              <w:t>网管中心</w:t>
            </w:r>
          </w:p>
        </w:tc>
        <w:tc>
          <w:tcPr>
            <w:tcW w:w="1701" w:type="dxa"/>
            <w:vAlign w:val="center"/>
          </w:tcPr>
          <w:p>
            <w:pPr>
              <w:jc w:val="center"/>
              <w:rPr>
                <w:rFonts w:ascii="仿宋_GB2312" w:hAnsi="仿宋" w:eastAsia="仿宋_GB2312"/>
                <w:bCs/>
                <w:sz w:val="24"/>
                <w:szCs w:val="24"/>
              </w:rPr>
            </w:pPr>
            <w:r>
              <w:rPr>
                <w:rFonts w:ascii="仿宋_GB2312" w:hAnsi="仿宋" w:eastAsia="仿宋_GB2312"/>
                <w:bCs/>
                <w:sz w:val="24"/>
                <w:szCs w:val="24"/>
              </w:rPr>
              <w:t>事业</w:t>
            </w:r>
          </w:p>
        </w:tc>
        <w:tc>
          <w:tcPr>
            <w:tcW w:w="1418" w:type="dxa"/>
            <w:vAlign w:val="center"/>
          </w:tcPr>
          <w:p>
            <w:pPr>
              <w:jc w:val="center"/>
              <w:rPr>
                <w:rFonts w:ascii="仿宋_GB2312" w:hAnsi="仿宋" w:eastAsia="仿宋_GB2312"/>
                <w:bCs/>
                <w:sz w:val="24"/>
                <w:szCs w:val="24"/>
              </w:rPr>
            </w:pPr>
            <w:r>
              <w:rPr>
                <w:rFonts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ascii="仿宋_GB2312" w:hAnsi="仿宋" w:eastAsia="仿宋_GB2312"/>
                <w:bCs/>
                <w:sz w:val="24"/>
                <w:szCs w:val="24"/>
              </w:rPr>
              <w:t>财政性资金基本保障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2022年预算收入为200.5</w:t>
      </w:r>
      <w:r>
        <w:rPr>
          <w:rFonts w:hint="eastAsia" w:ascii="仿宋" w:hAnsi="仿宋" w:eastAsia="仿宋"/>
          <w:sz w:val="32"/>
          <w:szCs w:val="32"/>
        </w:rPr>
        <w:t>4</w:t>
      </w:r>
      <w:r>
        <w:rPr>
          <w:rFonts w:ascii="仿宋" w:hAnsi="仿宋" w:eastAsia="仿宋"/>
          <w:sz w:val="32"/>
          <w:szCs w:val="32"/>
        </w:rPr>
        <w:t>万元,其中：一般公共预算收入200.5</w:t>
      </w:r>
      <w:r>
        <w:rPr>
          <w:rFonts w:hint="eastAsia" w:ascii="仿宋" w:hAnsi="仿宋" w:eastAsia="仿宋"/>
          <w:sz w:val="32"/>
          <w:szCs w:val="32"/>
        </w:rPr>
        <w:t>4</w:t>
      </w:r>
      <w:r>
        <w:rPr>
          <w:rFonts w:ascii="仿宋" w:hAnsi="仿宋" w:eastAsia="仿宋"/>
          <w:sz w:val="32"/>
          <w:szCs w:val="32"/>
        </w:rPr>
        <w:t>万元，基金预算收入0万元，财政专户收入0万元，其他来</w:t>
      </w:r>
      <w:r>
        <w:rPr>
          <w:rFonts w:hint="eastAsia" w:ascii="仿宋" w:hAnsi="仿宋" w:eastAsia="仿宋"/>
          <w:sz w:val="32"/>
          <w:szCs w:val="32"/>
        </w:rPr>
        <w:t xml:space="preserve"> </w:t>
      </w:r>
      <w:r>
        <w:rPr>
          <w:rFonts w:ascii="仿宋" w:hAnsi="仿宋" w:eastAsia="仿宋"/>
          <w:sz w:val="32"/>
          <w:szCs w:val="32"/>
        </w:rPr>
        <w:t>源收入</w:t>
      </w:r>
      <w:r>
        <w:rPr>
          <w:rFonts w:hint="eastAsia" w:ascii="仿宋" w:hAnsi="仿宋" w:eastAsia="仿宋"/>
          <w:sz w:val="32"/>
          <w:szCs w:val="32"/>
        </w:rPr>
        <w:t>0.04</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2022年单位支出预算：200.5</w:t>
      </w:r>
      <w:r>
        <w:rPr>
          <w:rFonts w:hint="eastAsia" w:ascii="仿宋" w:hAnsi="仿宋" w:eastAsia="仿宋"/>
          <w:sz w:val="32"/>
          <w:szCs w:val="32"/>
        </w:rPr>
        <w:t>4</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187.66</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其中：人员经费160.13万元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日常公用经费27.53万元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12.8</w:t>
      </w:r>
      <w:r>
        <w:rPr>
          <w:rFonts w:hint="eastAsia" w:ascii="仿宋" w:hAnsi="仿宋" w:eastAsia="仿宋"/>
          <w:sz w:val="32"/>
          <w:szCs w:val="32"/>
        </w:rPr>
        <w:t>8</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其中：本级支出12.8</w:t>
      </w:r>
      <w:r>
        <w:rPr>
          <w:rFonts w:hint="eastAsia" w:ascii="仿宋" w:hAnsi="仿宋" w:eastAsia="仿宋"/>
          <w:sz w:val="32"/>
          <w:szCs w:val="32"/>
        </w:rPr>
        <w:t>8</w:t>
      </w:r>
      <w:r>
        <w:rPr>
          <w:rFonts w:ascii="仿宋" w:hAnsi="仿宋" w:eastAsia="仿宋"/>
          <w:sz w:val="32"/>
          <w:szCs w:val="32"/>
        </w:rPr>
        <w:t>万元</w:t>
      </w:r>
    </w:p>
    <w:p>
      <w:pPr>
        <w:spacing w:line="360" w:lineRule="auto"/>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三、比上年增减情况</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本年度预算收支安排200.54万元，较上年</w:t>
      </w:r>
      <w:r>
        <w:rPr>
          <w:rFonts w:ascii="仿宋" w:hAnsi="仿宋" w:eastAsia="仿宋"/>
          <w:color w:val="000000" w:themeColor="text1"/>
          <w:sz w:val="32"/>
          <w:szCs w:val="32"/>
        </w:rPr>
        <w:t>减少</w:t>
      </w:r>
      <w:r>
        <w:rPr>
          <w:rFonts w:hint="eastAsia" w:ascii="仿宋" w:hAnsi="仿宋" w:eastAsia="仿宋"/>
          <w:color w:val="000000" w:themeColor="text1"/>
          <w:sz w:val="32"/>
          <w:szCs w:val="32"/>
        </w:rPr>
        <w:t>21.64</w:t>
      </w:r>
      <w:r>
        <w:rPr>
          <w:rFonts w:ascii="仿宋" w:hAnsi="仿宋" w:eastAsia="仿宋"/>
          <w:color w:val="000000" w:themeColor="text1"/>
          <w:sz w:val="32"/>
          <w:szCs w:val="32"/>
        </w:rPr>
        <w:t>万元。其中:基本支出增加</w:t>
      </w:r>
      <w:r>
        <w:rPr>
          <w:rFonts w:hint="eastAsia" w:ascii="仿宋" w:hAnsi="仿宋" w:eastAsia="仿宋"/>
          <w:color w:val="000000" w:themeColor="text1"/>
          <w:sz w:val="32"/>
          <w:szCs w:val="32"/>
        </w:rPr>
        <w:t>42.47</w:t>
      </w:r>
      <w:r>
        <w:rPr>
          <w:rFonts w:ascii="仿宋" w:hAnsi="仿宋" w:eastAsia="仿宋"/>
          <w:color w:val="000000" w:themeColor="text1"/>
          <w:sz w:val="32"/>
          <w:szCs w:val="32"/>
        </w:rPr>
        <w:t>万元，主要原因是</w:t>
      </w:r>
      <w:r>
        <w:rPr>
          <w:rFonts w:hint="eastAsia" w:ascii="仿宋" w:hAnsi="仿宋" w:eastAsia="仿宋"/>
          <w:color w:val="000000" w:themeColor="text1"/>
          <w:sz w:val="32"/>
          <w:szCs w:val="32"/>
        </w:rPr>
        <w:t>单位</w:t>
      </w:r>
      <w:r>
        <w:rPr>
          <w:rFonts w:ascii="仿宋" w:hAnsi="仿宋" w:eastAsia="仿宋"/>
          <w:color w:val="000000" w:themeColor="text1"/>
          <w:sz w:val="32"/>
          <w:szCs w:val="32"/>
        </w:rPr>
        <w:t>业务调整；项目支出减少</w:t>
      </w:r>
      <w:r>
        <w:rPr>
          <w:rFonts w:hint="eastAsia" w:ascii="仿宋" w:hAnsi="仿宋" w:eastAsia="仿宋"/>
          <w:color w:val="000000" w:themeColor="text1"/>
          <w:sz w:val="32"/>
          <w:szCs w:val="32"/>
        </w:rPr>
        <w:t>64.16</w:t>
      </w:r>
      <w:r>
        <w:rPr>
          <w:rFonts w:ascii="仿宋" w:hAnsi="仿宋" w:eastAsia="仿宋"/>
          <w:color w:val="000000" w:themeColor="text1"/>
          <w:sz w:val="32"/>
          <w:szCs w:val="32"/>
        </w:rPr>
        <w:t>万元，主要原因是</w:t>
      </w:r>
      <w:r>
        <w:rPr>
          <w:rFonts w:hint="eastAsia" w:ascii="仿宋" w:hAnsi="仿宋" w:eastAsia="仿宋"/>
          <w:color w:val="000000" w:themeColor="text1"/>
          <w:sz w:val="32"/>
          <w:szCs w:val="32"/>
        </w:rPr>
        <w:t>单位</w:t>
      </w:r>
      <w:r>
        <w:rPr>
          <w:rFonts w:ascii="仿宋" w:hAnsi="仿宋" w:eastAsia="仿宋"/>
          <w:color w:val="000000" w:themeColor="text1"/>
          <w:sz w:val="32"/>
          <w:szCs w:val="32"/>
        </w:rPr>
        <w:t>业务调整。</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2022年我单位机关运行经费安排27.53万元，其中办公费</w:t>
      </w:r>
      <w:r>
        <w:rPr>
          <w:rFonts w:hint="eastAsia" w:ascii="仿宋" w:hAnsi="仿宋" w:eastAsia="仿宋"/>
          <w:sz w:val="32"/>
          <w:szCs w:val="32"/>
        </w:rPr>
        <w:t>13.78</w:t>
      </w:r>
      <w:r>
        <w:rPr>
          <w:rFonts w:ascii="仿宋" w:hAnsi="仿宋" w:eastAsia="仿宋"/>
          <w:sz w:val="32"/>
          <w:szCs w:val="32"/>
        </w:rPr>
        <w:t>万元，邮电费3.06万元，工会经费、福利费1.34</w:t>
      </w:r>
      <w:r>
        <w:rPr>
          <w:rFonts w:hint="eastAsia" w:ascii="仿宋" w:hAnsi="仿宋" w:eastAsia="仿宋"/>
          <w:sz w:val="32"/>
          <w:szCs w:val="32"/>
        </w:rPr>
        <w:t>、</w:t>
      </w:r>
      <w:r>
        <w:rPr>
          <w:rFonts w:ascii="仿宋" w:hAnsi="仿宋" w:eastAsia="仿宋"/>
          <w:sz w:val="32"/>
          <w:szCs w:val="32"/>
        </w:rPr>
        <w:t>0.86万元，公务用车运行维护费2.43万元</w:t>
      </w:r>
      <w:r>
        <w:rPr>
          <w:rFonts w:hint="eastAsia" w:ascii="仿宋" w:hAnsi="仿宋" w:eastAsia="仿宋"/>
          <w:sz w:val="32"/>
          <w:szCs w:val="32"/>
        </w:rPr>
        <w:t>，</w:t>
      </w:r>
      <w:r>
        <w:rPr>
          <w:rFonts w:ascii="仿宋" w:hAnsi="仿宋" w:eastAsia="仿宋"/>
          <w:sz w:val="32"/>
          <w:szCs w:val="32"/>
        </w:rPr>
        <w:t>其他</w:t>
      </w:r>
      <w:r>
        <w:rPr>
          <w:rFonts w:hint="eastAsia" w:ascii="仿宋" w:hAnsi="仿宋" w:eastAsia="仿宋"/>
          <w:sz w:val="32"/>
          <w:szCs w:val="32"/>
        </w:rPr>
        <w:t>交通费用3.48</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0.21万元，资本性支持2.37万元。</w:t>
      </w:r>
    </w:p>
    <w:p>
      <w:pP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2.43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-0.57</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单位业务调整</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0</w:t>
                  </w:r>
                  <w:r>
                    <w:rPr>
                      <w:rFonts w:hint="eastAsia" w:ascii="仿宋_GB2312" w:hAnsi="宋体" w:eastAsia="仿宋_GB2312" w:cs="宋体"/>
                      <w:color w:val="000000" w:themeColor="text1"/>
                      <w:kern w:val="0"/>
                      <w:sz w:val="24"/>
                      <w:szCs w:val="24"/>
                    </w:rPr>
                    <w:t>.6</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-0.6</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单位业务调整</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3.6</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2.43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-1.17</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单位业务调整</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pPr>
        <w:jc w:val="center"/>
        <w:outlineLvl w:val="0"/>
        <w:rPr>
          <w:rFonts w:ascii="方正小标宋_GBK" w:eastAsia="方正小标宋_GBK"/>
          <w:sz w:val="44"/>
        </w:rPr>
      </w:pPr>
    </w:p>
    <w:p>
      <w:pPr>
        <w:spacing w:line="360" w:lineRule="auto"/>
        <w:ind w:firstLine="640" w:firstLineChars="200"/>
        <w:rPr>
          <w:rFonts w:ascii="仿宋" w:hAnsi="仿宋" w:eastAsia="仿宋"/>
          <w:sz w:val="32"/>
          <w:szCs w:val="32"/>
        </w:rPr>
      </w:pPr>
      <w:bookmarkStart w:id="0" w:name="_Toc_2_2_0000000001"/>
      <w:r>
        <w:rPr>
          <w:rFonts w:ascii="仿宋" w:hAnsi="仿宋" w:eastAsia="仿宋"/>
          <w:sz w:val="32"/>
          <w:szCs w:val="32"/>
        </w:rPr>
        <w:t>一、总体绩效目标</w:t>
      </w:r>
      <w:bookmarkEnd w:id="0"/>
    </w:p>
    <w:p>
      <w:pPr>
        <w:spacing w:line="360" w:lineRule="auto"/>
        <w:ind w:firstLine="640" w:firstLineChars="200"/>
        <w:rPr>
          <w:rFonts w:ascii="仿宋" w:hAnsi="仿宋" w:eastAsia="仿宋"/>
          <w:sz w:val="32"/>
          <w:szCs w:val="32"/>
        </w:rPr>
      </w:pPr>
      <w:r>
        <w:rPr>
          <w:rFonts w:ascii="仿宋" w:hAnsi="仿宋" w:eastAsia="仿宋"/>
          <w:sz w:val="32"/>
          <w:szCs w:val="32"/>
        </w:rPr>
        <w:t>根据《中共保定市徐水区委网络安全和信息化委员会办公室职能配置、内设机构和人员编制规定》， 中共保定市徐水区委网络安全和信息化委员会办公室的主要职责是：</w:t>
      </w:r>
    </w:p>
    <w:p>
      <w:pPr>
        <w:spacing w:line="360" w:lineRule="auto"/>
        <w:ind w:firstLine="640" w:firstLineChars="200"/>
        <w:rPr>
          <w:rFonts w:ascii="仿宋" w:hAnsi="仿宋" w:eastAsia="仿宋"/>
          <w:sz w:val="32"/>
          <w:szCs w:val="32"/>
        </w:rPr>
      </w:pPr>
      <w:r>
        <w:rPr>
          <w:rFonts w:ascii="仿宋" w:hAnsi="仿宋" w:eastAsia="仿宋"/>
          <w:sz w:val="32"/>
          <w:szCs w:val="32"/>
        </w:rPr>
        <w:t>主要包括：负责处理区委网络安全和信息化委员会日常事务工作，协调督促有关方面落实委员会的有关决定事项、工作部署和要求，组织开展对涉及我区政府、经济、文化、社会、生态及军事等各个领域的网络安全和信息化重大问题研究，向委员会提出工作建议；组织研究起草我区网络安全和信息化发展战略、宏观规划和重大政策；统筹推进全区网络安全和信息化法治、标准建设，根据职责权限负责相关规划的起草、实施和监督检查，根据职责权限推动落实网络安全和信息化领域国家标准并监督实施；依法完善与信息化相关的统计调查制度；统筹协调全区网络安全保障体系和可信体系建设；督促落实我区涉及政治、经济、文化、社会、生态及军事等各个领域的网络安全和信息化重大事项；负责协调处置网络安全和信息化重大突发事件与有关应急工作；负责全区互联网信息内容管理；负责指导协调全区网络舆情信息工作；推动全区网络阵地建设和重点新闻网站规划建设；推动全区网络社会工作和网络文化、网络文明建设；发展、联系、服务网络社会组织，指导互联网行业自律，推进网站党建工作；落实国家互联网信息服务资本准入和信息网络行业安全审查的有关政策；协调推进全区信息网络行业自主创新和发展；规划指导区内机构开展金融信息服务业务；组织拟订网络安全和信息化干部人才队伍发展规划，组织开展网信系统干部教育培训和人才队伍建设，规划指导全区互联网信息服务从业人员教育培训和考评工作，组织开展网络媒介素养教育；组织开展相关领域国内国际交流与合作；指导、检查、推动各乡镇和有关单位网络安全和信息化工作；完成上级网信办和区委、区政府及区委网络安全和信息化委员会交办的其他任务。</w:t>
      </w:r>
    </w:p>
    <w:p>
      <w:pPr>
        <w:spacing w:line="360" w:lineRule="auto"/>
        <w:ind w:firstLine="640" w:firstLineChars="200"/>
        <w:rPr>
          <w:rFonts w:ascii="仿宋" w:hAnsi="仿宋" w:eastAsia="仿宋"/>
          <w:sz w:val="32"/>
          <w:szCs w:val="32"/>
        </w:rPr>
      </w:pPr>
      <w:bookmarkStart w:id="1" w:name="_Toc_2_2_0000000002"/>
      <w:r>
        <w:rPr>
          <w:rFonts w:ascii="仿宋" w:hAnsi="仿宋" w:eastAsia="仿宋"/>
          <w:sz w:val="32"/>
          <w:szCs w:val="32"/>
        </w:rPr>
        <w:t>二、分项绩效目标</w:t>
      </w:r>
      <w:bookmarkEnd w:id="1"/>
    </w:p>
    <w:p>
      <w:pPr>
        <w:spacing w:line="360" w:lineRule="auto"/>
        <w:ind w:firstLine="640" w:firstLineChars="200"/>
        <w:rPr>
          <w:rFonts w:ascii="仿宋" w:hAnsi="仿宋" w:eastAsia="仿宋"/>
          <w:sz w:val="32"/>
          <w:szCs w:val="32"/>
        </w:rPr>
      </w:pPr>
      <w:r>
        <w:rPr>
          <w:rFonts w:ascii="仿宋" w:hAnsi="仿宋" w:eastAsia="仿宋"/>
          <w:sz w:val="32"/>
          <w:szCs w:val="32"/>
        </w:rPr>
        <w:t>1.职能体系持续完善</w:t>
      </w:r>
    </w:p>
    <w:p>
      <w:pPr>
        <w:spacing w:line="360" w:lineRule="auto"/>
        <w:ind w:firstLine="640" w:firstLineChars="200"/>
        <w:rPr>
          <w:rFonts w:ascii="仿宋" w:hAnsi="仿宋" w:eastAsia="仿宋"/>
          <w:sz w:val="32"/>
          <w:szCs w:val="32"/>
        </w:rPr>
      </w:pPr>
      <w:r>
        <w:rPr>
          <w:rFonts w:ascii="仿宋" w:hAnsi="仿宋" w:eastAsia="仿宋"/>
          <w:sz w:val="32"/>
          <w:szCs w:val="32"/>
        </w:rPr>
        <w:t>绩效目标：负责处理区委网络安全和信息化委员会日常事务工作，协调督促有关方面落实委员会的有关决定事项、工作部署和要求，组织开展对涉及我区政府、经济、文化、社会、生态及军事等各个领域的网络安全和信息化重大问题研究，向委员会提出工作建议。</w:t>
      </w:r>
      <w:r>
        <w:rPr>
          <w:rFonts w:ascii="仿宋" w:hAnsi="仿宋" w:eastAsia="仿宋"/>
          <w:sz w:val="32"/>
          <w:szCs w:val="32"/>
        </w:rPr>
        <w:tab/>
      </w: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ascii="仿宋" w:hAnsi="仿宋" w:eastAsia="仿宋"/>
          <w:sz w:val="32"/>
          <w:szCs w:val="32"/>
        </w:rPr>
        <w:t>绩效指标：完成各项综合事务完成占年度工作总量的比例达到100%；组织研究起草我区网络安全和信息化发展战略、宏观规划和重大政策；统筹推进全区网络安全和信息化法治、标准建设，根据职责权限负责相关规划的起草、实施和监督检查，根据职责权限推动落实网络安全和信息化领域国家标准并监督实施；依法完善与信息化相关的统计调查制度；统筹协调全区网络安全保障体系和可信体系建设；</w:t>
      </w:r>
    </w:p>
    <w:p>
      <w:pPr>
        <w:spacing w:line="360" w:lineRule="auto"/>
        <w:ind w:firstLine="640" w:firstLineChars="200"/>
        <w:rPr>
          <w:rFonts w:ascii="仿宋" w:hAnsi="仿宋" w:eastAsia="仿宋"/>
          <w:sz w:val="32"/>
          <w:szCs w:val="32"/>
        </w:rPr>
      </w:pPr>
      <w:r>
        <w:rPr>
          <w:rFonts w:ascii="仿宋" w:hAnsi="仿宋" w:eastAsia="仿宋"/>
          <w:sz w:val="32"/>
          <w:szCs w:val="32"/>
        </w:rPr>
        <w:t>2.网络安全协调发展</w:t>
      </w:r>
    </w:p>
    <w:p>
      <w:pPr>
        <w:spacing w:line="360" w:lineRule="auto"/>
        <w:ind w:firstLine="640" w:firstLineChars="200"/>
        <w:rPr>
          <w:rFonts w:ascii="仿宋" w:hAnsi="仿宋" w:eastAsia="仿宋"/>
          <w:sz w:val="32"/>
          <w:szCs w:val="32"/>
        </w:rPr>
      </w:pPr>
      <w:r>
        <w:rPr>
          <w:rFonts w:ascii="仿宋" w:hAnsi="仿宋" w:eastAsia="仿宋"/>
          <w:sz w:val="32"/>
          <w:szCs w:val="32"/>
        </w:rPr>
        <w:t>绩效目标：督促落实我区涉及政治、经济、文化、社会、生态及军事等各个领域的网络安全和信息化重大事项；负责协调处置网络安全和信息化重大突发事件与有关应急工作；负责全区互联网信息内容管理；负责指导协调全区网络舆情信息工作；</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绩效指标：推动全区网络阵地建设和重点新闻网站规划建设；推动全区网络社会工作和网络文化、网络文明建设；发展、联系、服务网络社会组织，指导互联网行业自律，推进网站党建工作；落实国家互联网信息服务资本准入和信息网络行业安全审查的有关政策；协调推进全区信息网络行业自主创新和发展；规划指导区内机构开展金融信息服务业务；             </w:t>
      </w:r>
    </w:p>
    <w:p>
      <w:pPr>
        <w:spacing w:line="360" w:lineRule="auto"/>
        <w:ind w:firstLine="640" w:firstLineChars="200"/>
        <w:rPr>
          <w:rFonts w:ascii="仿宋" w:hAnsi="仿宋" w:eastAsia="仿宋"/>
          <w:sz w:val="32"/>
          <w:szCs w:val="32"/>
        </w:rPr>
      </w:pPr>
      <w:r>
        <w:rPr>
          <w:rFonts w:ascii="仿宋" w:hAnsi="仿宋" w:eastAsia="仿宋"/>
          <w:sz w:val="32"/>
          <w:szCs w:val="32"/>
        </w:rPr>
        <w:t>3.信息化管理更加规范高效</w:t>
      </w:r>
    </w:p>
    <w:p>
      <w:pPr>
        <w:spacing w:line="360" w:lineRule="auto"/>
        <w:ind w:firstLine="640" w:firstLineChars="200"/>
        <w:rPr>
          <w:rFonts w:ascii="仿宋" w:hAnsi="仿宋" w:eastAsia="仿宋"/>
          <w:sz w:val="32"/>
          <w:szCs w:val="32"/>
        </w:rPr>
      </w:pPr>
      <w:r>
        <w:rPr>
          <w:rFonts w:ascii="仿宋" w:hAnsi="仿宋" w:eastAsia="仿宋"/>
          <w:sz w:val="32"/>
          <w:szCs w:val="32"/>
        </w:rPr>
        <w:t>绩效目标：组织拟订网络安全和信息化干部人才队伍发展规划，组织开展网信系统干部教育培训和人才队伍建设，规划指导全区互联网信息服务从业人员教育培训和考评工作，组织开展网络媒介素养教育；</w:t>
      </w:r>
    </w:p>
    <w:p>
      <w:pPr>
        <w:spacing w:line="360" w:lineRule="auto"/>
        <w:ind w:firstLine="640" w:firstLineChars="200"/>
        <w:rPr>
          <w:rFonts w:ascii="仿宋" w:hAnsi="仿宋" w:eastAsia="仿宋"/>
          <w:sz w:val="32"/>
          <w:szCs w:val="32"/>
        </w:rPr>
      </w:pPr>
      <w:r>
        <w:rPr>
          <w:rFonts w:ascii="仿宋" w:hAnsi="仿宋" w:eastAsia="仿宋"/>
          <w:sz w:val="32"/>
          <w:szCs w:val="32"/>
        </w:rPr>
        <w:t>绩效指标：指导、检查、推动各乡镇和有关单位网络安全和信息化工作；完成上级网信办和区委、区政府及区委网络安全和信息化委员会交办的其他任务。</w:t>
      </w:r>
    </w:p>
    <w:p>
      <w:pPr>
        <w:spacing w:line="360" w:lineRule="auto"/>
        <w:ind w:firstLine="640" w:firstLineChars="200"/>
        <w:rPr>
          <w:rFonts w:ascii="仿宋" w:hAnsi="仿宋" w:eastAsia="仿宋"/>
          <w:sz w:val="32"/>
          <w:szCs w:val="32"/>
        </w:rPr>
      </w:pPr>
      <w:bookmarkStart w:id="2" w:name="_Toc_2_2_0000000003"/>
      <w:r>
        <w:rPr>
          <w:rFonts w:ascii="仿宋" w:hAnsi="仿宋" w:eastAsia="仿宋"/>
          <w:sz w:val="32"/>
          <w:szCs w:val="32"/>
        </w:rPr>
        <w:t>三、工作保障措施</w:t>
      </w:r>
      <w:bookmarkEnd w:id="2"/>
    </w:p>
    <w:p>
      <w:pPr>
        <w:spacing w:line="360" w:lineRule="auto"/>
        <w:ind w:firstLine="640" w:firstLineChars="200"/>
        <w:rPr>
          <w:rFonts w:ascii="仿宋" w:hAnsi="仿宋" w:eastAsia="仿宋"/>
          <w:sz w:val="32"/>
          <w:szCs w:val="32"/>
        </w:rPr>
      </w:pPr>
      <w:r>
        <w:rPr>
          <w:rFonts w:ascii="仿宋" w:hAnsi="仿宋" w:eastAsia="仿宋"/>
          <w:sz w:val="32"/>
          <w:szCs w:val="32"/>
        </w:rPr>
        <w:t>1.加强组织领导，完善绩效制度。成立由网信办主要领导同志任组长的预算绩效工作领导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w:t>
      </w:r>
    </w:p>
    <w:p>
      <w:pPr>
        <w:spacing w:line="360" w:lineRule="auto"/>
        <w:ind w:firstLine="640" w:firstLineChars="200"/>
        <w:rPr>
          <w:rFonts w:ascii="仿宋" w:hAnsi="仿宋" w:eastAsia="仿宋"/>
          <w:sz w:val="32"/>
          <w:szCs w:val="32"/>
        </w:rPr>
      </w:pPr>
      <w:r>
        <w:rPr>
          <w:rFonts w:ascii="仿宋" w:hAnsi="仿宋" w:eastAsia="仿宋"/>
          <w:sz w:val="32"/>
          <w:szCs w:val="32"/>
        </w:rPr>
        <w:t>2.分解细化责任，狠抓任务落实。按照“谁花钱、谁负责”的原则，明确各股室预算绩效管理职责。充分调动项目主管股室的积极性和主动性，由业务股室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w:t>
      </w:r>
    </w:p>
    <w:p>
      <w:pPr>
        <w:spacing w:line="360" w:lineRule="auto"/>
        <w:ind w:firstLine="640" w:firstLineChars="200"/>
        <w:rPr>
          <w:rFonts w:ascii="仿宋" w:hAnsi="仿宋" w:eastAsia="仿宋"/>
          <w:sz w:val="32"/>
          <w:szCs w:val="32"/>
        </w:rPr>
      </w:pPr>
      <w:r>
        <w:rPr>
          <w:rFonts w:ascii="仿宋" w:hAnsi="仿宋" w:eastAsia="仿宋"/>
          <w:sz w:val="32"/>
          <w:szCs w:val="32"/>
        </w:rPr>
        <w:t>3.强化预算执行，确保支出进度。强化财政预算执行的刚性约束，及时启动项目和资金支付，加快履行政府采购程序，优化单位预算支出结构，创新财政资金支出思路，合理改进支出方式，确保按照时间节点完成支出任务，提高财政资金使用效率。</w:t>
      </w:r>
    </w:p>
    <w:p>
      <w:pPr>
        <w:spacing w:line="360" w:lineRule="auto"/>
        <w:ind w:firstLine="640" w:firstLineChars="200"/>
        <w:rPr>
          <w:rFonts w:ascii="仿宋" w:hAnsi="仿宋" w:eastAsia="仿宋"/>
          <w:sz w:val="32"/>
          <w:szCs w:val="32"/>
        </w:rPr>
      </w:pPr>
      <w:r>
        <w:rPr>
          <w:rFonts w:ascii="仿宋" w:hAnsi="仿宋" w:eastAsia="仿宋"/>
          <w:sz w:val="32"/>
          <w:szCs w:val="32"/>
        </w:rPr>
        <w:t>4.加大公开力度，提升评价效果。借鉴其他单位先进绩效评价经验，成立专门的评价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pPr>
        <w:spacing w:line="360" w:lineRule="auto"/>
        <w:ind w:firstLine="640" w:firstLineChars="200"/>
        <w:rPr>
          <w:rFonts w:ascii="仿宋" w:hAnsi="仿宋" w:eastAsia="仿宋"/>
          <w:sz w:val="32"/>
          <w:szCs w:val="32"/>
        </w:rPr>
      </w:pPr>
      <w:r>
        <w:rPr>
          <w:rFonts w:ascii="仿宋" w:hAnsi="仿宋" w:eastAsia="仿宋"/>
          <w:sz w:val="32"/>
          <w:szCs w:val="32"/>
        </w:rPr>
        <w:t>5.强化培训宣传，提升绩效水平。积极参加绩效管理业务培训，提高全办人员业务素质。通过网络、会议等方式加大宣传力度，强化预算绩效管理意识，营造良好的舆论氛围，提升预算绩效管理科学化水平。</w:t>
      </w:r>
    </w:p>
    <w:p>
      <w:pPr>
        <w:spacing w:line="360" w:lineRule="auto"/>
        <w:ind w:firstLine="640" w:firstLineChars="200"/>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p>
    <w:p>
      <w:pPr>
        <w:spacing w:line="360" w:lineRule="auto"/>
        <w:ind w:firstLine="640" w:firstLineChars="200"/>
        <w:rPr>
          <w:rFonts w:ascii="仿宋" w:hAnsi="仿宋" w:eastAsia="仿宋"/>
          <w:sz w:val="32"/>
          <w:szCs w:val="32"/>
        </w:rPr>
      </w:pPr>
    </w:p>
    <w:p>
      <w:pPr>
        <w:ind w:firstLine="560"/>
        <w:jc w:val="left"/>
        <w:outlineLvl w:val="3"/>
      </w:pPr>
      <w:bookmarkStart w:id="3" w:name="_Toc_4_4_0000000004"/>
      <w:r>
        <w:rPr>
          <w:rFonts w:ascii="方正仿宋_GBK" w:hAnsi="方正仿宋_GBK" w:eastAsia="方正仿宋_GBK" w:cs="方正仿宋_GBK"/>
          <w:color w:val="000000"/>
          <w:sz w:val="28"/>
        </w:rPr>
        <w:t>1.视频会议系统运行维护（运转保障）绩效目标表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224001中共保定市徐水区委网络安全和信息化委员会办公室本级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13062522P00456710220G</w:t>
            </w:r>
          </w:p>
        </w:tc>
        <w:tc>
          <w:tcPr>
            <w:tcW w:w="1587" w:type="dxa"/>
            <w:vAlign w:val="center"/>
          </w:tcPr>
          <w:p>
            <w:pPr>
              <w:pStyle w:val="16"/>
            </w:pPr>
            <w:r>
              <w:t>项目名称</w:t>
            </w:r>
          </w:p>
        </w:tc>
        <w:tc>
          <w:tcPr>
            <w:tcW w:w="4422" w:type="dxa"/>
            <w:gridSpan w:val="3"/>
            <w:vAlign w:val="center"/>
          </w:tcPr>
          <w:p>
            <w:pPr>
              <w:pStyle w:val="17"/>
            </w:pPr>
            <w:r>
              <w:t>视频会议系统运行维护（运转保障）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0.84</w:t>
            </w:r>
          </w:p>
        </w:tc>
        <w:tc>
          <w:tcPr>
            <w:tcW w:w="1587" w:type="dxa"/>
            <w:vAlign w:val="center"/>
          </w:tcPr>
          <w:p>
            <w:pPr>
              <w:pStyle w:val="16"/>
            </w:pPr>
            <w:r>
              <w:t>其中：财政    资金</w:t>
            </w:r>
          </w:p>
        </w:tc>
        <w:tc>
          <w:tcPr>
            <w:tcW w:w="1304" w:type="dxa"/>
            <w:vAlign w:val="center"/>
          </w:tcPr>
          <w:p>
            <w:pPr>
              <w:pStyle w:val="17"/>
            </w:pPr>
            <w:r>
              <w:t>0.84</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用于第三方委托业务费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p>
        </w:tc>
        <w:tc>
          <w:tcPr>
            <w:tcW w:w="1587" w:type="dxa"/>
            <w:vAlign w:val="center"/>
          </w:tcPr>
          <w:p>
            <w:pPr>
              <w:pStyle w:val="18"/>
            </w:pPr>
          </w:p>
        </w:tc>
        <w:tc>
          <w:tcPr>
            <w:tcW w:w="1304" w:type="dxa"/>
            <w:vAlign w:val="center"/>
          </w:tcPr>
          <w:p>
            <w:pPr>
              <w:pStyle w:val="18"/>
            </w:pPr>
          </w:p>
        </w:tc>
        <w:tc>
          <w:tcPr>
            <w:tcW w:w="3118" w:type="dxa"/>
            <w:gridSpan w:val="2"/>
            <w:vAlign w:val="center"/>
          </w:tcPr>
          <w:p>
            <w:pPr>
              <w:pStyle w:val="1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1.进一步加强网信技术体系建设，实现技术管网，科学用网，筑牢网络安全屏障，实施网信体系技术系统建设。</w:t>
            </w:r>
          </w:p>
          <w:p>
            <w:pPr>
              <w:pStyle w:val="17"/>
            </w:pPr>
            <w:r>
              <w:t>2.使用政务外网资源，本着高效、节约、绿色的原则，建好网络视频会议会商系统，满足收听收看高清视频会议并相互沟通的需求。</w:t>
            </w:r>
          </w:p>
          <w:p>
            <w:pPr>
              <w:pStyle w:val="17"/>
            </w:pPr>
            <w:r>
              <w:t>3.本项目资金支付6月100%。</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视频会议系统运行维护次数</w:t>
            </w:r>
          </w:p>
        </w:tc>
        <w:tc>
          <w:tcPr>
            <w:tcW w:w="2891" w:type="dxa"/>
            <w:vAlign w:val="center"/>
          </w:tcPr>
          <w:p>
            <w:pPr>
              <w:pStyle w:val="17"/>
            </w:pPr>
            <w:r>
              <w:t>视频会议系统运行维护次数</w:t>
            </w:r>
          </w:p>
        </w:tc>
        <w:tc>
          <w:tcPr>
            <w:tcW w:w="1276" w:type="dxa"/>
            <w:vAlign w:val="center"/>
          </w:tcPr>
          <w:p>
            <w:pPr>
              <w:pStyle w:val="17"/>
            </w:pPr>
            <w:r>
              <w:t>≥2次</w:t>
            </w:r>
          </w:p>
        </w:tc>
        <w:tc>
          <w:tcPr>
            <w:tcW w:w="1843"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视频会议系统维护验收合格率</w:t>
            </w:r>
          </w:p>
        </w:tc>
        <w:tc>
          <w:tcPr>
            <w:tcW w:w="2891" w:type="dxa"/>
            <w:vAlign w:val="center"/>
          </w:tcPr>
          <w:p>
            <w:pPr>
              <w:pStyle w:val="17"/>
            </w:pPr>
            <w:r>
              <w:t>视频会议系统维护验收合格率</w:t>
            </w:r>
          </w:p>
        </w:tc>
        <w:tc>
          <w:tcPr>
            <w:tcW w:w="1276" w:type="dxa"/>
            <w:vAlign w:val="center"/>
          </w:tcPr>
          <w:p>
            <w:pPr>
              <w:pStyle w:val="17"/>
            </w:pPr>
            <w:r>
              <w:t>≥95％</w:t>
            </w:r>
          </w:p>
        </w:tc>
        <w:tc>
          <w:tcPr>
            <w:tcW w:w="1843"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视频会议系统维护及时率</w:t>
            </w:r>
          </w:p>
        </w:tc>
        <w:tc>
          <w:tcPr>
            <w:tcW w:w="2891" w:type="dxa"/>
            <w:vAlign w:val="center"/>
          </w:tcPr>
          <w:p>
            <w:pPr>
              <w:pStyle w:val="17"/>
            </w:pPr>
            <w:r>
              <w:t>视频会议系统维护及时率</w:t>
            </w:r>
          </w:p>
        </w:tc>
        <w:tc>
          <w:tcPr>
            <w:tcW w:w="1276" w:type="dxa"/>
            <w:vAlign w:val="center"/>
          </w:tcPr>
          <w:p>
            <w:pPr>
              <w:pStyle w:val="17"/>
            </w:pPr>
            <w:r>
              <w:t>≥95％</w:t>
            </w:r>
          </w:p>
        </w:tc>
        <w:tc>
          <w:tcPr>
            <w:tcW w:w="1843"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预算项目控制数</w:t>
            </w:r>
          </w:p>
        </w:tc>
        <w:tc>
          <w:tcPr>
            <w:tcW w:w="2891" w:type="dxa"/>
            <w:vAlign w:val="center"/>
          </w:tcPr>
          <w:p>
            <w:pPr>
              <w:pStyle w:val="17"/>
            </w:pPr>
            <w:r>
              <w:t>项目支出控制在预算范围内</w:t>
            </w:r>
          </w:p>
        </w:tc>
        <w:tc>
          <w:tcPr>
            <w:tcW w:w="1276" w:type="dxa"/>
            <w:vAlign w:val="center"/>
          </w:tcPr>
          <w:p>
            <w:pPr>
              <w:pStyle w:val="17"/>
            </w:pPr>
            <w:r>
              <w:t>≤0.84万元</w:t>
            </w:r>
          </w:p>
        </w:tc>
        <w:tc>
          <w:tcPr>
            <w:tcW w:w="1843"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视频会议沟通满足率</w:t>
            </w:r>
          </w:p>
        </w:tc>
        <w:tc>
          <w:tcPr>
            <w:tcW w:w="2891" w:type="dxa"/>
            <w:vAlign w:val="center"/>
          </w:tcPr>
          <w:p>
            <w:pPr>
              <w:pStyle w:val="17"/>
            </w:pPr>
            <w:r>
              <w:t>视频会议沟通满足率</w:t>
            </w:r>
          </w:p>
        </w:tc>
        <w:tc>
          <w:tcPr>
            <w:tcW w:w="1276" w:type="dxa"/>
            <w:vAlign w:val="center"/>
          </w:tcPr>
          <w:p>
            <w:pPr>
              <w:pStyle w:val="17"/>
            </w:pPr>
            <w:r>
              <w:t>≥95％</w:t>
            </w:r>
          </w:p>
        </w:tc>
        <w:tc>
          <w:tcPr>
            <w:tcW w:w="1843"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网信单位工作人员满意度</w:t>
            </w:r>
          </w:p>
        </w:tc>
        <w:tc>
          <w:tcPr>
            <w:tcW w:w="2891" w:type="dxa"/>
            <w:vAlign w:val="center"/>
          </w:tcPr>
          <w:p>
            <w:pPr>
              <w:pStyle w:val="17"/>
            </w:pPr>
            <w:r>
              <w:t>网信单位工作人员满意度</w:t>
            </w:r>
          </w:p>
        </w:tc>
        <w:tc>
          <w:tcPr>
            <w:tcW w:w="1276" w:type="dxa"/>
            <w:vAlign w:val="center"/>
          </w:tcPr>
          <w:p>
            <w:pPr>
              <w:pStyle w:val="17"/>
            </w:pPr>
            <w:r>
              <w:t>≥90％</w:t>
            </w:r>
          </w:p>
        </w:tc>
        <w:tc>
          <w:tcPr>
            <w:tcW w:w="1843" w:type="dxa"/>
            <w:vAlign w:val="center"/>
          </w:tcPr>
          <w:p>
            <w:pPr>
              <w:pStyle w:val="17"/>
            </w:pPr>
            <w:r>
              <w:t>工作计划</w:t>
            </w:r>
          </w:p>
        </w:tc>
      </w:tr>
    </w:tbl>
    <w:p>
      <w:pPr>
        <w:sectPr>
          <w:pgSz w:w="11900" w:h="16840"/>
          <w:pgMar w:top="1984" w:right="1304" w:bottom="1134" w:left="1304" w:header="720" w:footer="720" w:gutter="0"/>
          <w:cols w:space="720" w:num="1"/>
        </w:sectPr>
      </w:pPr>
    </w:p>
    <w:p>
      <w:pPr>
        <w:jc w:val="center"/>
      </w:pPr>
    </w:p>
    <w:p>
      <w:pPr>
        <w:ind w:firstLine="560"/>
        <w:jc w:val="left"/>
        <w:outlineLvl w:val="3"/>
      </w:pPr>
      <w:bookmarkStart w:id="4" w:name="_Toc_4_4_0000000005"/>
      <w:r>
        <w:rPr>
          <w:rFonts w:ascii="方正仿宋_GBK" w:hAnsi="方正仿宋_GBK" w:eastAsia="方正仿宋_GBK" w:cs="方正仿宋_GBK"/>
          <w:color w:val="000000"/>
          <w:sz w:val="28"/>
        </w:rPr>
        <w:t>2.政务外网防漏洞扫描（运转保障）绩效目标表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224001中共保定市徐水区委网络安全和信息化委员会办公室本级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13062522P00456710328N</w:t>
            </w:r>
          </w:p>
        </w:tc>
        <w:tc>
          <w:tcPr>
            <w:tcW w:w="1587" w:type="dxa"/>
            <w:vAlign w:val="center"/>
          </w:tcPr>
          <w:p>
            <w:pPr>
              <w:pStyle w:val="16"/>
            </w:pPr>
            <w:r>
              <w:t>项目名称</w:t>
            </w:r>
          </w:p>
        </w:tc>
        <w:tc>
          <w:tcPr>
            <w:tcW w:w="4422" w:type="dxa"/>
            <w:gridSpan w:val="3"/>
            <w:vAlign w:val="center"/>
          </w:tcPr>
          <w:p>
            <w:pPr>
              <w:pStyle w:val="17"/>
            </w:pPr>
            <w:r>
              <w:t>政务外网防漏洞扫描（运转保障）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12.00</w:t>
            </w:r>
          </w:p>
        </w:tc>
        <w:tc>
          <w:tcPr>
            <w:tcW w:w="1587" w:type="dxa"/>
            <w:vAlign w:val="center"/>
          </w:tcPr>
          <w:p>
            <w:pPr>
              <w:pStyle w:val="16"/>
            </w:pPr>
            <w:r>
              <w:t>其中：财政    资金</w:t>
            </w:r>
          </w:p>
        </w:tc>
        <w:tc>
          <w:tcPr>
            <w:tcW w:w="1304" w:type="dxa"/>
            <w:vAlign w:val="center"/>
          </w:tcPr>
          <w:p>
            <w:pPr>
              <w:pStyle w:val="17"/>
            </w:pPr>
            <w:r>
              <w:t>12.00</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用于聘请第三方委托业务费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p>
        </w:tc>
        <w:tc>
          <w:tcPr>
            <w:tcW w:w="1587" w:type="dxa"/>
            <w:vAlign w:val="center"/>
          </w:tcPr>
          <w:p>
            <w:pPr>
              <w:pStyle w:val="18"/>
            </w:pPr>
          </w:p>
        </w:tc>
        <w:tc>
          <w:tcPr>
            <w:tcW w:w="1304" w:type="dxa"/>
            <w:vAlign w:val="center"/>
          </w:tcPr>
          <w:p>
            <w:pPr>
              <w:pStyle w:val="18"/>
            </w:pPr>
          </w:p>
        </w:tc>
        <w:tc>
          <w:tcPr>
            <w:tcW w:w="3118" w:type="dxa"/>
            <w:gridSpan w:val="2"/>
            <w:vAlign w:val="center"/>
          </w:tcPr>
          <w:p>
            <w:pPr>
              <w:pStyle w:val="1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1.落实保定市委网信办进一步开展网络安全专项检查。</w:t>
            </w:r>
          </w:p>
          <w:p>
            <w:pPr>
              <w:pStyle w:val="17"/>
            </w:pPr>
            <w:r>
              <w:t>2.落实网络安全工作责任制，及时发布审核登记，做好病毒检测、网络安全漏洞检测等工作，增强网络安全从业人员的管理和技术保障能力。</w:t>
            </w:r>
          </w:p>
          <w:p>
            <w:pPr>
              <w:pStyle w:val="17"/>
            </w:pPr>
            <w:r>
              <w:t>3.资金支付6月50%，11月90%，12月100%</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信息系统漏洞扫描次数</w:t>
            </w:r>
          </w:p>
        </w:tc>
        <w:tc>
          <w:tcPr>
            <w:tcW w:w="2891" w:type="dxa"/>
            <w:vAlign w:val="center"/>
          </w:tcPr>
          <w:p>
            <w:pPr>
              <w:pStyle w:val="17"/>
            </w:pPr>
            <w:r>
              <w:t>信息系统漏洞扫描次数</w:t>
            </w:r>
          </w:p>
        </w:tc>
        <w:tc>
          <w:tcPr>
            <w:tcW w:w="1276" w:type="dxa"/>
            <w:vAlign w:val="center"/>
          </w:tcPr>
          <w:p>
            <w:pPr>
              <w:pStyle w:val="17"/>
            </w:pPr>
            <w:r>
              <w:t>≥3次/天</w:t>
            </w:r>
          </w:p>
        </w:tc>
        <w:tc>
          <w:tcPr>
            <w:tcW w:w="1843"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发生网络安全事故次数</w:t>
            </w:r>
          </w:p>
        </w:tc>
        <w:tc>
          <w:tcPr>
            <w:tcW w:w="2891" w:type="dxa"/>
            <w:vAlign w:val="center"/>
          </w:tcPr>
          <w:p>
            <w:pPr>
              <w:pStyle w:val="17"/>
            </w:pPr>
            <w:r>
              <w:t>项目验收合格率</w:t>
            </w:r>
          </w:p>
        </w:tc>
        <w:tc>
          <w:tcPr>
            <w:tcW w:w="1276" w:type="dxa"/>
            <w:vAlign w:val="center"/>
          </w:tcPr>
          <w:p>
            <w:pPr>
              <w:pStyle w:val="17"/>
            </w:pPr>
            <w:r>
              <w:t>≤1次</w:t>
            </w:r>
          </w:p>
        </w:tc>
        <w:tc>
          <w:tcPr>
            <w:tcW w:w="1843"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漏洞处置及时率</w:t>
            </w:r>
          </w:p>
        </w:tc>
        <w:tc>
          <w:tcPr>
            <w:tcW w:w="2891" w:type="dxa"/>
            <w:vAlign w:val="center"/>
          </w:tcPr>
          <w:p>
            <w:pPr>
              <w:pStyle w:val="17"/>
            </w:pPr>
            <w:r>
              <w:t>漏洞处置及时率</w:t>
            </w:r>
          </w:p>
        </w:tc>
        <w:tc>
          <w:tcPr>
            <w:tcW w:w="1276" w:type="dxa"/>
            <w:vAlign w:val="center"/>
          </w:tcPr>
          <w:p>
            <w:pPr>
              <w:pStyle w:val="17"/>
            </w:pPr>
            <w:r>
              <w:t>≥95%</w:t>
            </w:r>
          </w:p>
        </w:tc>
        <w:tc>
          <w:tcPr>
            <w:tcW w:w="1843"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≤12万元</w:t>
            </w:r>
          </w:p>
        </w:tc>
        <w:tc>
          <w:tcPr>
            <w:tcW w:w="1843"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网络环境稳定提升率</w:t>
            </w:r>
          </w:p>
        </w:tc>
        <w:tc>
          <w:tcPr>
            <w:tcW w:w="2891" w:type="dxa"/>
            <w:vAlign w:val="center"/>
          </w:tcPr>
          <w:p>
            <w:pPr>
              <w:pStyle w:val="17"/>
            </w:pPr>
            <w:r>
              <w:t>网络环境稳定提升率</w:t>
            </w:r>
          </w:p>
        </w:tc>
        <w:tc>
          <w:tcPr>
            <w:tcW w:w="1276" w:type="dxa"/>
            <w:vAlign w:val="center"/>
          </w:tcPr>
          <w:p>
            <w:pPr>
              <w:pStyle w:val="17"/>
            </w:pPr>
            <w:r>
              <w:t>≥50%</w:t>
            </w:r>
          </w:p>
        </w:tc>
        <w:tc>
          <w:tcPr>
            <w:tcW w:w="1843" w:type="dxa"/>
            <w:vAlign w:val="center"/>
          </w:tcPr>
          <w:p>
            <w:pPr>
              <w:pStyle w:val="17"/>
            </w:pPr>
            <w:r>
              <w:t>工作计划</w:t>
            </w:r>
          </w:p>
        </w:tc>
      </w:tr>
    </w:tbl>
    <w:p/>
    <w:p>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Pr>
        <w:spacing w:line="360" w:lineRule="auto"/>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rPr>
          <w:rFonts w:ascii="仿宋" w:hAnsi="仿宋" w:eastAsia="仿宋"/>
          <w:sz w:val="32"/>
          <w:szCs w:val="32"/>
        </w:rPr>
      </w:pP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202</w:t>
      </w:r>
      <w:r>
        <w:rPr>
          <w:rFonts w:hint="eastAsia" w:ascii="仿宋" w:hAnsi="仿宋" w:eastAsia="仿宋" w:cs="Times New Roman"/>
          <w:sz w:val="32"/>
          <w:szCs w:val="32"/>
        </w:rPr>
        <w:t>2</w:t>
      </w:r>
      <w:r>
        <w:rPr>
          <w:rFonts w:ascii="仿宋" w:hAnsi="仿宋" w:eastAsia="仿宋" w:cs="Times New Roman"/>
          <w:sz w:val="32"/>
          <w:szCs w:val="32"/>
        </w:rPr>
        <w:t>年，我单位安排政府采购预算</w:t>
      </w:r>
      <w:r>
        <w:rPr>
          <w:rFonts w:hint="eastAsia" w:ascii="仿宋" w:hAnsi="仿宋" w:eastAsia="仿宋" w:cs="Times New Roman"/>
          <w:sz w:val="32"/>
          <w:szCs w:val="32"/>
        </w:rPr>
        <w:t>45.9928</w:t>
      </w:r>
      <w:r>
        <w:rPr>
          <w:rFonts w:ascii="仿宋" w:hAnsi="仿宋" w:eastAsia="仿宋" w:cs="Times New Roman"/>
          <w:sz w:val="32"/>
          <w:szCs w:val="32"/>
        </w:rPr>
        <w:t>万元，具体内容见下表：</w:t>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hAnsi="等线" w:eastAsia="方正小标宋_GBK" w:cs="Times New Roman"/>
                <w:sz w:val="24"/>
              </w:rPr>
            </w:pPr>
            <w:r>
              <w:rPr>
                <w:rFonts w:ascii="方正小标宋_GBK" w:hAnsi="等线" w:eastAsia="方正小标宋_GBK" w:cs="Times New Roman"/>
                <w:sz w:val="24"/>
              </w:rPr>
              <w:t>224中共保定市徐水区委网络安全和信息化委员会办公室</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709" w:type="dxa"/>
            <w:shd w:val="clear" w:color="auto" w:fill="auto"/>
            <w:vAlign w:val="center"/>
          </w:tcPr>
          <w:p>
            <w:pPr>
              <w:spacing w:line="300" w:lineRule="exact"/>
              <w:jc w:val="center"/>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r>
              <w:rPr>
                <w:rFonts w:ascii="方正书宋_GBK" w:hAnsi="等线" w:eastAsia="方正书宋_GBK" w:cs="Times New Roman"/>
                <w:b/>
              </w:rPr>
              <w:t>459928.00</w:t>
            </w:r>
          </w:p>
        </w:tc>
        <w:tc>
          <w:tcPr>
            <w:tcW w:w="1134" w:type="dxa"/>
            <w:shd w:val="clear" w:color="auto" w:fill="auto"/>
            <w:vAlign w:val="center"/>
          </w:tcPr>
          <w:p>
            <w:pPr>
              <w:spacing w:line="300" w:lineRule="exact"/>
              <w:jc w:val="right"/>
              <w:rPr>
                <w:rFonts w:ascii="方正书宋_GBK" w:hAnsi="等线" w:eastAsia="方正书宋_GBK" w:cs="Times New Roman"/>
                <w:b/>
              </w:rPr>
            </w:pPr>
            <w:r>
              <w:rPr>
                <w:rFonts w:ascii="方正书宋_GBK" w:hAnsi="等线" w:eastAsia="方正书宋_GBK" w:cs="Times New Roman"/>
                <w:b/>
              </w:rPr>
              <w:t>459928.00</w:t>
            </w: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hAnsi="等线" w:eastAsia="方正书宋_GBK" w:cs="Times New Roman"/>
                <w:b/>
              </w:rPr>
            </w:pPr>
            <w:r>
              <w:rPr>
                <w:rFonts w:ascii="方正书宋_GBK" w:hAnsi="等线" w:eastAsia="方正书宋_GBK" w:cs="Times New Roman"/>
                <w:b/>
              </w:rPr>
              <w:t>网信办本级小计</w:t>
            </w: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1531" w:type="dxa"/>
            <w:shd w:val="clear" w:color="auto" w:fill="auto"/>
            <w:vAlign w:val="center"/>
          </w:tcPr>
          <w:p>
            <w:pPr>
              <w:spacing w:line="300" w:lineRule="exact"/>
              <w:jc w:val="left"/>
              <w:rPr>
                <w:rFonts w:ascii="方正书宋_GBK" w:hAnsi="等线" w:eastAsia="方正书宋_GBK" w:cs="Times New Roman"/>
                <w:b/>
              </w:rPr>
            </w:pPr>
          </w:p>
        </w:tc>
        <w:tc>
          <w:tcPr>
            <w:tcW w:w="709" w:type="dxa"/>
            <w:shd w:val="clear" w:color="auto" w:fill="auto"/>
            <w:vAlign w:val="center"/>
          </w:tcPr>
          <w:p>
            <w:pPr>
              <w:spacing w:line="300" w:lineRule="exact"/>
              <w:jc w:val="center"/>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907"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r>
              <w:rPr>
                <w:rFonts w:ascii="方正书宋_GBK" w:hAnsi="等线" w:eastAsia="方正书宋_GBK" w:cs="Times New Roman"/>
                <w:b/>
              </w:rPr>
              <w:t>459928.00</w:t>
            </w:r>
          </w:p>
        </w:tc>
        <w:tc>
          <w:tcPr>
            <w:tcW w:w="1134" w:type="dxa"/>
            <w:shd w:val="clear" w:color="auto" w:fill="auto"/>
            <w:vAlign w:val="center"/>
          </w:tcPr>
          <w:p>
            <w:pPr>
              <w:spacing w:line="300" w:lineRule="exact"/>
              <w:jc w:val="right"/>
              <w:rPr>
                <w:rFonts w:ascii="方正书宋_GBK" w:hAnsi="等线" w:eastAsia="方正书宋_GBK" w:cs="Times New Roman"/>
                <w:b/>
              </w:rPr>
            </w:pPr>
            <w:r>
              <w:rPr>
                <w:rFonts w:ascii="方正书宋_GBK" w:hAnsi="等线" w:eastAsia="方正书宋_GBK" w:cs="Times New Roman"/>
                <w:b/>
              </w:rPr>
              <w:t>459928.00</w:t>
            </w: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c>
          <w:tcPr>
            <w:tcW w:w="1134" w:type="dxa"/>
            <w:shd w:val="clear" w:color="auto" w:fill="auto"/>
            <w:vAlign w:val="center"/>
          </w:tcPr>
          <w:p>
            <w:pPr>
              <w:spacing w:line="300" w:lineRule="exact"/>
              <w:jc w:val="right"/>
              <w:rPr>
                <w:rFonts w:ascii="方正书宋_GBK" w:hAnsi="等线"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电子政务网组建与维护费</w:t>
            </w:r>
          </w:p>
        </w:tc>
        <w:tc>
          <w:tcPr>
            <w:tcW w:w="1134" w:type="dxa"/>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459928.00</w:t>
            </w:r>
          </w:p>
        </w:tc>
        <w:tc>
          <w:tcPr>
            <w:tcW w:w="153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计算机设备和软件租赁服务</w:t>
            </w:r>
          </w:p>
        </w:tc>
        <w:tc>
          <w:tcPr>
            <w:tcW w:w="1531" w:type="dxa"/>
            <w:shd w:val="clear" w:color="auto" w:fill="auto"/>
            <w:vAlign w:val="center"/>
          </w:tcPr>
          <w:p>
            <w:pPr>
              <w:spacing w:line="300" w:lineRule="exact"/>
              <w:jc w:val="left"/>
              <w:rPr>
                <w:rFonts w:ascii="方正书宋_GBK" w:hAnsi="等线" w:eastAsia="方正书宋_GBK" w:cs="Times New Roman"/>
              </w:rPr>
            </w:pPr>
            <w:r>
              <w:rPr>
                <w:rFonts w:ascii="方正书宋_GBK" w:hAnsi="等线" w:eastAsia="方正书宋_GBK" w:cs="Times New Roman"/>
              </w:rPr>
              <w:t>C0401</w:t>
            </w:r>
          </w:p>
        </w:tc>
        <w:tc>
          <w:tcPr>
            <w:tcW w:w="709" w:type="dxa"/>
            <w:shd w:val="clear" w:color="auto" w:fill="auto"/>
            <w:vAlign w:val="center"/>
          </w:tcPr>
          <w:p>
            <w:pPr>
              <w:spacing w:line="300" w:lineRule="exact"/>
              <w:jc w:val="center"/>
              <w:rPr>
                <w:rFonts w:ascii="方正书宋_GBK" w:hAnsi="等线" w:eastAsia="方正书宋_GBK" w:cs="Times New Roman"/>
              </w:rPr>
            </w:pPr>
            <w:r>
              <w:rPr>
                <w:rFonts w:ascii="方正书宋_GBK" w:hAnsi="等线" w:eastAsia="方正书宋_GBK" w:cs="Times New Roman"/>
              </w:rPr>
              <w:t>元</w:t>
            </w:r>
          </w:p>
        </w:tc>
        <w:tc>
          <w:tcPr>
            <w:tcW w:w="907" w:type="dxa"/>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1</w:t>
            </w:r>
          </w:p>
        </w:tc>
        <w:tc>
          <w:tcPr>
            <w:tcW w:w="907" w:type="dxa"/>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459928.00</w:t>
            </w:r>
          </w:p>
        </w:tc>
        <w:tc>
          <w:tcPr>
            <w:tcW w:w="1134" w:type="dxa"/>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459928.00</w:t>
            </w:r>
          </w:p>
        </w:tc>
        <w:tc>
          <w:tcPr>
            <w:tcW w:w="1134" w:type="dxa"/>
            <w:shd w:val="clear" w:color="auto" w:fill="auto"/>
            <w:vAlign w:val="center"/>
          </w:tcPr>
          <w:p>
            <w:pPr>
              <w:spacing w:line="300" w:lineRule="exact"/>
              <w:jc w:val="right"/>
              <w:rPr>
                <w:rFonts w:ascii="方正书宋_GBK" w:hAnsi="等线" w:eastAsia="方正书宋_GBK" w:cs="Times New Roman"/>
              </w:rPr>
            </w:pPr>
            <w:r>
              <w:rPr>
                <w:rFonts w:ascii="方正书宋_GBK" w:hAnsi="等线" w:eastAsia="方正书宋_GBK" w:cs="Times New Roman"/>
              </w:rPr>
              <w:t>459928.00</w:t>
            </w: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c>
          <w:tcPr>
            <w:tcW w:w="1134" w:type="dxa"/>
            <w:shd w:val="clear" w:color="auto" w:fill="auto"/>
            <w:vAlign w:val="center"/>
          </w:tcPr>
          <w:p>
            <w:pPr>
              <w:spacing w:line="300" w:lineRule="exact"/>
              <w:jc w:val="right"/>
              <w:rPr>
                <w:rFonts w:ascii="方正书宋_GBK" w:hAnsi="等线" w:eastAsia="方正书宋_GBK" w:cs="Times New Roman"/>
              </w:rPr>
            </w:pPr>
          </w:p>
        </w:tc>
      </w:tr>
    </w:tbl>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上年末我单位固定资产总金额为38.12万元（详见下表）。</w:t>
      </w:r>
      <w:r>
        <w:rPr>
          <w:rFonts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本年度无拟购置固定资产的写：我单位本年度无国有资产购置计划，拟购置金额为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38.12</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15.5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22.62</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8617564"/>
    </w:sdtPr>
    <w:sdtContent>
      <w:p>
        <w:pPr>
          <w:pStyle w:val="3"/>
          <w:jc w:val="center"/>
        </w:pPr>
        <w:r>
          <w:fldChar w:fldCharType="begin"/>
        </w:r>
        <w:r>
          <w:instrText xml:space="preserve">PAGE   \* MERGEFORMAT</w:instrText>
        </w:r>
        <w:r>
          <w:fldChar w:fldCharType="separate"/>
        </w:r>
        <w:r>
          <w:rPr>
            <w:lang w:val="zh-CN"/>
          </w:rPr>
          <w:t>18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5F1F"/>
    <w:rsid w:val="00013B8A"/>
    <w:rsid w:val="000269D6"/>
    <w:rsid w:val="00044FBC"/>
    <w:rsid w:val="00055F1F"/>
    <w:rsid w:val="000577EF"/>
    <w:rsid w:val="00057F18"/>
    <w:rsid w:val="00060C96"/>
    <w:rsid w:val="00062EFC"/>
    <w:rsid w:val="000A445D"/>
    <w:rsid w:val="000C178B"/>
    <w:rsid w:val="00131DEC"/>
    <w:rsid w:val="00136AB3"/>
    <w:rsid w:val="00137A10"/>
    <w:rsid w:val="001462BD"/>
    <w:rsid w:val="00152380"/>
    <w:rsid w:val="001638BE"/>
    <w:rsid w:val="00164810"/>
    <w:rsid w:val="00172C7A"/>
    <w:rsid w:val="00181777"/>
    <w:rsid w:val="001B298C"/>
    <w:rsid w:val="001B4688"/>
    <w:rsid w:val="001B6235"/>
    <w:rsid w:val="001D2388"/>
    <w:rsid w:val="001F4875"/>
    <w:rsid w:val="00212335"/>
    <w:rsid w:val="00272E3B"/>
    <w:rsid w:val="002918C6"/>
    <w:rsid w:val="00291EF3"/>
    <w:rsid w:val="00296524"/>
    <w:rsid w:val="002E01F6"/>
    <w:rsid w:val="002F1ACB"/>
    <w:rsid w:val="002F530F"/>
    <w:rsid w:val="00305E97"/>
    <w:rsid w:val="00310532"/>
    <w:rsid w:val="003146C4"/>
    <w:rsid w:val="003264BB"/>
    <w:rsid w:val="0032782B"/>
    <w:rsid w:val="00340B3D"/>
    <w:rsid w:val="0034253A"/>
    <w:rsid w:val="00360CF4"/>
    <w:rsid w:val="003669CF"/>
    <w:rsid w:val="00367A30"/>
    <w:rsid w:val="00394D9D"/>
    <w:rsid w:val="003A06D2"/>
    <w:rsid w:val="003A3AB4"/>
    <w:rsid w:val="003A44C1"/>
    <w:rsid w:val="003A4557"/>
    <w:rsid w:val="003A6366"/>
    <w:rsid w:val="003C2317"/>
    <w:rsid w:val="003C442E"/>
    <w:rsid w:val="003D1092"/>
    <w:rsid w:val="003D37CD"/>
    <w:rsid w:val="003E5531"/>
    <w:rsid w:val="003E555C"/>
    <w:rsid w:val="003E6AF3"/>
    <w:rsid w:val="003E6E18"/>
    <w:rsid w:val="0040243C"/>
    <w:rsid w:val="00406BD1"/>
    <w:rsid w:val="00426C19"/>
    <w:rsid w:val="004444C6"/>
    <w:rsid w:val="00450FD9"/>
    <w:rsid w:val="00453CE0"/>
    <w:rsid w:val="00470736"/>
    <w:rsid w:val="00470BBB"/>
    <w:rsid w:val="00485EBE"/>
    <w:rsid w:val="0048611E"/>
    <w:rsid w:val="004B54F1"/>
    <w:rsid w:val="004B6929"/>
    <w:rsid w:val="004E2F43"/>
    <w:rsid w:val="004E3572"/>
    <w:rsid w:val="004F3C52"/>
    <w:rsid w:val="004F4E9B"/>
    <w:rsid w:val="004F74BF"/>
    <w:rsid w:val="00510A1E"/>
    <w:rsid w:val="005158E2"/>
    <w:rsid w:val="00524204"/>
    <w:rsid w:val="00550049"/>
    <w:rsid w:val="00553F7E"/>
    <w:rsid w:val="00570142"/>
    <w:rsid w:val="00586C35"/>
    <w:rsid w:val="005B1B6F"/>
    <w:rsid w:val="005B6CCB"/>
    <w:rsid w:val="005C33EC"/>
    <w:rsid w:val="005C54AA"/>
    <w:rsid w:val="005C7B89"/>
    <w:rsid w:val="005F29BF"/>
    <w:rsid w:val="0062788A"/>
    <w:rsid w:val="00641F8A"/>
    <w:rsid w:val="0066383B"/>
    <w:rsid w:val="00690FBD"/>
    <w:rsid w:val="00692A50"/>
    <w:rsid w:val="006A6FA2"/>
    <w:rsid w:val="006B5117"/>
    <w:rsid w:val="006C61BE"/>
    <w:rsid w:val="006C62DF"/>
    <w:rsid w:val="006F248F"/>
    <w:rsid w:val="006F5104"/>
    <w:rsid w:val="006F6549"/>
    <w:rsid w:val="007356E4"/>
    <w:rsid w:val="00735B02"/>
    <w:rsid w:val="007657C8"/>
    <w:rsid w:val="00767A77"/>
    <w:rsid w:val="00771E49"/>
    <w:rsid w:val="00782208"/>
    <w:rsid w:val="00791938"/>
    <w:rsid w:val="007A5999"/>
    <w:rsid w:val="007C7FD7"/>
    <w:rsid w:val="007D250C"/>
    <w:rsid w:val="007D72FB"/>
    <w:rsid w:val="007F3746"/>
    <w:rsid w:val="00833132"/>
    <w:rsid w:val="00845C67"/>
    <w:rsid w:val="0086454E"/>
    <w:rsid w:val="008672EA"/>
    <w:rsid w:val="00891680"/>
    <w:rsid w:val="008A0099"/>
    <w:rsid w:val="008A0B5F"/>
    <w:rsid w:val="008B5402"/>
    <w:rsid w:val="008D11BC"/>
    <w:rsid w:val="008F6E3D"/>
    <w:rsid w:val="0090527E"/>
    <w:rsid w:val="00905BB7"/>
    <w:rsid w:val="0090620C"/>
    <w:rsid w:val="00912DA4"/>
    <w:rsid w:val="009302B8"/>
    <w:rsid w:val="009305C6"/>
    <w:rsid w:val="009752AE"/>
    <w:rsid w:val="00982F3D"/>
    <w:rsid w:val="00983232"/>
    <w:rsid w:val="009A278A"/>
    <w:rsid w:val="009B6368"/>
    <w:rsid w:val="009C4BB8"/>
    <w:rsid w:val="009F63C4"/>
    <w:rsid w:val="00A16957"/>
    <w:rsid w:val="00A54DA4"/>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B0903"/>
    <w:rsid w:val="00ED3485"/>
    <w:rsid w:val="00F000B1"/>
    <w:rsid w:val="00F012D3"/>
    <w:rsid w:val="00F044C3"/>
    <w:rsid w:val="00F10D04"/>
    <w:rsid w:val="00F169E3"/>
    <w:rsid w:val="00F23BB5"/>
    <w:rsid w:val="00F35D4B"/>
    <w:rsid w:val="00F3746B"/>
    <w:rsid w:val="00F572CB"/>
    <w:rsid w:val="00F621AF"/>
    <w:rsid w:val="00F8024E"/>
    <w:rsid w:val="00F82447"/>
    <w:rsid w:val="00F868E5"/>
    <w:rsid w:val="00FB2F32"/>
    <w:rsid w:val="00FC3191"/>
    <w:rsid w:val="00FD55EE"/>
    <w:rsid w:val="00FE0F1F"/>
    <w:rsid w:val="00FF61F3"/>
    <w:rsid w:val="0A214432"/>
    <w:rsid w:val="0CD84070"/>
    <w:rsid w:val="0CF253E7"/>
    <w:rsid w:val="17FB2EA5"/>
    <w:rsid w:val="22026286"/>
    <w:rsid w:val="26D54D8A"/>
    <w:rsid w:val="27733670"/>
    <w:rsid w:val="34E97569"/>
    <w:rsid w:val="3EE34425"/>
    <w:rsid w:val="426277EE"/>
    <w:rsid w:val="45724924"/>
    <w:rsid w:val="60E62BE5"/>
    <w:rsid w:val="62CB69AE"/>
    <w:rsid w:val="74F12C02"/>
    <w:rsid w:val="7CEC15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插入文本样式-插入部门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3">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4">
    <w:name w:val="单元格样式5"/>
    <w:basedOn w:val="1"/>
    <w:qFormat/>
    <w:uiPriority w:val="0"/>
    <w:pPr>
      <w:jc w:val="left"/>
    </w:pPr>
    <w:rPr>
      <w:rFonts w:ascii="方正书宋_GBK" w:hAnsi="方正书宋_GBK" w:eastAsia="方正书宋_GBK" w:cs="方正书宋_GBK"/>
      <w:b/>
    </w:rPr>
  </w:style>
  <w:style w:type="paragraph" w:customStyle="1" w:styleId="15">
    <w:name w:val="单元格样式4"/>
    <w:basedOn w:val="1"/>
    <w:qFormat/>
    <w:uiPriority w:val="0"/>
    <w:pPr>
      <w:jc w:val="right"/>
    </w:pPr>
    <w:rPr>
      <w:rFonts w:ascii="方正书宋_GBK" w:hAnsi="方正书宋_GBK" w:eastAsia="方正书宋_GBK" w:cs="方正书宋_GBK"/>
    </w:rPr>
  </w:style>
  <w:style w:type="paragraph" w:customStyle="1" w:styleId="16">
    <w:name w:val="单元格样式1"/>
    <w:basedOn w:val="1"/>
    <w:qFormat/>
    <w:uiPriority w:val="0"/>
    <w:pPr>
      <w:jc w:val="center"/>
    </w:pPr>
    <w:rPr>
      <w:rFonts w:ascii="方正书宋_GBK" w:hAnsi="方正书宋_GBK" w:eastAsia="方正书宋_GBK" w:cs="方正书宋_GBK"/>
      <w:b/>
    </w:rPr>
  </w:style>
  <w:style w:type="paragraph" w:customStyle="1" w:styleId="17">
    <w:name w:val="单元格样式2"/>
    <w:basedOn w:val="1"/>
    <w:qFormat/>
    <w:uiPriority w:val="0"/>
    <w:pPr>
      <w:jc w:val="left"/>
    </w:pPr>
    <w:rPr>
      <w:rFonts w:ascii="方正书宋_GBK" w:hAnsi="方正书宋_GBK" w:eastAsia="方正书宋_GBK" w:cs="方正书宋_GBK"/>
    </w:rPr>
  </w:style>
  <w:style w:type="paragraph" w:customStyle="1" w:styleId="18">
    <w:name w:val="单元格样式3"/>
    <w:basedOn w:val="1"/>
    <w:qFormat/>
    <w:uiPriority w:val="0"/>
    <w:pPr>
      <w:jc w:val="center"/>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Template>
  <Pages>18</Pages>
  <Words>1082</Words>
  <Characters>6170</Characters>
  <Lines>51</Lines>
  <Paragraphs>14</Paragraphs>
  <TotalTime>1</TotalTime>
  <ScaleCrop>false</ScaleCrop>
  <LinksUpToDate>false</LinksUpToDate>
  <CharactersWithSpaces>7238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2022-06-30T07:22:00Z</dcterms:created>
  <dc:creator>Windows 用户</dc:creator>
  <cp:lastModifiedBy>pc</cp:lastModifiedBy>
  <cp:lastPrinted>2021-04-14T02:06:00Z</cp:lastPrinted>
  <dcterms:modified xsi:type="dcterms:W3CDTF">2024-01-11T07:23:56Z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76EAFEA3433E47EF9BBEB116C4FC5C2C</vt:lpwstr>
  </property>
</Properties>
</file>