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保定市徐水区消防救援</w:t>
      </w:r>
      <w:r>
        <w:rPr>
          <w:rFonts w:ascii="宋体" w:hAnsi="宋体" w:eastAsia="宋体"/>
          <w:b/>
          <w:sz w:val="44"/>
          <w:szCs w:val="44"/>
        </w:rPr>
        <w:t>大队</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0"/>
      </w:pPr>
      <w:r>
        <w:t>主要职责</w:t>
      </w:r>
    </w:p>
    <w:p>
      <w:pPr>
        <w:pStyle w:val="10"/>
      </w:pPr>
      <w:r>
        <w:t>承担城乡综合性消费救援工作，负责指挥调度相关灾害事故救援行动，承担重要会议、大型活动消</w:t>
      </w:r>
      <w:r>
        <w:rPr>
          <w:rFonts w:hint="eastAsia"/>
          <w:lang w:eastAsia="zh-CN"/>
        </w:rPr>
        <w:t>防</w:t>
      </w:r>
      <w:r>
        <w:t>安全工作。</w:t>
      </w:r>
    </w:p>
    <w:p>
      <w:pPr>
        <w:pStyle w:val="10"/>
      </w:pPr>
      <w:r>
        <w:t>承担火灾预防、消防监督执法以及火灾事故调查处理相关工作，依法行使消防安全综合监管职能，推动落实消防安全责任制。</w:t>
      </w:r>
    </w:p>
    <w:p>
      <w:pPr>
        <w:pStyle w:val="10"/>
      </w:pPr>
      <w:r>
        <w:t>参与拟订消防专项规划，参与起草地方性消防法规、规章草案并监督实施。</w:t>
      </w:r>
    </w:p>
    <w:p>
      <w:pPr>
        <w:pStyle w:val="10"/>
      </w:pPr>
      <w:r>
        <w:t>负责消防救援队伍综合性消防救援预案编制，战术研究和执勤备战、训练演练等工作。</w:t>
      </w:r>
    </w:p>
    <w:p>
      <w:pPr>
        <w:pStyle w:val="10"/>
      </w:pPr>
      <w:r>
        <w:t>负责消防救援信息化和应急通信，承担综合性消防救援行动应急通信保障工作。</w:t>
      </w:r>
    </w:p>
    <w:p>
      <w:pPr>
        <w:pStyle w:val="10"/>
      </w:pPr>
      <w:r>
        <w:t>负责消防安全宣传教育，组织指导社会消防力量建设。</w:t>
      </w:r>
    </w:p>
    <w:p>
      <w:pPr>
        <w:pStyle w:val="10"/>
      </w:pPr>
      <w:r>
        <w:t>负责消防应急救援专业队伍规划，建设与调度指挥，参与组织协调动员各类社会救援力量参加救援任务。</w:t>
      </w:r>
    </w:p>
    <w:p>
      <w:pPr>
        <w:pStyle w:val="10"/>
      </w:pPr>
      <w:r>
        <w:t>负责消防救援队伍建设与管理。</w:t>
      </w:r>
    </w:p>
    <w:p>
      <w:pPr>
        <w:pStyle w:val="10"/>
      </w:pPr>
      <w:r>
        <w:t>完成应急管理部和所在省（市、区）党委政府交办的相关任务。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消防</w:t>
            </w:r>
            <w:r>
              <w:rPr>
                <w:rFonts w:hint="eastAsia" w:ascii="仿宋_GB2312" w:hAnsi="仿宋" w:eastAsia="仿宋_GB2312"/>
                <w:bCs/>
                <w:sz w:val="24"/>
                <w:szCs w:val="24"/>
              </w:rPr>
              <w:t>救援</w:t>
            </w:r>
            <w:r>
              <w:rPr>
                <w:rFonts w:ascii="仿宋_GB2312" w:hAnsi="仿宋" w:eastAsia="仿宋_GB2312"/>
                <w:bCs/>
                <w:sz w:val="24"/>
                <w:szCs w:val="24"/>
              </w:rPr>
              <w:t>大队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副处</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2022年预算收入为1327.25万元,其中：一般公共预算收入1327.25万元，基金预算收入0万元，财政专户收入0万元，其他来源收入0万元。</w:t>
      </w:r>
      <w:r>
        <w:rPr>
          <w:rFonts w:ascii="仿宋" w:hAnsi="仿宋" w:eastAsia="仿宋"/>
          <w:sz w:val="32"/>
          <w:szCs w:val="32"/>
        </w:rPr>
        <w:tab/>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2022年部门支出预算：1327.25万元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1327.25万元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其中：本级支出1327.25万元</w:t>
      </w:r>
      <w:r>
        <w:rPr>
          <w:rFonts w:hint="eastAsia" w:ascii="仿宋" w:hAnsi="仿宋" w:eastAsia="仿宋"/>
          <w:sz w:val="32"/>
          <w:szCs w:val="32"/>
        </w:rPr>
        <w:t>，</w:t>
      </w:r>
      <w:r>
        <w:rPr>
          <w:rFonts w:ascii="仿宋" w:hAnsi="仿宋" w:eastAsia="仿宋"/>
          <w:sz w:val="32"/>
          <w:szCs w:val="32"/>
        </w:rPr>
        <w:t>主要为地方财政保障的业务支出</w:t>
      </w:r>
      <w:r>
        <w:rPr>
          <w:rFonts w:hint="eastAsia" w:ascii="仿宋" w:hAnsi="仿宋" w:eastAsia="仿宋"/>
          <w:sz w:val="32"/>
          <w:szCs w:val="32"/>
        </w:rPr>
        <w:t>、</w:t>
      </w:r>
      <w:r>
        <w:rPr>
          <w:rFonts w:ascii="仿宋" w:hAnsi="仿宋" w:eastAsia="仿宋"/>
          <w:sz w:val="32"/>
          <w:szCs w:val="32"/>
        </w:rPr>
        <w:t>人员经费、消防救援装备购置。</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1327.25</w:t>
      </w:r>
      <w:r>
        <w:rPr>
          <w:rFonts w:hint="eastAsia" w:ascii="仿宋" w:hAnsi="仿宋" w:eastAsia="仿宋"/>
          <w:sz w:val="32"/>
          <w:szCs w:val="32"/>
        </w:rPr>
        <w:t>万元，较上年增加</w:t>
      </w:r>
      <w:r>
        <w:rPr>
          <w:rFonts w:ascii="仿宋" w:hAnsi="仿宋" w:eastAsia="仿宋"/>
          <w:sz w:val="32"/>
          <w:szCs w:val="32"/>
        </w:rPr>
        <w:t>215.5万元。其中:项目支出增加215.5万元，主要原因是</w:t>
      </w:r>
      <w:r>
        <w:rPr>
          <w:rFonts w:hint="eastAsia" w:ascii="仿宋" w:hAnsi="仿宋" w:eastAsia="仿宋"/>
          <w:sz w:val="32"/>
          <w:szCs w:val="32"/>
        </w:rPr>
        <w:t>政府专职</w:t>
      </w:r>
      <w:r>
        <w:rPr>
          <w:rFonts w:ascii="仿宋" w:hAnsi="仿宋" w:eastAsia="仿宋"/>
          <w:sz w:val="32"/>
          <w:szCs w:val="32"/>
        </w:rPr>
        <w:t>消防队员文员工资待遇提高。</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800" w:firstLineChars="250"/>
        <w:rPr>
          <w:rFonts w:ascii="仿宋" w:hAnsi="仿宋" w:eastAsia="仿宋"/>
          <w:sz w:val="32"/>
          <w:szCs w:val="32"/>
        </w:rPr>
      </w:pPr>
    </w:p>
    <w:p>
      <w:pPr>
        <w:spacing w:line="360" w:lineRule="auto"/>
        <w:ind w:firstLine="700" w:firstLineChars="250"/>
        <w:rPr>
          <w:rFonts w:ascii="Times New Roman" w:hAnsi="Times New Roman" w:eastAsia="方正仿宋_GBK" w:cs="Times New Roman"/>
          <w:kern w:val="0"/>
          <w:sz w:val="28"/>
          <w:szCs w:val="24"/>
          <w:lang w:val="uk-UA" w:eastAsia="uk-UA"/>
        </w:rPr>
      </w:pPr>
      <w:r>
        <w:rPr>
          <w:rFonts w:hint="eastAsia" w:ascii="Times New Roman" w:hAnsi="Times New Roman" w:eastAsia="方正仿宋_GBK" w:cs="Times New Roman"/>
          <w:kern w:val="0"/>
          <w:sz w:val="28"/>
          <w:szCs w:val="24"/>
          <w:lang w:eastAsia="uk-UA"/>
        </w:rPr>
        <w:t>无机关运行经费安排</w:t>
      </w:r>
    </w:p>
    <w:p>
      <w:pPr>
        <w:spacing w:line="360" w:lineRule="auto"/>
        <w:ind w:firstLine="700" w:firstLineChars="250"/>
        <w:rPr>
          <w:rFonts w:ascii="Times New Roman" w:hAnsi="Times New Roman" w:eastAsia="方正仿宋_GBK" w:cs="Times New Roman"/>
          <w:kern w:val="0"/>
          <w:sz w:val="28"/>
          <w:szCs w:val="24"/>
          <w:lang w:val="uk-UA" w:eastAsia="uk-UA"/>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292" w:type="dxa"/>
        <w:tblInd w:w="0"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405" w:hRule="atLeast"/>
        </w:trPr>
        <w:tc>
          <w:tcPr>
            <w:tcW w:w="9292" w:type="dxa"/>
            <w:tcBorders>
              <w:top w:val="nil"/>
              <w:left w:val="nil"/>
              <w:bottom w:val="nil"/>
              <w:right w:val="nil"/>
            </w:tcBorders>
            <w:shd w:val="clear" w:color="auto" w:fill="auto"/>
            <w:noWrap/>
            <w:vAlign w:val="center"/>
          </w:tcPr>
          <w:p>
            <w:pPr>
              <w:spacing w:line="360" w:lineRule="auto"/>
              <w:ind w:firstLine="700" w:firstLineChars="250"/>
              <w:rPr>
                <w:rFonts w:ascii="Times New Roman" w:hAnsi="Times New Roman" w:eastAsia="方正仿宋_GBK" w:cs="Times New Roman"/>
                <w:kern w:val="0"/>
                <w:sz w:val="28"/>
                <w:szCs w:val="24"/>
                <w:lang w:val="uk-UA" w:eastAsia="uk-UA"/>
              </w:rPr>
            </w:pPr>
          </w:p>
          <w:p>
            <w:pPr>
              <w:spacing w:line="360" w:lineRule="auto"/>
              <w:ind w:firstLine="700" w:firstLineChars="250"/>
              <w:rPr>
                <w:rFonts w:ascii="Times New Roman" w:hAnsi="Times New Roman" w:eastAsia="方正仿宋_GBK" w:cs="Times New Roman"/>
                <w:kern w:val="0"/>
                <w:sz w:val="28"/>
                <w:szCs w:val="24"/>
                <w:lang w:eastAsia="uk-UA"/>
              </w:rPr>
            </w:pPr>
            <w:r>
              <w:rPr>
                <w:rFonts w:hint="eastAsia" w:ascii="Times New Roman" w:hAnsi="Times New Roman" w:eastAsia="方正仿宋_GBK" w:cs="Times New Roman"/>
                <w:kern w:val="0"/>
                <w:sz w:val="28"/>
                <w:szCs w:val="24"/>
                <w:lang w:eastAsia="uk-UA"/>
              </w:rPr>
              <w:t>无</w:t>
            </w:r>
            <w:r>
              <w:rPr>
                <w:rFonts w:ascii="Times New Roman" w:hAnsi="Times New Roman" w:eastAsia="方正仿宋_GBK" w:cs="Times New Roman"/>
                <w:kern w:val="0"/>
                <w:sz w:val="28"/>
                <w:szCs w:val="24"/>
                <w:lang w:eastAsia="uk-UA"/>
              </w:rPr>
              <w:t>“</w:t>
            </w:r>
            <w:r>
              <w:rPr>
                <w:rFonts w:hint="eastAsia" w:ascii="Times New Roman" w:hAnsi="Times New Roman" w:eastAsia="方正仿宋_GBK" w:cs="Times New Roman"/>
                <w:kern w:val="0"/>
                <w:sz w:val="28"/>
                <w:szCs w:val="24"/>
                <w:lang w:eastAsia="uk-UA"/>
              </w:rPr>
              <w:t>三公</w:t>
            </w:r>
            <w:r>
              <w:rPr>
                <w:rFonts w:ascii="Times New Roman" w:hAnsi="Times New Roman" w:eastAsia="方正仿宋_GBK" w:cs="Times New Roman"/>
                <w:kern w:val="0"/>
                <w:sz w:val="28"/>
                <w:szCs w:val="24"/>
                <w:lang w:eastAsia="uk-UA"/>
              </w:rPr>
              <w:t>”</w:t>
            </w:r>
            <w:r>
              <w:rPr>
                <w:rFonts w:hint="eastAsia" w:ascii="Times New Roman" w:hAnsi="Times New Roman" w:eastAsia="方正仿宋_GBK" w:cs="Times New Roman"/>
                <w:kern w:val="0"/>
                <w:sz w:val="28"/>
                <w:szCs w:val="24"/>
                <w:lang w:eastAsia="uk-UA"/>
              </w:rPr>
              <w:t>经费</w:t>
            </w:r>
            <w:r>
              <w:rPr>
                <w:rFonts w:ascii="Times New Roman" w:hAnsi="Times New Roman" w:eastAsia="方正仿宋_GBK" w:cs="Times New Roman"/>
                <w:kern w:val="0"/>
                <w:sz w:val="28"/>
                <w:szCs w:val="24"/>
                <w:lang w:eastAsia="uk-UA"/>
              </w:rPr>
              <w:t>预算安排</w:t>
            </w:r>
            <w:r>
              <w:rPr>
                <w:rFonts w:hint="eastAsia" w:ascii="Times New Roman" w:hAnsi="Times New Roman" w:eastAsia="方正仿宋_GBK" w:cs="Times New Roman"/>
                <w:kern w:val="0"/>
                <w:sz w:val="28"/>
                <w:szCs w:val="24"/>
                <w:lang w:eastAsia="uk-UA"/>
              </w:rPr>
              <w:t>，</w:t>
            </w:r>
            <w:r>
              <w:rPr>
                <w:rFonts w:ascii="Times New Roman" w:hAnsi="Times New Roman" w:eastAsia="方正仿宋_GBK" w:cs="Times New Roman"/>
                <w:kern w:val="0"/>
                <w:sz w:val="28"/>
                <w:szCs w:val="24"/>
                <w:lang w:eastAsia="uk-UA"/>
              </w:rPr>
              <w:t>与</w:t>
            </w:r>
            <w:r>
              <w:rPr>
                <w:rFonts w:hint="eastAsia" w:ascii="Times New Roman" w:hAnsi="Times New Roman" w:eastAsia="方正仿宋_GBK" w:cs="Times New Roman"/>
                <w:kern w:val="0"/>
                <w:sz w:val="28"/>
                <w:szCs w:val="24"/>
                <w:lang w:eastAsia="uk-UA"/>
              </w:rPr>
              <w:t>2021年</w:t>
            </w:r>
            <w:r>
              <w:rPr>
                <w:rFonts w:ascii="Times New Roman" w:hAnsi="Times New Roman" w:eastAsia="方正仿宋_GBK" w:cs="Times New Roman"/>
                <w:kern w:val="0"/>
                <w:sz w:val="28"/>
                <w:szCs w:val="24"/>
                <w:lang w:eastAsia="uk-UA"/>
              </w:rPr>
              <w:t>比无增减变化</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2022年全区消防工作认真贯彻和执行《中华人民</w:t>
      </w:r>
      <w:r>
        <w:rPr>
          <w:rFonts w:hint="eastAsia"/>
          <w:lang w:eastAsia="zh-CN"/>
        </w:rPr>
        <w:t>共</w:t>
      </w:r>
      <w:bookmarkStart w:id="11" w:name="_GoBack"/>
      <w:bookmarkEnd w:id="11"/>
      <w:r>
        <w:t>和国消防法》、《河北省实施〈中华人民共和国消防法〉办法》、《河北省消防安全责任制规定》，为全区消防工作及其各类安保会议提供有力的保障。</w:t>
      </w:r>
    </w:p>
    <w:p>
      <w:pPr>
        <w:pStyle w:val="11"/>
        <w:rPr>
          <w:lang w:val="uk-UA"/>
        </w:rPr>
      </w:pPr>
      <w:r>
        <w:t>我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q区防宣传工作及时顺利完成，防灭火抢险救援工作及时开展，保障公共财产、人民生命财产，确保各类火灾及社会抢险出警得到保障。</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1、消防队运转类公共业务基本支出经费</w:t>
      </w:r>
    </w:p>
    <w:p>
      <w:pPr>
        <w:pStyle w:val="12"/>
      </w:pPr>
      <w:r>
        <w:t>绩效目标：确保经常性消防工作顺利完成，完成火灾预防、消防监督执法、火灾事故调查处理以及消防宣传相关工作。</w:t>
      </w:r>
    </w:p>
    <w:p>
      <w:pPr>
        <w:pStyle w:val="12"/>
      </w:pPr>
      <w:r>
        <w:t>绩效指标：完成两次重点单位监督检查，完成五次消防宣传。</w:t>
      </w:r>
    </w:p>
    <w:p>
      <w:pPr>
        <w:pStyle w:val="12"/>
      </w:pPr>
      <w:r>
        <w:t>2、消防队执勤消防车运行维护经费</w:t>
      </w:r>
    </w:p>
    <w:p>
      <w:pPr>
        <w:pStyle w:val="12"/>
      </w:pPr>
      <w:r>
        <w:t>绩效目标：做好执勤备战、消防演练，确保执勤车辆完整好用，完成灭火及抢险救援任务，保护公共财产和人民生命财产安全。</w:t>
      </w:r>
    </w:p>
    <w:p>
      <w:pPr>
        <w:pStyle w:val="12"/>
      </w:pPr>
      <w:r>
        <w:t>绩效指标：保障15辆消防车正常运转。</w:t>
      </w:r>
    </w:p>
    <w:p>
      <w:pPr>
        <w:pStyle w:val="12"/>
      </w:pPr>
      <w:r>
        <w:t>3、消防救援人员改革性补贴</w:t>
      </w:r>
    </w:p>
    <w:p>
      <w:pPr>
        <w:pStyle w:val="12"/>
      </w:pPr>
      <w:r>
        <w:t>绩效目标：通过发放消防救援人员改革补贴，提高消防救援人员工作积极性。</w:t>
      </w:r>
    </w:p>
    <w:p>
      <w:pPr>
        <w:pStyle w:val="12"/>
      </w:pPr>
      <w:r>
        <w:t>绩效指标：根据标准及时足额发放消防救援人员改革性补贴。</w:t>
      </w:r>
    </w:p>
    <w:p>
      <w:pPr>
        <w:pStyle w:val="12"/>
      </w:pPr>
      <w:r>
        <w:t>4、政府专职消防队员保障经费</w:t>
      </w:r>
    </w:p>
    <w:p>
      <w:pPr>
        <w:pStyle w:val="12"/>
      </w:pPr>
      <w:r>
        <w:t>绩效目标：加强政府专职消防队凝聚力，提高政府专职消防队员工作积极性。</w:t>
      </w:r>
    </w:p>
    <w:p>
      <w:pPr>
        <w:pStyle w:val="12"/>
      </w:pPr>
      <w:r>
        <w:t>绩效指标：根据标准及时足额发放政府专职消防队员工资，完成社会保障缴纳。</w:t>
      </w:r>
    </w:p>
    <w:p>
      <w:pPr>
        <w:pStyle w:val="12"/>
      </w:pPr>
      <w:r>
        <w:t>5、政府专职消防队员被装保障经费</w:t>
      </w:r>
    </w:p>
    <w:p>
      <w:pPr>
        <w:pStyle w:val="12"/>
      </w:pPr>
      <w:r>
        <w:t>绩效目标：按照标准完成被装发放。</w:t>
      </w:r>
    </w:p>
    <w:p>
      <w:pPr>
        <w:pStyle w:val="12"/>
      </w:pPr>
      <w:r>
        <w:t>绩效指标：三个月完成新入职人员被装发放。</w:t>
      </w:r>
    </w:p>
    <w:p>
      <w:pPr>
        <w:pStyle w:val="12"/>
      </w:pPr>
      <w:r>
        <w:t>6、政府专职消防队员伙食保障经费</w:t>
      </w:r>
    </w:p>
    <w:p>
      <w:pPr>
        <w:pStyle w:val="12"/>
      </w:pPr>
      <w:r>
        <w:t>绩效目标：加强伙食保障管理工作。</w:t>
      </w:r>
    </w:p>
    <w:p>
      <w:pPr>
        <w:pStyle w:val="12"/>
      </w:pPr>
      <w:r>
        <w:t>绩效指标：根据标准每人每天29元足额保障。</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为实现本年度发展规划目标，我单位制定以下的保障措施:</w:t>
      </w:r>
    </w:p>
    <w:p>
      <w:pPr>
        <w:pStyle w:val="13"/>
      </w:pPr>
      <w:r>
        <w:t>1、保障各类消防器材装备的齐全、并定时对器材装备进行维护保养；</w:t>
      </w:r>
    </w:p>
    <w:p>
      <w:pPr>
        <w:pStyle w:val="13"/>
      </w:pPr>
      <w:r>
        <w:t>2、定时对消防执勤车辆进行维护保养；</w:t>
      </w:r>
    </w:p>
    <w:p>
      <w:pPr>
        <w:pStyle w:val="13"/>
      </w:pPr>
      <w:r>
        <w:t>3、加大岗位练兵、实战演练力度，日常工作中加强对消防队员的业务培训及技术培训和体能培训；</w:t>
      </w:r>
    </w:p>
    <w:p>
      <w:pPr>
        <w:pStyle w:val="13"/>
      </w:pPr>
      <w:r>
        <w:t>4、保障经费落实，保障队员生活、保障队员身体素质；</w:t>
      </w:r>
    </w:p>
    <w:p>
      <w:pPr>
        <w:pStyle w:val="13"/>
      </w:pPr>
      <w:r>
        <w:t>5、加强对社会单位和各类学校的日常演练和消防知识培训；</w:t>
      </w:r>
    </w:p>
    <w:p>
      <w:pPr>
        <w:pStyle w:val="13"/>
        <w:rPr>
          <w:lang w:val="uk-UA"/>
        </w:rPr>
      </w:pPr>
      <w:r>
        <w:t>6、加大日常消防宣传力度，使广大群众意识到消防安全的重要性。</w:t>
      </w:r>
    </w:p>
    <w:p>
      <w:pPr>
        <w:pStyle w:val="13"/>
        <w:rPr>
          <w:lang w:val="uk-UA"/>
        </w:rPr>
      </w:pPr>
    </w:p>
    <w:p>
      <w:pPr>
        <w:pStyle w:val="13"/>
        <w:rPr>
          <w:lang w:val="uk-UA"/>
        </w:rPr>
      </w:pPr>
    </w:p>
    <w:p>
      <w:pPr>
        <w:pStyle w:val="13"/>
        <w:rPr>
          <w:lang w:val="uk-UA"/>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1.消防大队更新报废抢险救援消防车及消防器材资金绩效目标表</w:t>
      </w:r>
      <w:bookmarkEnd w:id="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13062521UM8Y3NKLSARAG</w:t>
            </w:r>
          </w:p>
        </w:tc>
        <w:tc>
          <w:tcPr>
            <w:tcW w:w="1587" w:type="dxa"/>
            <w:vAlign w:val="center"/>
          </w:tcPr>
          <w:p>
            <w:pPr>
              <w:pStyle w:val="17"/>
            </w:pPr>
            <w:r>
              <w:t>项目名称</w:t>
            </w:r>
          </w:p>
        </w:tc>
        <w:tc>
          <w:tcPr>
            <w:tcW w:w="4423" w:type="dxa"/>
            <w:gridSpan w:val="3"/>
            <w:vAlign w:val="center"/>
          </w:tcPr>
          <w:p>
            <w:pPr>
              <w:pStyle w:val="16"/>
            </w:pPr>
            <w:r>
              <w:t>消防大队更新报废抢险救援消防车及消防器材资金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83.38</w:t>
            </w:r>
          </w:p>
        </w:tc>
        <w:tc>
          <w:tcPr>
            <w:tcW w:w="1587" w:type="dxa"/>
            <w:vAlign w:val="center"/>
          </w:tcPr>
          <w:p>
            <w:pPr>
              <w:pStyle w:val="17"/>
            </w:pPr>
            <w:r>
              <w:t>其中：财政    资金</w:t>
            </w:r>
          </w:p>
        </w:tc>
        <w:tc>
          <w:tcPr>
            <w:tcW w:w="1304" w:type="dxa"/>
            <w:vAlign w:val="center"/>
          </w:tcPr>
          <w:p>
            <w:pPr>
              <w:pStyle w:val="16"/>
            </w:pPr>
            <w:r>
              <w:t>83.38</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购置抢险救援消防车及消防器材。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20%</w:t>
            </w:r>
          </w:p>
        </w:tc>
        <w:tc>
          <w:tcPr>
            <w:tcW w:w="1587" w:type="dxa"/>
            <w:vAlign w:val="center"/>
          </w:tcPr>
          <w:p>
            <w:pPr>
              <w:pStyle w:val="18"/>
            </w:pPr>
            <w:r>
              <w:t>50%</w:t>
            </w:r>
          </w:p>
        </w:tc>
        <w:tc>
          <w:tcPr>
            <w:tcW w:w="1304" w:type="dxa"/>
            <w:vAlign w:val="center"/>
          </w:tcPr>
          <w:p>
            <w:pPr>
              <w:pStyle w:val="18"/>
            </w:pPr>
            <w:r>
              <w:t>70%</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1.通过购置抢险消防车，以提高消防救援处置各类灾害、应急突发事件能力和水平</w:t>
            </w:r>
          </w:p>
          <w:p>
            <w:pPr>
              <w:pStyle w:val="16"/>
            </w:pPr>
            <w:r>
              <w:t>2.购置一辆抢险救援消防车及一批消防器材</w:t>
            </w:r>
          </w:p>
          <w:p>
            <w:pPr>
              <w:pStyle w:val="16"/>
            </w:pPr>
            <w:r>
              <w:t>3.项目资金预算金额：83.3815万元，根据消防大队部门集中采购计划进度执行，预计2022年12月份支付完毕。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采购消防车数量</w:t>
            </w:r>
          </w:p>
        </w:tc>
        <w:tc>
          <w:tcPr>
            <w:tcW w:w="2891" w:type="dxa"/>
            <w:vAlign w:val="center"/>
          </w:tcPr>
          <w:p>
            <w:pPr>
              <w:pStyle w:val="16"/>
            </w:pPr>
            <w:r>
              <w:t>采购车辆的数量</w:t>
            </w:r>
          </w:p>
        </w:tc>
        <w:tc>
          <w:tcPr>
            <w:tcW w:w="1276" w:type="dxa"/>
            <w:vAlign w:val="center"/>
          </w:tcPr>
          <w:p>
            <w:pPr>
              <w:pStyle w:val="16"/>
            </w:pPr>
            <w:r>
              <w:t>1辆</w:t>
            </w:r>
          </w:p>
        </w:tc>
        <w:tc>
          <w:tcPr>
            <w:tcW w:w="1843" w:type="dxa"/>
            <w:vAlign w:val="center"/>
          </w:tcPr>
          <w:p>
            <w:pPr>
              <w:pStyle w:val="16"/>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采购消防器材数量</w:t>
            </w:r>
          </w:p>
        </w:tc>
        <w:tc>
          <w:tcPr>
            <w:tcW w:w="2891" w:type="dxa"/>
            <w:vAlign w:val="center"/>
          </w:tcPr>
          <w:p>
            <w:pPr>
              <w:pStyle w:val="16"/>
            </w:pPr>
            <w:r>
              <w:t>采购消防器材数量</w:t>
            </w:r>
          </w:p>
        </w:tc>
        <w:tc>
          <w:tcPr>
            <w:tcW w:w="1276" w:type="dxa"/>
            <w:vAlign w:val="center"/>
          </w:tcPr>
          <w:p>
            <w:pPr>
              <w:pStyle w:val="16"/>
            </w:pPr>
            <w:r>
              <w:t>≥50件（套）</w:t>
            </w:r>
          </w:p>
        </w:tc>
        <w:tc>
          <w:tcPr>
            <w:tcW w:w="1843" w:type="dxa"/>
            <w:vAlign w:val="center"/>
          </w:tcPr>
          <w:p>
            <w:pPr>
              <w:pStyle w:val="16"/>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购置合格率</w:t>
            </w:r>
          </w:p>
        </w:tc>
        <w:tc>
          <w:tcPr>
            <w:tcW w:w="2891" w:type="dxa"/>
            <w:vAlign w:val="center"/>
          </w:tcPr>
          <w:p>
            <w:pPr>
              <w:pStyle w:val="16"/>
            </w:pPr>
            <w:r>
              <w:t>购置消防车的合格数量占购置总数量的比率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采购及时率</w:t>
            </w:r>
          </w:p>
        </w:tc>
        <w:tc>
          <w:tcPr>
            <w:tcW w:w="2891" w:type="dxa"/>
            <w:vAlign w:val="center"/>
          </w:tcPr>
          <w:p>
            <w:pPr>
              <w:pStyle w:val="16"/>
            </w:pPr>
            <w:r>
              <w:t>车辆采购在10月份前完成的比率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车辆采购金额</w:t>
            </w:r>
          </w:p>
        </w:tc>
        <w:tc>
          <w:tcPr>
            <w:tcW w:w="2891" w:type="dxa"/>
            <w:vAlign w:val="center"/>
          </w:tcPr>
          <w:p>
            <w:pPr>
              <w:pStyle w:val="16"/>
            </w:pPr>
            <w:r>
              <w:t>消防车采购金额</w:t>
            </w:r>
          </w:p>
        </w:tc>
        <w:tc>
          <w:tcPr>
            <w:tcW w:w="1276" w:type="dxa"/>
            <w:vAlign w:val="center"/>
          </w:tcPr>
          <w:p>
            <w:pPr>
              <w:pStyle w:val="16"/>
            </w:pPr>
            <w:r>
              <w:t>≤50万元</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应急响应效率</w:t>
            </w:r>
          </w:p>
        </w:tc>
        <w:tc>
          <w:tcPr>
            <w:tcW w:w="2891" w:type="dxa"/>
            <w:vAlign w:val="center"/>
          </w:tcPr>
          <w:p>
            <w:pPr>
              <w:pStyle w:val="16"/>
            </w:pPr>
            <w:r>
              <w:t>发生火警时以最短时间应急响应的比率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受益群众满意度</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2.消防队运转类公共业务基本支出经费（运转保障）绩效目标表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13062522P004567103150</w:t>
            </w:r>
          </w:p>
        </w:tc>
        <w:tc>
          <w:tcPr>
            <w:tcW w:w="1587" w:type="dxa"/>
            <w:vAlign w:val="center"/>
          </w:tcPr>
          <w:p>
            <w:pPr>
              <w:pStyle w:val="17"/>
            </w:pPr>
            <w:r>
              <w:t>项目名称</w:t>
            </w:r>
          </w:p>
        </w:tc>
        <w:tc>
          <w:tcPr>
            <w:tcW w:w="4423" w:type="dxa"/>
            <w:gridSpan w:val="3"/>
            <w:vAlign w:val="center"/>
          </w:tcPr>
          <w:p>
            <w:pPr>
              <w:pStyle w:val="16"/>
            </w:pPr>
            <w:r>
              <w:t>消防队运转类公共业务基本支出经费（运转保障）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360.00</w:t>
            </w:r>
          </w:p>
        </w:tc>
        <w:tc>
          <w:tcPr>
            <w:tcW w:w="1587" w:type="dxa"/>
            <w:vAlign w:val="center"/>
          </w:tcPr>
          <w:p>
            <w:pPr>
              <w:pStyle w:val="17"/>
            </w:pPr>
            <w:r>
              <w:t>其中：财政    资金</w:t>
            </w:r>
          </w:p>
        </w:tc>
        <w:tc>
          <w:tcPr>
            <w:tcW w:w="1304" w:type="dxa"/>
            <w:vAlign w:val="center"/>
          </w:tcPr>
          <w:p>
            <w:pPr>
              <w:pStyle w:val="16"/>
            </w:pPr>
            <w:r>
              <w:t>360.00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用于确保经常性消防工作顺利完成，完成火灾预防、消防监督执法、火灾事故调查处理以及消防宣传相关工作。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1.确保经常性消防工作顺利完成，完成火灾预防、消防监督执法、火灾事故调查处理以及消防宣传相关工作。</w:t>
            </w:r>
          </w:p>
          <w:p>
            <w:pPr>
              <w:pStyle w:val="16"/>
            </w:pPr>
            <w:r>
              <w:t>2.完成两次重点单位监督检查，完成五次消防宣传。</w:t>
            </w:r>
          </w:p>
          <w:p>
            <w:pPr>
              <w:pStyle w:val="16"/>
            </w:pPr>
            <w:r>
              <w:t>3.项目资金预算金额：360万，根据实际支出，预计2022年12月份支付完毕。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宣传次数</w:t>
            </w:r>
          </w:p>
        </w:tc>
        <w:tc>
          <w:tcPr>
            <w:tcW w:w="2891" w:type="dxa"/>
            <w:vAlign w:val="center"/>
          </w:tcPr>
          <w:p>
            <w:pPr>
              <w:pStyle w:val="16"/>
            </w:pPr>
            <w:r>
              <w:t>完成宣传次数</w:t>
            </w:r>
          </w:p>
        </w:tc>
        <w:tc>
          <w:tcPr>
            <w:tcW w:w="1276" w:type="dxa"/>
            <w:vAlign w:val="center"/>
          </w:tcPr>
          <w:p>
            <w:pPr>
              <w:pStyle w:val="16"/>
            </w:pPr>
            <w:r>
              <w:t>≥2次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重点单位监督检查次数</w:t>
            </w:r>
          </w:p>
        </w:tc>
        <w:tc>
          <w:tcPr>
            <w:tcW w:w="2891" w:type="dxa"/>
            <w:vAlign w:val="center"/>
          </w:tcPr>
          <w:p>
            <w:pPr>
              <w:pStyle w:val="16"/>
            </w:pPr>
            <w:r>
              <w:t>完成重点单位监督检查次数</w:t>
            </w:r>
          </w:p>
        </w:tc>
        <w:tc>
          <w:tcPr>
            <w:tcW w:w="1276" w:type="dxa"/>
            <w:vAlign w:val="center"/>
          </w:tcPr>
          <w:p>
            <w:pPr>
              <w:pStyle w:val="16"/>
            </w:pPr>
            <w:r>
              <w:t>≥10次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火灾隐患整改率</w:t>
            </w:r>
          </w:p>
        </w:tc>
        <w:tc>
          <w:tcPr>
            <w:tcW w:w="2891" w:type="dxa"/>
            <w:vAlign w:val="center"/>
          </w:tcPr>
          <w:p>
            <w:pPr>
              <w:pStyle w:val="16"/>
            </w:pPr>
            <w:r>
              <w:t>整改火灾隐患与发现火灾隐患总数的比例</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出动时间</w:t>
            </w:r>
          </w:p>
        </w:tc>
        <w:tc>
          <w:tcPr>
            <w:tcW w:w="2891" w:type="dxa"/>
            <w:vAlign w:val="center"/>
          </w:tcPr>
          <w:p>
            <w:pPr>
              <w:pStyle w:val="16"/>
            </w:pPr>
            <w:r>
              <w:t>单次应急响应时间</w:t>
            </w:r>
          </w:p>
        </w:tc>
        <w:tc>
          <w:tcPr>
            <w:tcW w:w="1276" w:type="dxa"/>
            <w:vAlign w:val="center"/>
          </w:tcPr>
          <w:p>
            <w:pPr>
              <w:pStyle w:val="16"/>
            </w:pPr>
            <w:r>
              <w:t>≤3分钟/次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预算控制数范围内支出</w:t>
            </w:r>
          </w:p>
        </w:tc>
        <w:tc>
          <w:tcPr>
            <w:tcW w:w="1276" w:type="dxa"/>
            <w:vAlign w:val="center"/>
          </w:tcPr>
          <w:p>
            <w:pPr>
              <w:pStyle w:val="16"/>
            </w:pPr>
            <w:r>
              <w:t>≤360万元</w:t>
            </w:r>
          </w:p>
        </w:tc>
        <w:tc>
          <w:tcPr>
            <w:tcW w:w="1843" w:type="dxa"/>
            <w:vAlign w:val="center"/>
          </w:tcPr>
          <w:p>
            <w:pPr>
              <w:pStyle w:val="16"/>
            </w:pPr>
            <w:r>
              <w:t>冀财行(2012)168号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应急响应率</w:t>
            </w:r>
          </w:p>
        </w:tc>
        <w:tc>
          <w:tcPr>
            <w:tcW w:w="2891" w:type="dxa"/>
            <w:vAlign w:val="center"/>
          </w:tcPr>
          <w:p>
            <w:pPr>
              <w:pStyle w:val="16"/>
            </w:pPr>
            <w:r>
              <w:t>应急响应数与总数比例</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3.消防队执勤消防车运行维护经费（运转保障）绩效目标表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13062522P004567104764</w:t>
            </w:r>
          </w:p>
        </w:tc>
        <w:tc>
          <w:tcPr>
            <w:tcW w:w="1587" w:type="dxa"/>
            <w:vAlign w:val="center"/>
          </w:tcPr>
          <w:p>
            <w:pPr>
              <w:pStyle w:val="17"/>
            </w:pPr>
            <w:r>
              <w:t>项目名称</w:t>
            </w:r>
          </w:p>
        </w:tc>
        <w:tc>
          <w:tcPr>
            <w:tcW w:w="4423" w:type="dxa"/>
            <w:gridSpan w:val="3"/>
            <w:vAlign w:val="center"/>
          </w:tcPr>
          <w:p>
            <w:pPr>
              <w:pStyle w:val="16"/>
            </w:pPr>
            <w:r>
              <w:t>消防队执勤消防车运行维护经费（运转保障）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90.00</w:t>
            </w:r>
          </w:p>
        </w:tc>
        <w:tc>
          <w:tcPr>
            <w:tcW w:w="1587" w:type="dxa"/>
            <w:vAlign w:val="center"/>
          </w:tcPr>
          <w:p>
            <w:pPr>
              <w:pStyle w:val="17"/>
            </w:pPr>
            <w:r>
              <w:t>其中：财政    资金</w:t>
            </w:r>
          </w:p>
        </w:tc>
        <w:tc>
          <w:tcPr>
            <w:tcW w:w="1304" w:type="dxa"/>
            <w:vAlign w:val="center"/>
          </w:tcPr>
          <w:p>
            <w:pPr>
              <w:pStyle w:val="16"/>
            </w:pPr>
            <w:r>
              <w:t>90.00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用于做好执勤备战、消防演练，确保执勤车辆完整好用，完成灭火及抢险救援任务，保护公共财产和人民生命财产安全。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1.做好执勤备战、消防演练，确保执勤车辆完整好用，完成灭火及抢险救援任务，保护公共财产和人民生命财产安全。</w:t>
            </w:r>
          </w:p>
          <w:p>
            <w:pPr>
              <w:pStyle w:val="16"/>
            </w:pPr>
            <w:r>
              <w:t>2.保障15辆消防车正常运转。</w:t>
            </w:r>
          </w:p>
          <w:p>
            <w:pPr>
              <w:pStyle w:val="16"/>
            </w:pPr>
            <w:r>
              <w:t>3.项目资金预算金额：90万元，根据车辆维护保养实际支出，预计2022年12月份支付完毕。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维修维护执勤车数量</w:t>
            </w:r>
          </w:p>
        </w:tc>
        <w:tc>
          <w:tcPr>
            <w:tcW w:w="2891" w:type="dxa"/>
            <w:vAlign w:val="center"/>
          </w:tcPr>
          <w:p>
            <w:pPr>
              <w:pStyle w:val="16"/>
            </w:pPr>
            <w:r>
              <w:t>维修维护执勤车数量</w:t>
            </w:r>
          </w:p>
        </w:tc>
        <w:tc>
          <w:tcPr>
            <w:tcW w:w="1276" w:type="dxa"/>
            <w:vAlign w:val="center"/>
          </w:tcPr>
          <w:p>
            <w:pPr>
              <w:pStyle w:val="16"/>
            </w:pPr>
            <w:r>
              <w:t>15辆</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执勤车辆故障率</w:t>
            </w:r>
          </w:p>
        </w:tc>
        <w:tc>
          <w:tcPr>
            <w:tcW w:w="2891" w:type="dxa"/>
            <w:vAlign w:val="center"/>
          </w:tcPr>
          <w:p>
            <w:pPr>
              <w:pStyle w:val="16"/>
            </w:pPr>
            <w:r>
              <w:t>故障执勤车辆与总数的比例</w:t>
            </w:r>
          </w:p>
        </w:tc>
        <w:tc>
          <w:tcPr>
            <w:tcW w:w="1276" w:type="dxa"/>
            <w:vAlign w:val="center"/>
          </w:tcPr>
          <w:p>
            <w:pPr>
              <w:pStyle w:val="16"/>
            </w:pPr>
            <w:r>
              <w:t>≤10%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维修维护及时率</w:t>
            </w:r>
          </w:p>
        </w:tc>
        <w:tc>
          <w:tcPr>
            <w:tcW w:w="2891" w:type="dxa"/>
            <w:vAlign w:val="center"/>
          </w:tcPr>
          <w:p>
            <w:pPr>
              <w:pStyle w:val="16"/>
            </w:pPr>
            <w:r>
              <w:t>维修维护执勤车及时情况</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预算控制范围内支出</w:t>
            </w:r>
          </w:p>
        </w:tc>
        <w:tc>
          <w:tcPr>
            <w:tcW w:w="1276" w:type="dxa"/>
            <w:vAlign w:val="center"/>
          </w:tcPr>
          <w:p>
            <w:pPr>
              <w:pStyle w:val="16"/>
            </w:pPr>
            <w:r>
              <w:t>≤90万元</w:t>
            </w:r>
          </w:p>
        </w:tc>
        <w:tc>
          <w:tcPr>
            <w:tcW w:w="1843" w:type="dxa"/>
            <w:vAlign w:val="center"/>
          </w:tcPr>
          <w:p>
            <w:pPr>
              <w:pStyle w:val="16"/>
            </w:pPr>
            <w:r>
              <w:t>冀财行（2012）168号文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应急响应效率</w:t>
            </w:r>
          </w:p>
        </w:tc>
        <w:tc>
          <w:tcPr>
            <w:tcW w:w="2891" w:type="dxa"/>
            <w:vAlign w:val="center"/>
          </w:tcPr>
          <w:p>
            <w:pPr>
              <w:pStyle w:val="16"/>
            </w:pPr>
            <w:r>
              <w:t>发生火警时，以最短的时间到达现场的比率</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4.消防救援人员改革性补贴（运转保障）绩效目标表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13062522P00456710314C</w:t>
            </w:r>
          </w:p>
        </w:tc>
        <w:tc>
          <w:tcPr>
            <w:tcW w:w="1587" w:type="dxa"/>
            <w:vAlign w:val="center"/>
          </w:tcPr>
          <w:p>
            <w:pPr>
              <w:pStyle w:val="17"/>
            </w:pPr>
            <w:r>
              <w:t>项目名称</w:t>
            </w:r>
          </w:p>
        </w:tc>
        <w:tc>
          <w:tcPr>
            <w:tcW w:w="4423" w:type="dxa"/>
            <w:gridSpan w:val="3"/>
            <w:vAlign w:val="center"/>
          </w:tcPr>
          <w:p>
            <w:pPr>
              <w:pStyle w:val="16"/>
            </w:pPr>
            <w:r>
              <w:t>消防救援人员改革性补贴（运转保障）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23.46</w:t>
            </w:r>
          </w:p>
        </w:tc>
        <w:tc>
          <w:tcPr>
            <w:tcW w:w="1587" w:type="dxa"/>
            <w:vAlign w:val="center"/>
          </w:tcPr>
          <w:p>
            <w:pPr>
              <w:pStyle w:val="17"/>
            </w:pPr>
            <w:r>
              <w:t>其中：财政    资金</w:t>
            </w:r>
          </w:p>
        </w:tc>
        <w:tc>
          <w:tcPr>
            <w:tcW w:w="1304" w:type="dxa"/>
            <w:vAlign w:val="center"/>
          </w:tcPr>
          <w:p>
            <w:pPr>
              <w:pStyle w:val="16"/>
            </w:pPr>
            <w:r>
              <w:t>23.46</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用于发放消防救援人员改革补贴，提高消防救援人员工作积极性。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1.通过发放消防救援人员改革补贴，提高消防救援人员工作积极性。</w:t>
            </w:r>
          </w:p>
          <w:p>
            <w:pPr>
              <w:pStyle w:val="16"/>
            </w:pPr>
            <w:r>
              <w:t>2.根据标准及时足额发放消防救援人员改革性补贴。</w:t>
            </w:r>
          </w:p>
          <w:p>
            <w:pPr>
              <w:pStyle w:val="16"/>
            </w:pPr>
            <w:r>
              <w:t>3.项目资金预算金额：23.455万元，一次性支付，预计2022年12月份支付完毕。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发放人数</w:t>
            </w:r>
          </w:p>
        </w:tc>
        <w:tc>
          <w:tcPr>
            <w:tcW w:w="1276" w:type="dxa"/>
            <w:vAlign w:val="center"/>
          </w:tcPr>
          <w:p>
            <w:pPr>
              <w:pStyle w:val="16"/>
            </w:pPr>
            <w:r>
              <w:t>14人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补贴发放准确率</w:t>
            </w:r>
          </w:p>
        </w:tc>
        <w:tc>
          <w:tcPr>
            <w:tcW w:w="2891" w:type="dxa"/>
            <w:vAlign w:val="center"/>
          </w:tcPr>
          <w:p>
            <w:pPr>
              <w:pStyle w:val="16"/>
            </w:pPr>
            <w:r>
              <w:t>补贴发放是否正确</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补贴发放及时性</w:t>
            </w:r>
          </w:p>
        </w:tc>
        <w:tc>
          <w:tcPr>
            <w:tcW w:w="2891" w:type="dxa"/>
            <w:vAlign w:val="center"/>
          </w:tcPr>
          <w:p>
            <w:pPr>
              <w:pStyle w:val="16"/>
            </w:pPr>
            <w:r>
              <w:t>补贴发放延迟时间</w:t>
            </w:r>
          </w:p>
        </w:tc>
        <w:tc>
          <w:tcPr>
            <w:tcW w:w="1276" w:type="dxa"/>
            <w:vAlign w:val="center"/>
          </w:tcPr>
          <w:p>
            <w:pPr>
              <w:pStyle w:val="16"/>
            </w:pPr>
            <w:r>
              <w:t>≤3月</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补贴人均标准</w:t>
            </w:r>
          </w:p>
        </w:tc>
        <w:tc>
          <w:tcPr>
            <w:tcW w:w="2891" w:type="dxa"/>
            <w:vAlign w:val="center"/>
          </w:tcPr>
          <w:p>
            <w:pPr>
              <w:pStyle w:val="16"/>
            </w:pPr>
            <w:r>
              <w:t>补贴人均标准</w:t>
            </w:r>
          </w:p>
        </w:tc>
        <w:tc>
          <w:tcPr>
            <w:tcW w:w="1276" w:type="dxa"/>
            <w:vAlign w:val="center"/>
          </w:tcPr>
          <w:p>
            <w:pPr>
              <w:pStyle w:val="16"/>
            </w:pPr>
            <w:r>
              <w:t>≤3.6万元</w:t>
            </w:r>
          </w:p>
        </w:tc>
        <w:tc>
          <w:tcPr>
            <w:tcW w:w="1843" w:type="dxa"/>
            <w:vAlign w:val="center"/>
          </w:tcPr>
          <w:p>
            <w:pPr>
              <w:pStyle w:val="16"/>
            </w:pPr>
            <w:r>
              <w:t>冀财建【2020】248号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人均收入增长率</w:t>
            </w:r>
          </w:p>
        </w:tc>
        <w:tc>
          <w:tcPr>
            <w:tcW w:w="2891" w:type="dxa"/>
            <w:vAlign w:val="center"/>
          </w:tcPr>
          <w:p>
            <w:pPr>
              <w:pStyle w:val="16"/>
            </w:pPr>
            <w:r>
              <w:t>人均收入增长率</w:t>
            </w:r>
          </w:p>
        </w:tc>
        <w:tc>
          <w:tcPr>
            <w:tcW w:w="1276" w:type="dxa"/>
            <w:vAlign w:val="center"/>
          </w:tcPr>
          <w:p>
            <w:pPr>
              <w:pStyle w:val="16"/>
            </w:pPr>
            <w:r>
              <w:t>≥10%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受益指战员满意度</w:t>
            </w:r>
          </w:p>
        </w:tc>
        <w:tc>
          <w:tcPr>
            <w:tcW w:w="2891" w:type="dxa"/>
            <w:vAlign w:val="center"/>
          </w:tcPr>
          <w:p>
            <w:pPr>
              <w:pStyle w:val="16"/>
            </w:pPr>
            <w:r>
              <w:t>受益指战员满意率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5.政府专职消防队员保障经费（运转保障）绩效目标表</w:t>
      </w:r>
      <w:bookmarkEnd w:id="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13062522P004567103029</w:t>
            </w:r>
          </w:p>
        </w:tc>
        <w:tc>
          <w:tcPr>
            <w:tcW w:w="1587" w:type="dxa"/>
            <w:vAlign w:val="center"/>
          </w:tcPr>
          <w:p>
            <w:pPr>
              <w:pStyle w:val="17"/>
            </w:pPr>
            <w:r>
              <w:t>项目名称</w:t>
            </w:r>
          </w:p>
        </w:tc>
        <w:tc>
          <w:tcPr>
            <w:tcW w:w="4423" w:type="dxa"/>
            <w:gridSpan w:val="3"/>
            <w:vAlign w:val="center"/>
          </w:tcPr>
          <w:p>
            <w:pPr>
              <w:pStyle w:val="16"/>
            </w:pPr>
            <w:r>
              <w:t>政府专职消防队员保障经费（运转保障）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667.80</w:t>
            </w:r>
          </w:p>
        </w:tc>
        <w:tc>
          <w:tcPr>
            <w:tcW w:w="1587" w:type="dxa"/>
            <w:vAlign w:val="center"/>
          </w:tcPr>
          <w:p>
            <w:pPr>
              <w:pStyle w:val="17"/>
            </w:pPr>
            <w:r>
              <w:t>其中：财政    资金</w:t>
            </w:r>
          </w:p>
        </w:tc>
        <w:tc>
          <w:tcPr>
            <w:tcW w:w="1304" w:type="dxa"/>
            <w:vAlign w:val="center"/>
          </w:tcPr>
          <w:p>
            <w:pPr>
              <w:pStyle w:val="16"/>
            </w:pPr>
            <w:r>
              <w:t>667.80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用于加强政府专职消防队凝聚力，提高政府专职消防队员工作积极性。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1.加强政府专职消防队凝聚力，提高政府专职消防队员工作积极性。</w:t>
            </w:r>
          </w:p>
          <w:p>
            <w:pPr>
              <w:pStyle w:val="16"/>
            </w:pPr>
            <w:r>
              <w:t>2.根据标准及时足额发放政府专职消防队员工资，完成社会保障缴纳。</w:t>
            </w:r>
          </w:p>
          <w:p>
            <w:pPr>
              <w:pStyle w:val="16"/>
            </w:pPr>
            <w:r>
              <w:t>3.项目资金预算金额：6677987.68元，按月支付，预计2022年12月份支付完毕。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工资发放人数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工资发放准确率</w:t>
            </w:r>
          </w:p>
        </w:tc>
        <w:tc>
          <w:tcPr>
            <w:tcW w:w="2891" w:type="dxa"/>
            <w:vAlign w:val="center"/>
          </w:tcPr>
          <w:p>
            <w:pPr>
              <w:pStyle w:val="16"/>
            </w:pPr>
            <w:r>
              <w:t>工资发放是否正确</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发放及时率</w:t>
            </w:r>
          </w:p>
        </w:tc>
        <w:tc>
          <w:tcPr>
            <w:tcW w:w="2891" w:type="dxa"/>
            <w:vAlign w:val="center"/>
          </w:tcPr>
          <w:p>
            <w:pPr>
              <w:pStyle w:val="16"/>
            </w:pPr>
            <w:r>
              <w:t>按计划及时发放工资</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预算范围内支出</w:t>
            </w:r>
          </w:p>
        </w:tc>
        <w:tc>
          <w:tcPr>
            <w:tcW w:w="1276" w:type="dxa"/>
            <w:vAlign w:val="center"/>
          </w:tcPr>
          <w:p>
            <w:pPr>
              <w:pStyle w:val="16"/>
            </w:pPr>
            <w:r>
              <w:t>≤668万元</w:t>
            </w:r>
          </w:p>
        </w:tc>
        <w:tc>
          <w:tcPr>
            <w:tcW w:w="1843" w:type="dxa"/>
            <w:vAlign w:val="center"/>
          </w:tcPr>
          <w:p>
            <w:pPr>
              <w:pStyle w:val="16"/>
            </w:pPr>
            <w:r>
              <w:t>保政发【2017】32号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政府专职消防队员基本生活保障率</w:t>
            </w:r>
          </w:p>
        </w:tc>
        <w:tc>
          <w:tcPr>
            <w:tcW w:w="2891" w:type="dxa"/>
            <w:vAlign w:val="center"/>
          </w:tcPr>
          <w:p>
            <w:pPr>
              <w:pStyle w:val="16"/>
            </w:pPr>
            <w:r>
              <w:t>通过调研政府专职消防队员基本生活得到保障的比率</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政府专职消防队员满意度</w:t>
            </w:r>
          </w:p>
        </w:tc>
        <w:tc>
          <w:tcPr>
            <w:tcW w:w="2891" w:type="dxa"/>
            <w:vAlign w:val="center"/>
          </w:tcPr>
          <w:p>
            <w:pPr>
              <w:pStyle w:val="16"/>
            </w:pPr>
            <w:r>
              <w:t>政府专职消防队员满意率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6.政府专职消防队员被装保障经费（运转保障）绩效目标表</w:t>
      </w:r>
      <w:bookmarkEnd w:id="8"/>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13062522P00456710475G</w:t>
            </w:r>
          </w:p>
        </w:tc>
        <w:tc>
          <w:tcPr>
            <w:tcW w:w="1587" w:type="dxa"/>
            <w:vAlign w:val="center"/>
          </w:tcPr>
          <w:p>
            <w:pPr>
              <w:pStyle w:val="17"/>
            </w:pPr>
            <w:r>
              <w:t>项目名称</w:t>
            </w:r>
          </w:p>
        </w:tc>
        <w:tc>
          <w:tcPr>
            <w:tcW w:w="4423" w:type="dxa"/>
            <w:gridSpan w:val="3"/>
            <w:vAlign w:val="center"/>
          </w:tcPr>
          <w:p>
            <w:pPr>
              <w:pStyle w:val="16"/>
            </w:pPr>
            <w:r>
              <w:t>政府专职消防队员被装保障经费（运转保障）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17.93</w:t>
            </w:r>
          </w:p>
        </w:tc>
        <w:tc>
          <w:tcPr>
            <w:tcW w:w="1587" w:type="dxa"/>
            <w:vAlign w:val="center"/>
          </w:tcPr>
          <w:p>
            <w:pPr>
              <w:pStyle w:val="17"/>
            </w:pPr>
            <w:r>
              <w:t>其中：财政    资金</w:t>
            </w:r>
          </w:p>
        </w:tc>
        <w:tc>
          <w:tcPr>
            <w:tcW w:w="1304" w:type="dxa"/>
            <w:vAlign w:val="center"/>
          </w:tcPr>
          <w:p>
            <w:pPr>
              <w:pStyle w:val="16"/>
            </w:pPr>
            <w:r>
              <w:t>17.93</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用于完成被装发放。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1.按照标准完成被装发放。</w:t>
            </w:r>
          </w:p>
          <w:p>
            <w:pPr>
              <w:pStyle w:val="16"/>
            </w:pPr>
            <w:r>
              <w:t>2.三个月完成新入职人员被装发放。</w:t>
            </w:r>
          </w:p>
          <w:p>
            <w:pPr>
              <w:pStyle w:val="16"/>
            </w:pPr>
            <w:r>
              <w:t>3.项目资金预算金额：179297.44元，根据消防大队部门集中采购计划进度执行，预计2022年12月份支付完毕。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发放人数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被装完好率</w:t>
            </w:r>
          </w:p>
        </w:tc>
        <w:tc>
          <w:tcPr>
            <w:tcW w:w="2891" w:type="dxa"/>
            <w:vAlign w:val="center"/>
          </w:tcPr>
          <w:p>
            <w:pPr>
              <w:pStyle w:val="16"/>
            </w:pPr>
            <w:r>
              <w:t>被装发放是否完好</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被装发放及时率</w:t>
            </w:r>
          </w:p>
        </w:tc>
        <w:tc>
          <w:tcPr>
            <w:tcW w:w="2891" w:type="dxa"/>
            <w:vAlign w:val="center"/>
          </w:tcPr>
          <w:p>
            <w:pPr>
              <w:pStyle w:val="16"/>
            </w:pPr>
            <w:r>
              <w:t>新入职队员被装发放完成及时性</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被装换发标准</w:t>
            </w:r>
          </w:p>
        </w:tc>
        <w:tc>
          <w:tcPr>
            <w:tcW w:w="2891" w:type="dxa"/>
            <w:vAlign w:val="center"/>
          </w:tcPr>
          <w:p>
            <w:pPr>
              <w:pStyle w:val="16"/>
            </w:pPr>
            <w:r>
              <w:t>全品种被装发放标准</w:t>
            </w:r>
          </w:p>
        </w:tc>
        <w:tc>
          <w:tcPr>
            <w:tcW w:w="1276" w:type="dxa"/>
            <w:vAlign w:val="center"/>
          </w:tcPr>
          <w:p>
            <w:pPr>
              <w:pStyle w:val="16"/>
            </w:pPr>
            <w:r>
              <w:t>≤2258.38元/人</w:t>
            </w:r>
          </w:p>
        </w:tc>
        <w:tc>
          <w:tcPr>
            <w:tcW w:w="1843" w:type="dxa"/>
            <w:vAlign w:val="center"/>
          </w:tcPr>
          <w:p>
            <w:pPr>
              <w:pStyle w:val="16"/>
            </w:pPr>
            <w:r>
              <w:t>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人员服饰统一率</w:t>
            </w:r>
          </w:p>
        </w:tc>
        <w:tc>
          <w:tcPr>
            <w:tcW w:w="2891" w:type="dxa"/>
            <w:vAlign w:val="center"/>
          </w:tcPr>
          <w:p>
            <w:pPr>
              <w:pStyle w:val="16"/>
            </w:pPr>
            <w:r>
              <w:t>服饰是否统一</w:t>
            </w:r>
          </w:p>
        </w:tc>
        <w:tc>
          <w:tcPr>
            <w:tcW w:w="1276" w:type="dxa"/>
            <w:vAlign w:val="center"/>
          </w:tcPr>
          <w:p>
            <w:pPr>
              <w:pStyle w:val="16"/>
            </w:pPr>
            <w:r>
              <w:t>≥98%</w:t>
            </w:r>
          </w:p>
        </w:tc>
        <w:tc>
          <w:tcPr>
            <w:tcW w:w="1843" w:type="dxa"/>
            <w:vAlign w:val="center"/>
          </w:tcPr>
          <w:p>
            <w:pPr>
              <w:pStyle w:val="16"/>
            </w:pPr>
            <w:r>
              <w:t>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受益人员满意度</w:t>
            </w:r>
          </w:p>
        </w:tc>
        <w:tc>
          <w:tcPr>
            <w:tcW w:w="2891" w:type="dxa"/>
            <w:vAlign w:val="center"/>
          </w:tcPr>
          <w:p>
            <w:pPr>
              <w:pStyle w:val="16"/>
            </w:pPr>
            <w:r>
              <w:t>受益人员满意率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7.政府专职消防队员伙食保障经费（运转保障）绩效目标表</w:t>
      </w:r>
      <w:bookmarkEnd w:id="9"/>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13062522P004567104739</w:t>
            </w:r>
          </w:p>
        </w:tc>
        <w:tc>
          <w:tcPr>
            <w:tcW w:w="1587" w:type="dxa"/>
            <w:vAlign w:val="center"/>
          </w:tcPr>
          <w:p>
            <w:pPr>
              <w:pStyle w:val="17"/>
            </w:pPr>
            <w:r>
              <w:t>项目名称</w:t>
            </w:r>
          </w:p>
        </w:tc>
        <w:tc>
          <w:tcPr>
            <w:tcW w:w="4423" w:type="dxa"/>
            <w:gridSpan w:val="3"/>
            <w:vAlign w:val="center"/>
          </w:tcPr>
          <w:p>
            <w:pPr>
              <w:pStyle w:val="16"/>
            </w:pPr>
            <w:r>
              <w:t>政府专职消防队员伙食保障经费（运转保障）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84.68</w:t>
            </w:r>
          </w:p>
        </w:tc>
        <w:tc>
          <w:tcPr>
            <w:tcW w:w="1587" w:type="dxa"/>
            <w:vAlign w:val="center"/>
          </w:tcPr>
          <w:p>
            <w:pPr>
              <w:pStyle w:val="17"/>
            </w:pPr>
            <w:r>
              <w:t>其中：财政    资金</w:t>
            </w:r>
          </w:p>
        </w:tc>
        <w:tc>
          <w:tcPr>
            <w:tcW w:w="1304" w:type="dxa"/>
            <w:vAlign w:val="center"/>
          </w:tcPr>
          <w:p>
            <w:pPr>
              <w:pStyle w:val="16"/>
            </w:pPr>
            <w:r>
              <w:t>84.68</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用于加强伙食管理工作。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1.加强伙食保障管理工作。</w:t>
            </w:r>
          </w:p>
          <w:p>
            <w:pPr>
              <w:pStyle w:val="16"/>
            </w:pPr>
            <w:r>
              <w:t>2.根据标准每人每天29元足额保障。</w:t>
            </w:r>
          </w:p>
          <w:p>
            <w:pPr>
              <w:pStyle w:val="16"/>
            </w:pPr>
            <w:r>
              <w:t>3.项目资金预算金额：84.68万元，按月支付，预计2022年12月份支付完毕。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保障人数</w:t>
            </w:r>
          </w:p>
        </w:tc>
        <w:tc>
          <w:tcPr>
            <w:tcW w:w="2891" w:type="dxa"/>
            <w:vAlign w:val="center"/>
          </w:tcPr>
          <w:p>
            <w:pPr>
              <w:pStyle w:val="16"/>
            </w:pPr>
            <w:r>
              <w:t>保障人数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保障覆盖率</w:t>
            </w:r>
          </w:p>
        </w:tc>
        <w:tc>
          <w:tcPr>
            <w:tcW w:w="2891" w:type="dxa"/>
            <w:vAlign w:val="center"/>
          </w:tcPr>
          <w:p>
            <w:pPr>
              <w:pStyle w:val="16"/>
            </w:pPr>
            <w:r>
              <w:t>伙食保障覆盖情况</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伙食保障及时率</w:t>
            </w:r>
          </w:p>
        </w:tc>
        <w:tc>
          <w:tcPr>
            <w:tcW w:w="2891" w:type="dxa"/>
            <w:vAlign w:val="center"/>
          </w:tcPr>
          <w:p>
            <w:pPr>
              <w:pStyle w:val="16"/>
            </w:pPr>
            <w:r>
              <w:t>伙食保障及时情况</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伙食保障标准</w:t>
            </w:r>
          </w:p>
        </w:tc>
        <w:tc>
          <w:tcPr>
            <w:tcW w:w="2891" w:type="dxa"/>
            <w:vAlign w:val="center"/>
          </w:tcPr>
          <w:p>
            <w:pPr>
              <w:pStyle w:val="16"/>
            </w:pPr>
            <w:r>
              <w:t>每人每天保障标准</w:t>
            </w:r>
          </w:p>
        </w:tc>
        <w:tc>
          <w:tcPr>
            <w:tcW w:w="1276" w:type="dxa"/>
            <w:vAlign w:val="center"/>
          </w:tcPr>
          <w:p>
            <w:pPr>
              <w:pStyle w:val="16"/>
            </w:pPr>
            <w:r>
              <w:t>29人/天</w:t>
            </w:r>
          </w:p>
        </w:tc>
        <w:tc>
          <w:tcPr>
            <w:tcW w:w="1843" w:type="dxa"/>
            <w:vAlign w:val="center"/>
          </w:tcPr>
          <w:p>
            <w:pPr>
              <w:pStyle w:val="16"/>
            </w:pPr>
            <w:r>
              <w:t>应急消函（2020）1号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政府专职消防队员伙食保障率</w:t>
            </w:r>
          </w:p>
        </w:tc>
        <w:tc>
          <w:tcPr>
            <w:tcW w:w="2891" w:type="dxa"/>
            <w:vAlign w:val="center"/>
          </w:tcPr>
          <w:p>
            <w:pPr>
              <w:pStyle w:val="16"/>
            </w:pPr>
            <w:r>
              <w:t>政府专职消防队员伙食费有效保障的比率</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政府专职消防队员满意度</w:t>
            </w:r>
          </w:p>
        </w:tc>
        <w:tc>
          <w:tcPr>
            <w:tcW w:w="2891" w:type="dxa"/>
            <w:vAlign w:val="center"/>
          </w:tcPr>
          <w:p>
            <w:pPr>
              <w:pStyle w:val="16"/>
            </w:pPr>
            <w:r>
              <w:t>政府专职消防队员满意率</w:t>
            </w:r>
          </w:p>
        </w:tc>
        <w:tc>
          <w:tcPr>
            <w:tcW w:w="1276" w:type="dxa"/>
            <w:vAlign w:val="center"/>
          </w:tcPr>
          <w:p>
            <w:pPr>
              <w:pStyle w:val="16"/>
            </w:pPr>
            <w:r>
              <w:t>≥98%</w:t>
            </w:r>
          </w:p>
        </w:tc>
        <w:tc>
          <w:tcPr>
            <w:tcW w:w="1843" w:type="dxa"/>
            <w:vAlign w:val="center"/>
          </w:tcPr>
          <w:p>
            <w:pPr>
              <w:pStyle w:val="16"/>
            </w:pPr>
            <w:r>
              <w:t>计划标准</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outlineLvl w:val="0"/>
        <w:rPr>
          <w:rFonts w:ascii="方正小标宋_GBK" w:eastAsia="方正小标宋_GBK"/>
          <w:sz w:val="44"/>
        </w:rPr>
      </w:pPr>
      <w:r>
        <w:rPr>
          <w:rFonts w:ascii="仿宋" w:hAnsi="仿宋" w:eastAsia="仿宋"/>
          <w:sz w:val="32"/>
          <w:szCs w:val="32"/>
        </w:rPr>
        <w:t>2022年，我部门无政府采购预算，空表列示。</w:t>
      </w:r>
    </w:p>
    <w:tbl>
      <w:tblPr>
        <w:tblStyle w:val="5"/>
        <w:tblpPr w:leftFromText="180" w:rightFromText="180" w:vertAnchor="text" w:horzAnchor="margin" w:tblpXSpec="center" w:tblpY="596"/>
        <w:tblW w:w="10950" w:type="dxa"/>
        <w:tblInd w:w="0" w:type="dxa"/>
        <w:tblLayout w:type="fixed"/>
        <w:tblCellMar>
          <w:top w:w="0" w:type="dxa"/>
          <w:left w:w="108" w:type="dxa"/>
          <w:bottom w:w="0" w:type="dxa"/>
          <w:right w:w="108" w:type="dxa"/>
        </w:tblCellMar>
      </w:tblPr>
      <w:tblGrid>
        <w:gridCol w:w="842"/>
        <w:gridCol w:w="842"/>
        <w:gridCol w:w="842"/>
        <w:gridCol w:w="842"/>
        <w:gridCol w:w="842"/>
        <w:gridCol w:w="842"/>
        <w:gridCol w:w="844"/>
        <w:gridCol w:w="842"/>
        <w:gridCol w:w="842"/>
        <w:gridCol w:w="842"/>
        <w:gridCol w:w="842"/>
        <w:gridCol w:w="842"/>
        <w:gridCol w:w="844"/>
      </w:tblGrid>
      <w:tr>
        <w:tblPrEx>
          <w:tblCellMar>
            <w:top w:w="0" w:type="dxa"/>
            <w:left w:w="108" w:type="dxa"/>
            <w:bottom w:w="0" w:type="dxa"/>
            <w:right w:w="108" w:type="dxa"/>
          </w:tblCellMar>
        </w:tblPrEx>
        <w:trPr>
          <w:trHeight w:val="264" w:hRule="atLeast"/>
        </w:trPr>
        <w:tc>
          <w:tcPr>
            <w:tcW w:w="1095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10" w:name="RANGE!A1"/>
            <w:r>
              <w:rPr>
                <w:rFonts w:hint="eastAsia" w:ascii="宋体" w:hAnsi="宋体" w:eastAsia="宋体" w:cs="宋体"/>
                <w:color w:val="000000"/>
                <w:kern w:val="0"/>
                <w:sz w:val="32"/>
                <w:szCs w:val="32"/>
              </w:rPr>
              <w:t>部门政府采购预算</w:t>
            </w:r>
            <w:bookmarkEnd w:id="10"/>
          </w:p>
        </w:tc>
      </w:tr>
      <w:tr>
        <w:tblPrEx>
          <w:tblCellMar>
            <w:top w:w="0" w:type="dxa"/>
            <w:left w:w="108" w:type="dxa"/>
            <w:bottom w:w="0" w:type="dxa"/>
            <w:right w:w="108" w:type="dxa"/>
          </w:tblCellMar>
        </w:tblPrEx>
        <w:trPr>
          <w:trHeight w:val="205" w:hRule="atLeast"/>
        </w:trPr>
        <w:tc>
          <w:tcPr>
            <w:tcW w:w="58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XX</w:t>
            </w:r>
            <w:r>
              <w:rPr>
                <w:rFonts w:hint="eastAsia" w:ascii="宋体" w:hAnsi="宋体" w:eastAsia="宋体" w:cs="Times New Roman"/>
                <w:color w:val="000000"/>
                <w:kern w:val="0"/>
                <w:sz w:val="24"/>
                <w:szCs w:val="24"/>
              </w:rPr>
              <w:t>局</w:t>
            </w:r>
          </w:p>
        </w:tc>
        <w:tc>
          <w:tcPr>
            <w:tcW w:w="50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186" w:hRule="atLeast"/>
        </w:trPr>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8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50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528"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4"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25"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上年末我部门固定资产总金额为0万元（详见下表）。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0055F1F"/>
    <w:rsid w:val="00013B8A"/>
    <w:rsid w:val="00044FBC"/>
    <w:rsid w:val="00055F1F"/>
    <w:rsid w:val="000577EF"/>
    <w:rsid w:val="00057F18"/>
    <w:rsid w:val="000A3E9D"/>
    <w:rsid w:val="000A445D"/>
    <w:rsid w:val="000C0342"/>
    <w:rsid w:val="000C178B"/>
    <w:rsid w:val="001318B4"/>
    <w:rsid w:val="00131DEC"/>
    <w:rsid w:val="00134084"/>
    <w:rsid w:val="00136AB3"/>
    <w:rsid w:val="001462BD"/>
    <w:rsid w:val="00152380"/>
    <w:rsid w:val="001638BE"/>
    <w:rsid w:val="00164810"/>
    <w:rsid w:val="00172C7A"/>
    <w:rsid w:val="00181777"/>
    <w:rsid w:val="001B4688"/>
    <w:rsid w:val="001B6235"/>
    <w:rsid w:val="001F32B0"/>
    <w:rsid w:val="001F4875"/>
    <w:rsid w:val="00201CF6"/>
    <w:rsid w:val="00212335"/>
    <w:rsid w:val="002547B0"/>
    <w:rsid w:val="00274A7A"/>
    <w:rsid w:val="002918C6"/>
    <w:rsid w:val="00291EF3"/>
    <w:rsid w:val="00296524"/>
    <w:rsid w:val="002E01F6"/>
    <w:rsid w:val="002F1ACB"/>
    <w:rsid w:val="002F530F"/>
    <w:rsid w:val="00305E97"/>
    <w:rsid w:val="00310532"/>
    <w:rsid w:val="0032782B"/>
    <w:rsid w:val="00340B3D"/>
    <w:rsid w:val="0034253A"/>
    <w:rsid w:val="003669CF"/>
    <w:rsid w:val="00366C31"/>
    <w:rsid w:val="00367A30"/>
    <w:rsid w:val="00375259"/>
    <w:rsid w:val="003A06D2"/>
    <w:rsid w:val="003A4557"/>
    <w:rsid w:val="003A6366"/>
    <w:rsid w:val="003B56E7"/>
    <w:rsid w:val="003C2317"/>
    <w:rsid w:val="003C3E5C"/>
    <w:rsid w:val="003C442E"/>
    <w:rsid w:val="003D1092"/>
    <w:rsid w:val="003D37CD"/>
    <w:rsid w:val="003E5531"/>
    <w:rsid w:val="003E555C"/>
    <w:rsid w:val="003E6AF3"/>
    <w:rsid w:val="0040243C"/>
    <w:rsid w:val="00406BD1"/>
    <w:rsid w:val="00417F3C"/>
    <w:rsid w:val="00426C19"/>
    <w:rsid w:val="0043334A"/>
    <w:rsid w:val="00450FD9"/>
    <w:rsid w:val="00453CE0"/>
    <w:rsid w:val="004628EE"/>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91C46"/>
    <w:rsid w:val="005B1B6F"/>
    <w:rsid w:val="005B6CCB"/>
    <w:rsid w:val="005C54AA"/>
    <w:rsid w:val="005C7B89"/>
    <w:rsid w:val="0062788A"/>
    <w:rsid w:val="00641F8A"/>
    <w:rsid w:val="0066383B"/>
    <w:rsid w:val="00697F31"/>
    <w:rsid w:val="006A6FA2"/>
    <w:rsid w:val="006B5117"/>
    <w:rsid w:val="006C62DF"/>
    <w:rsid w:val="006F5104"/>
    <w:rsid w:val="006F6549"/>
    <w:rsid w:val="00735B02"/>
    <w:rsid w:val="007362C3"/>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A40BB"/>
    <w:rsid w:val="008A5688"/>
    <w:rsid w:val="008B1849"/>
    <w:rsid w:val="008B5402"/>
    <w:rsid w:val="008D11BC"/>
    <w:rsid w:val="0090527E"/>
    <w:rsid w:val="00905BB7"/>
    <w:rsid w:val="0090620C"/>
    <w:rsid w:val="00912DA4"/>
    <w:rsid w:val="009302B8"/>
    <w:rsid w:val="009305C6"/>
    <w:rsid w:val="009420DD"/>
    <w:rsid w:val="009752AE"/>
    <w:rsid w:val="00982F3D"/>
    <w:rsid w:val="00983232"/>
    <w:rsid w:val="009912CD"/>
    <w:rsid w:val="009A278A"/>
    <w:rsid w:val="009B1B88"/>
    <w:rsid w:val="009B36C9"/>
    <w:rsid w:val="009B6368"/>
    <w:rsid w:val="009F63C4"/>
    <w:rsid w:val="00A04573"/>
    <w:rsid w:val="00A16957"/>
    <w:rsid w:val="00A3293D"/>
    <w:rsid w:val="00A6155C"/>
    <w:rsid w:val="00A8079E"/>
    <w:rsid w:val="00A90328"/>
    <w:rsid w:val="00A92D66"/>
    <w:rsid w:val="00AA4262"/>
    <w:rsid w:val="00AB5A90"/>
    <w:rsid w:val="00AB7449"/>
    <w:rsid w:val="00AE4AA5"/>
    <w:rsid w:val="00AE59EF"/>
    <w:rsid w:val="00AE7FA9"/>
    <w:rsid w:val="00B147EB"/>
    <w:rsid w:val="00B22155"/>
    <w:rsid w:val="00B72AC6"/>
    <w:rsid w:val="00B76AA9"/>
    <w:rsid w:val="00B80FAB"/>
    <w:rsid w:val="00B81C88"/>
    <w:rsid w:val="00BA5C83"/>
    <w:rsid w:val="00BC6A7D"/>
    <w:rsid w:val="00BD4829"/>
    <w:rsid w:val="00BD6002"/>
    <w:rsid w:val="00BD719F"/>
    <w:rsid w:val="00BF5442"/>
    <w:rsid w:val="00C02217"/>
    <w:rsid w:val="00C177A5"/>
    <w:rsid w:val="00C35FEE"/>
    <w:rsid w:val="00C50535"/>
    <w:rsid w:val="00C6153C"/>
    <w:rsid w:val="00C906EF"/>
    <w:rsid w:val="00CC7D74"/>
    <w:rsid w:val="00CE1671"/>
    <w:rsid w:val="00D02F97"/>
    <w:rsid w:val="00D45530"/>
    <w:rsid w:val="00D45A0E"/>
    <w:rsid w:val="00D45D23"/>
    <w:rsid w:val="00D6704E"/>
    <w:rsid w:val="00D723D1"/>
    <w:rsid w:val="00D80C60"/>
    <w:rsid w:val="00D8525F"/>
    <w:rsid w:val="00DA0C4D"/>
    <w:rsid w:val="00DA5DA7"/>
    <w:rsid w:val="00DE3935"/>
    <w:rsid w:val="00DE6B32"/>
    <w:rsid w:val="00DF26B8"/>
    <w:rsid w:val="00E12C68"/>
    <w:rsid w:val="00E2325B"/>
    <w:rsid w:val="00E24075"/>
    <w:rsid w:val="00E270C9"/>
    <w:rsid w:val="00E35F38"/>
    <w:rsid w:val="00E40CAC"/>
    <w:rsid w:val="00E46F27"/>
    <w:rsid w:val="00E509CC"/>
    <w:rsid w:val="00E56DC0"/>
    <w:rsid w:val="00E65EA5"/>
    <w:rsid w:val="00E71A04"/>
    <w:rsid w:val="00E90DA6"/>
    <w:rsid w:val="00E96342"/>
    <w:rsid w:val="00EA2FEA"/>
    <w:rsid w:val="00EA56CB"/>
    <w:rsid w:val="00EA7853"/>
    <w:rsid w:val="00ED6943"/>
    <w:rsid w:val="00ED7560"/>
    <w:rsid w:val="00EE5AA6"/>
    <w:rsid w:val="00F000B1"/>
    <w:rsid w:val="00F012D3"/>
    <w:rsid w:val="00F044C3"/>
    <w:rsid w:val="00F10D04"/>
    <w:rsid w:val="00F169E3"/>
    <w:rsid w:val="00F27010"/>
    <w:rsid w:val="00F35D4B"/>
    <w:rsid w:val="00F3746B"/>
    <w:rsid w:val="00F572CB"/>
    <w:rsid w:val="00F621AF"/>
    <w:rsid w:val="00F8024E"/>
    <w:rsid w:val="00F82447"/>
    <w:rsid w:val="00F868E5"/>
    <w:rsid w:val="00FB2F32"/>
    <w:rsid w:val="00FC3191"/>
    <w:rsid w:val="00FE0F1F"/>
    <w:rsid w:val="00FF61F3"/>
    <w:rsid w:val="0A214432"/>
    <w:rsid w:val="27733670"/>
    <w:rsid w:val="2CD62D85"/>
    <w:rsid w:val="6DAD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8F8F-A11F-4361-A279-1CDEB1A7232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1125</Words>
  <Characters>6419</Characters>
  <Lines>53</Lines>
  <Paragraphs>15</Paragraphs>
  <TotalTime>7</TotalTime>
  <ScaleCrop>false</ScaleCrop>
  <LinksUpToDate>false</LinksUpToDate>
  <CharactersWithSpaces>7529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2022-07-01T06:33:00Z</dcterms:created>
  <dc:creator>Windows 用户</dc:creator>
  <cp:lastModifiedBy>地念儿</cp:lastModifiedBy>
  <cp:lastPrinted>2022-05-27T05:28:00Z</cp:lastPrinted>
  <dcterms:modified xsi:type="dcterms:W3CDTF">2024-01-11T06:16:17Z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76EAFEA3433E47EF9BBEB116C4FC5C2C</vt:lpwstr>
  </property>
</Properties>
</file>