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CD4053">
      <w:pPr>
        <w:widowControl w:val="0"/>
        <w:adjustRightInd/>
        <w:snapToGrid/>
        <w:spacing w:after="0" w:line="640" w:lineRule="exact"/>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保定市徐水区水利局2019年部门</w:t>
      </w:r>
    </w:p>
    <w:p w:rsidR="00255DE3" w:rsidRDefault="00CD4053">
      <w:pPr>
        <w:widowControl w:val="0"/>
        <w:adjustRightInd/>
        <w:snapToGrid/>
        <w:spacing w:after="0" w:line="640" w:lineRule="exact"/>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整体支出绩效评价自评报告</w:t>
      </w: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CD4053">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2020年8月</w:t>
      </w: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255DE3" w:rsidRDefault="00255DE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255DE3" w:rsidRDefault="00CD4053">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255DE3" w:rsidRDefault="00CD4053">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   摘  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1</w:t>
            </w:r>
            <w:r>
              <w:rPr>
                <w:rFonts w:asciiTheme="majorEastAsia" w:eastAsiaTheme="majorEastAsia" w:hAnsiTheme="majorEastAsia" w:cstheme="majorEastAsia" w:hint="eastAsia"/>
                <w:b/>
                <w:bCs/>
                <w:sz w:val="24"/>
              </w:rPr>
              <w:fldChar w:fldCharType="end"/>
            </w:r>
          </w:hyperlink>
        </w:p>
        <w:p w:rsidR="00255DE3" w:rsidRDefault="00653693">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CD4053">
              <w:rPr>
                <w:rFonts w:asciiTheme="majorEastAsia" w:eastAsiaTheme="majorEastAsia" w:hAnsiTheme="majorEastAsia" w:cstheme="majorEastAsia" w:hint="eastAsia"/>
                <w:b/>
                <w:bCs/>
                <w:sz w:val="24"/>
              </w:rPr>
              <w:t>第二部分   绩效评价报告</w:t>
            </w:r>
            <w:r w:rsidR="00CD4053">
              <w:rPr>
                <w:rFonts w:asciiTheme="majorEastAsia" w:eastAsiaTheme="majorEastAsia" w:hAnsiTheme="majorEastAsia" w:cstheme="majorEastAsia" w:hint="eastAsia"/>
                <w:b/>
                <w:bCs/>
                <w:sz w:val="24"/>
              </w:rPr>
              <w:tab/>
            </w:r>
            <w:r w:rsidR="00CD4053">
              <w:rPr>
                <w:rFonts w:asciiTheme="majorEastAsia" w:eastAsiaTheme="majorEastAsia" w:hAnsiTheme="majorEastAsia" w:cstheme="majorEastAsia" w:hint="eastAsia"/>
                <w:b/>
                <w:bCs/>
                <w:sz w:val="24"/>
              </w:rPr>
              <w:fldChar w:fldCharType="begin"/>
            </w:r>
            <w:r w:rsidR="00CD4053">
              <w:rPr>
                <w:rFonts w:asciiTheme="majorEastAsia" w:eastAsiaTheme="majorEastAsia" w:hAnsiTheme="majorEastAsia" w:cstheme="majorEastAsia" w:hint="eastAsia"/>
                <w:b/>
                <w:bCs/>
                <w:sz w:val="24"/>
              </w:rPr>
              <w:instrText xml:space="preserve"> PAGEREF _Toc4346 </w:instrText>
            </w:r>
            <w:r w:rsidR="00CD4053">
              <w:rPr>
                <w:rFonts w:asciiTheme="majorEastAsia" w:eastAsiaTheme="majorEastAsia" w:hAnsiTheme="majorEastAsia" w:cstheme="majorEastAsia" w:hint="eastAsia"/>
                <w:b/>
                <w:bCs/>
                <w:sz w:val="24"/>
              </w:rPr>
              <w:fldChar w:fldCharType="separate"/>
            </w:r>
            <w:r w:rsidR="00CD4053">
              <w:rPr>
                <w:rFonts w:asciiTheme="majorEastAsia" w:eastAsiaTheme="majorEastAsia" w:hAnsiTheme="majorEastAsia" w:cstheme="majorEastAsia"/>
                <w:b/>
                <w:bCs/>
                <w:sz w:val="24"/>
              </w:rPr>
              <w:t>6</w:t>
            </w:r>
            <w:r w:rsidR="00CD4053">
              <w:rPr>
                <w:rFonts w:asciiTheme="majorEastAsia" w:eastAsiaTheme="majorEastAsia" w:hAnsiTheme="majorEastAsia" w:cstheme="majorEastAsia" w:hint="eastAsia"/>
                <w:b/>
                <w:bCs/>
                <w:sz w:val="24"/>
              </w:rPr>
              <w:fldChar w:fldCharType="end"/>
            </w:r>
          </w:hyperlink>
        </w:p>
        <w:p w:rsidR="00255DE3" w:rsidRDefault="00653693">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CD4053">
              <w:rPr>
                <w:rFonts w:asciiTheme="majorEastAsia" w:eastAsiaTheme="majorEastAsia" w:hAnsiTheme="majorEastAsia" w:cstheme="majorEastAsia" w:hint="eastAsia"/>
                <w:b/>
                <w:bCs/>
                <w:sz w:val="24"/>
              </w:rPr>
              <w:t>一、保定市徐水区水利局基本情况</w:t>
            </w:r>
            <w:r w:rsidR="00CD4053">
              <w:rPr>
                <w:rFonts w:asciiTheme="majorEastAsia" w:eastAsiaTheme="majorEastAsia" w:hAnsiTheme="majorEastAsia" w:cstheme="majorEastAsia" w:hint="eastAsia"/>
                <w:b/>
                <w:bCs/>
                <w:sz w:val="24"/>
              </w:rPr>
              <w:tab/>
            </w:r>
            <w:r w:rsidR="00CD4053">
              <w:rPr>
                <w:rFonts w:asciiTheme="majorEastAsia" w:eastAsiaTheme="majorEastAsia" w:hAnsiTheme="majorEastAsia" w:cstheme="majorEastAsia" w:hint="eastAsia"/>
                <w:b/>
                <w:bCs/>
                <w:sz w:val="24"/>
              </w:rPr>
              <w:fldChar w:fldCharType="begin"/>
            </w:r>
            <w:r w:rsidR="00CD4053">
              <w:rPr>
                <w:rFonts w:asciiTheme="majorEastAsia" w:eastAsiaTheme="majorEastAsia" w:hAnsiTheme="majorEastAsia" w:cstheme="majorEastAsia" w:hint="eastAsia"/>
                <w:b/>
                <w:bCs/>
                <w:sz w:val="24"/>
              </w:rPr>
              <w:instrText xml:space="preserve"> PAGEREF _Toc427 </w:instrText>
            </w:r>
            <w:r w:rsidR="00CD4053">
              <w:rPr>
                <w:rFonts w:asciiTheme="majorEastAsia" w:eastAsiaTheme="majorEastAsia" w:hAnsiTheme="majorEastAsia" w:cstheme="majorEastAsia" w:hint="eastAsia"/>
                <w:b/>
                <w:bCs/>
                <w:sz w:val="24"/>
              </w:rPr>
              <w:fldChar w:fldCharType="separate"/>
            </w:r>
            <w:r w:rsidR="00CD4053">
              <w:rPr>
                <w:rFonts w:asciiTheme="majorEastAsia" w:eastAsiaTheme="majorEastAsia" w:hAnsiTheme="majorEastAsia" w:cstheme="majorEastAsia"/>
                <w:b/>
                <w:bCs/>
                <w:sz w:val="24"/>
              </w:rPr>
              <w:t>7</w:t>
            </w:r>
            <w:r w:rsidR="00CD4053">
              <w:rPr>
                <w:rFonts w:asciiTheme="majorEastAsia" w:eastAsiaTheme="majorEastAsia" w:hAnsiTheme="majorEastAsia" w:cstheme="majorEastAsia" w:hint="eastAsia"/>
                <w:b/>
                <w:bCs/>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CD4053">
              <w:rPr>
                <w:rFonts w:asciiTheme="majorEastAsia" w:eastAsiaTheme="majorEastAsia" w:hAnsiTheme="majorEastAsia" w:cstheme="majorEastAsia" w:hint="eastAsia"/>
                <w:sz w:val="24"/>
              </w:rPr>
              <w:t>（一）部门职责和工作活动</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_Toc11473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7</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CD4053">
              <w:rPr>
                <w:rFonts w:asciiTheme="majorEastAsia" w:eastAsiaTheme="majorEastAsia" w:hAnsiTheme="majorEastAsia" w:cstheme="majorEastAsia" w:hint="eastAsia"/>
                <w:sz w:val="24"/>
              </w:rPr>
              <w:t>（二）部门年度发展规划总体目标和职责分类绩效目标</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_Toc7075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7</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CD4053">
              <w:rPr>
                <w:rFonts w:asciiTheme="majorEastAsia" w:eastAsiaTheme="majorEastAsia" w:hAnsiTheme="majorEastAsia" w:cstheme="majorEastAsia" w:hint="eastAsia"/>
                <w:sz w:val="24"/>
              </w:rPr>
              <w:t>（三）部门预算收入及决算收入</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_Toc1678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8</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CD4053">
              <w:rPr>
                <w:rFonts w:asciiTheme="majorEastAsia" w:eastAsiaTheme="majorEastAsia" w:hAnsiTheme="majorEastAsia" w:cstheme="majorEastAsia" w:hint="eastAsia"/>
                <w:sz w:val="24"/>
              </w:rPr>
              <w:t>（四）预算支出及决算支出</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_Toc18197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13</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CD4053">
              <w:rPr>
                <w:rFonts w:asciiTheme="majorEastAsia" w:eastAsiaTheme="majorEastAsia" w:hAnsiTheme="majorEastAsia" w:cstheme="majorEastAsia" w:hint="eastAsia"/>
                <w:sz w:val="24"/>
              </w:rPr>
              <w:t>（五）“三公”经费预算安排及支出情况</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_Toc19291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15</w:t>
            </w:r>
            <w:r w:rsidR="00CD4053">
              <w:rPr>
                <w:rFonts w:asciiTheme="majorEastAsia" w:eastAsiaTheme="majorEastAsia" w:hAnsiTheme="majorEastAsia" w:cstheme="majorEastAsia" w:hint="eastAsia"/>
                <w:sz w:val="24"/>
              </w:rPr>
              <w:fldChar w:fldCharType="end"/>
            </w:r>
          </w:hyperlink>
        </w:p>
        <w:p w:rsidR="00255DE3" w:rsidRDefault="00653693">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CD4053">
              <w:rPr>
                <w:rFonts w:asciiTheme="majorEastAsia" w:eastAsiaTheme="majorEastAsia" w:hAnsiTheme="majorEastAsia" w:cstheme="majorEastAsia" w:hint="eastAsia"/>
                <w:b/>
                <w:bCs/>
                <w:sz w:val="24"/>
              </w:rPr>
              <w:t>二、部门整体支出绩效评价指标体系设定情况</w:t>
            </w:r>
            <w:r w:rsidR="00CD4053">
              <w:rPr>
                <w:rFonts w:asciiTheme="majorEastAsia" w:eastAsiaTheme="majorEastAsia" w:hAnsiTheme="majorEastAsia" w:cstheme="majorEastAsia" w:hint="eastAsia"/>
                <w:b/>
                <w:bCs/>
                <w:sz w:val="24"/>
              </w:rPr>
              <w:tab/>
            </w:r>
            <w:r w:rsidR="00CD4053">
              <w:rPr>
                <w:rFonts w:asciiTheme="majorEastAsia" w:eastAsiaTheme="majorEastAsia" w:hAnsiTheme="majorEastAsia" w:cstheme="majorEastAsia" w:hint="eastAsia"/>
                <w:b/>
                <w:bCs/>
                <w:sz w:val="24"/>
              </w:rPr>
              <w:fldChar w:fldCharType="begin"/>
            </w:r>
            <w:r w:rsidR="00CD4053">
              <w:rPr>
                <w:rFonts w:asciiTheme="majorEastAsia" w:eastAsiaTheme="majorEastAsia" w:hAnsiTheme="majorEastAsia" w:cstheme="majorEastAsia" w:hint="eastAsia"/>
                <w:b/>
                <w:bCs/>
                <w:sz w:val="24"/>
              </w:rPr>
              <w:instrText xml:space="preserve"> PAGEREF _Toc20454 </w:instrText>
            </w:r>
            <w:r w:rsidR="00CD4053">
              <w:rPr>
                <w:rFonts w:asciiTheme="majorEastAsia" w:eastAsiaTheme="majorEastAsia" w:hAnsiTheme="majorEastAsia" w:cstheme="majorEastAsia" w:hint="eastAsia"/>
                <w:b/>
                <w:bCs/>
                <w:sz w:val="24"/>
              </w:rPr>
              <w:fldChar w:fldCharType="separate"/>
            </w:r>
            <w:r w:rsidR="00CD4053">
              <w:rPr>
                <w:rFonts w:asciiTheme="majorEastAsia" w:eastAsiaTheme="majorEastAsia" w:hAnsiTheme="majorEastAsia" w:cstheme="majorEastAsia"/>
                <w:b/>
                <w:bCs/>
                <w:sz w:val="24"/>
              </w:rPr>
              <w:t>16</w:t>
            </w:r>
            <w:r w:rsidR="00CD4053">
              <w:rPr>
                <w:rFonts w:asciiTheme="majorEastAsia" w:eastAsiaTheme="majorEastAsia" w:hAnsiTheme="majorEastAsia" w:cstheme="majorEastAsia" w:hint="eastAsia"/>
                <w:b/>
                <w:bCs/>
                <w:sz w:val="24"/>
              </w:rPr>
              <w:fldChar w:fldCharType="end"/>
            </w:r>
          </w:hyperlink>
        </w:p>
        <w:p w:rsidR="00255DE3" w:rsidRDefault="00653693">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CD4053">
              <w:rPr>
                <w:rFonts w:asciiTheme="majorEastAsia" w:eastAsiaTheme="majorEastAsia" w:hAnsiTheme="majorEastAsia" w:cstheme="majorEastAsia" w:hint="eastAsia"/>
                <w:sz w:val="24"/>
              </w:rPr>
              <w:t>（一）投入</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_Toc9569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17</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CD4053">
              <w:rPr>
                <w:rFonts w:asciiTheme="majorEastAsia" w:eastAsiaTheme="majorEastAsia" w:hAnsiTheme="majorEastAsia" w:cstheme="majorEastAsia" w:hint="eastAsia"/>
                <w:sz w:val="24"/>
              </w:rPr>
              <w:t>（二）过程</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_Toc30221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17</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CD4053">
              <w:rPr>
                <w:rFonts w:asciiTheme="majorEastAsia" w:eastAsiaTheme="majorEastAsia" w:hAnsiTheme="majorEastAsia" w:cstheme="majorEastAsia" w:hint="eastAsia"/>
                <w:sz w:val="24"/>
              </w:rPr>
              <w:t>（三）产出</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_Toc24932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18</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CD4053">
              <w:rPr>
                <w:rFonts w:asciiTheme="majorEastAsia" w:eastAsiaTheme="majorEastAsia" w:hAnsiTheme="majorEastAsia" w:cstheme="majorEastAsia" w:hint="eastAsia"/>
                <w:sz w:val="24"/>
              </w:rPr>
              <w:t>（四）效果</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_Toc21821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18</w:t>
            </w:r>
            <w:r w:rsidR="00CD4053">
              <w:rPr>
                <w:rFonts w:asciiTheme="majorEastAsia" w:eastAsiaTheme="majorEastAsia" w:hAnsiTheme="majorEastAsia" w:cstheme="majorEastAsia" w:hint="eastAsia"/>
                <w:sz w:val="24"/>
              </w:rPr>
              <w:fldChar w:fldCharType="end"/>
            </w:r>
          </w:hyperlink>
        </w:p>
        <w:p w:rsidR="00255DE3" w:rsidRDefault="00653693">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CD4053">
              <w:rPr>
                <w:rFonts w:asciiTheme="majorEastAsia" w:eastAsiaTheme="majorEastAsia" w:hAnsiTheme="majorEastAsia" w:cstheme="majorEastAsia" w:hint="eastAsia"/>
                <w:b/>
                <w:bCs/>
                <w:sz w:val="24"/>
              </w:rPr>
              <w:t>三、综合绩效评价工作情况</w:t>
            </w:r>
            <w:r w:rsidR="00CD4053">
              <w:rPr>
                <w:rFonts w:asciiTheme="majorEastAsia" w:eastAsiaTheme="majorEastAsia" w:hAnsiTheme="majorEastAsia" w:cstheme="majorEastAsia" w:hint="eastAsia"/>
                <w:b/>
                <w:bCs/>
                <w:sz w:val="24"/>
              </w:rPr>
              <w:tab/>
            </w:r>
            <w:r w:rsidR="00CD4053">
              <w:rPr>
                <w:rFonts w:asciiTheme="majorEastAsia" w:eastAsiaTheme="majorEastAsia" w:hAnsiTheme="majorEastAsia" w:cstheme="majorEastAsia" w:hint="eastAsia"/>
                <w:b/>
                <w:bCs/>
                <w:sz w:val="24"/>
              </w:rPr>
              <w:fldChar w:fldCharType="begin"/>
            </w:r>
            <w:r w:rsidR="00CD4053">
              <w:rPr>
                <w:rFonts w:asciiTheme="majorEastAsia" w:eastAsiaTheme="majorEastAsia" w:hAnsiTheme="majorEastAsia" w:cstheme="majorEastAsia" w:hint="eastAsia"/>
                <w:b/>
                <w:bCs/>
                <w:sz w:val="24"/>
              </w:rPr>
              <w:instrText xml:space="preserve"> PAGEREF _Toc11842 </w:instrText>
            </w:r>
            <w:r w:rsidR="00CD4053">
              <w:rPr>
                <w:rFonts w:asciiTheme="majorEastAsia" w:eastAsiaTheme="majorEastAsia" w:hAnsiTheme="majorEastAsia" w:cstheme="majorEastAsia" w:hint="eastAsia"/>
                <w:b/>
                <w:bCs/>
                <w:sz w:val="24"/>
              </w:rPr>
              <w:fldChar w:fldCharType="separate"/>
            </w:r>
            <w:r w:rsidR="00CD4053">
              <w:rPr>
                <w:rFonts w:asciiTheme="majorEastAsia" w:eastAsiaTheme="majorEastAsia" w:hAnsiTheme="majorEastAsia" w:cstheme="majorEastAsia"/>
                <w:b/>
                <w:bCs/>
                <w:sz w:val="24"/>
              </w:rPr>
              <w:t>18</w:t>
            </w:r>
            <w:r w:rsidR="00CD4053">
              <w:rPr>
                <w:rFonts w:asciiTheme="majorEastAsia" w:eastAsiaTheme="majorEastAsia" w:hAnsiTheme="majorEastAsia" w:cstheme="majorEastAsia" w:hint="eastAsia"/>
                <w:b/>
                <w:bCs/>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CD4053">
              <w:rPr>
                <w:rFonts w:asciiTheme="majorEastAsia" w:eastAsiaTheme="majorEastAsia" w:hAnsiTheme="majorEastAsia" w:cstheme="majorEastAsia" w:hint="eastAsia"/>
                <w:sz w:val="24"/>
              </w:rPr>
              <w:t>（一）绩效评价目的</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_Toc17138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18</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CD4053">
              <w:rPr>
                <w:rFonts w:asciiTheme="majorEastAsia" w:eastAsiaTheme="majorEastAsia" w:hAnsiTheme="majorEastAsia" w:cstheme="majorEastAsia" w:hint="eastAsia"/>
                <w:sz w:val="24"/>
              </w:rPr>
              <w:t>（二）绩效评价依据</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_Toc11607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19</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CD4053">
              <w:rPr>
                <w:rFonts w:asciiTheme="majorEastAsia" w:eastAsiaTheme="majorEastAsia" w:hAnsiTheme="majorEastAsia" w:cstheme="majorEastAsia" w:hint="eastAsia"/>
                <w:sz w:val="24"/>
              </w:rPr>
              <w:t>（三）绩效评价内容</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_Toc7609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19</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CD4053">
              <w:rPr>
                <w:rFonts w:asciiTheme="majorEastAsia" w:eastAsiaTheme="majorEastAsia" w:hAnsiTheme="majorEastAsia" w:cstheme="majorEastAsia" w:hint="eastAsia"/>
                <w:sz w:val="24"/>
              </w:rPr>
              <w:t>（四）绩效评价原则</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_Toc789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19</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CD4053">
              <w:rPr>
                <w:rFonts w:asciiTheme="majorEastAsia" w:eastAsiaTheme="majorEastAsia" w:hAnsiTheme="majorEastAsia" w:cstheme="majorEastAsia" w:hint="eastAsia"/>
                <w:sz w:val="24"/>
              </w:rPr>
              <w:t>（五）绩效评价方法</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_Toc8171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20</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CD4053">
              <w:rPr>
                <w:rFonts w:asciiTheme="majorEastAsia" w:eastAsiaTheme="majorEastAsia" w:hAnsiTheme="majorEastAsia" w:cstheme="majorEastAsia" w:hint="eastAsia"/>
                <w:sz w:val="24"/>
              </w:rPr>
              <w:t>（六）绩效评价工作过程</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_Toc20821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21</w:t>
            </w:r>
            <w:r w:rsidR="00CD4053">
              <w:rPr>
                <w:rFonts w:asciiTheme="majorEastAsia" w:eastAsiaTheme="majorEastAsia" w:hAnsiTheme="majorEastAsia" w:cstheme="majorEastAsia" w:hint="eastAsia"/>
                <w:sz w:val="24"/>
              </w:rPr>
              <w:fldChar w:fldCharType="end"/>
            </w:r>
          </w:hyperlink>
        </w:p>
        <w:p w:rsidR="00255DE3" w:rsidRDefault="00653693">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CD4053">
              <w:rPr>
                <w:rFonts w:asciiTheme="majorEastAsia" w:eastAsiaTheme="majorEastAsia" w:hAnsiTheme="majorEastAsia" w:cstheme="majorEastAsia" w:hint="eastAsia"/>
                <w:b/>
                <w:bCs/>
                <w:sz w:val="24"/>
              </w:rPr>
              <w:t>四、绩效评价评分情况</w:t>
            </w:r>
            <w:r w:rsidR="00CD4053">
              <w:rPr>
                <w:rFonts w:asciiTheme="majorEastAsia" w:eastAsiaTheme="majorEastAsia" w:hAnsiTheme="majorEastAsia" w:cstheme="majorEastAsia" w:hint="eastAsia"/>
                <w:b/>
                <w:bCs/>
                <w:sz w:val="24"/>
              </w:rPr>
              <w:tab/>
            </w:r>
            <w:r w:rsidR="00CD4053">
              <w:rPr>
                <w:rFonts w:asciiTheme="majorEastAsia" w:eastAsiaTheme="majorEastAsia" w:hAnsiTheme="majorEastAsia" w:cstheme="majorEastAsia" w:hint="eastAsia"/>
                <w:b/>
                <w:bCs/>
                <w:sz w:val="24"/>
              </w:rPr>
              <w:fldChar w:fldCharType="begin"/>
            </w:r>
            <w:r w:rsidR="00CD4053">
              <w:rPr>
                <w:rFonts w:asciiTheme="majorEastAsia" w:eastAsiaTheme="majorEastAsia" w:hAnsiTheme="majorEastAsia" w:cstheme="majorEastAsia" w:hint="eastAsia"/>
                <w:b/>
                <w:bCs/>
                <w:sz w:val="24"/>
              </w:rPr>
              <w:instrText xml:space="preserve"> PAGEREF _Toc6467 </w:instrText>
            </w:r>
            <w:r w:rsidR="00CD4053">
              <w:rPr>
                <w:rFonts w:asciiTheme="majorEastAsia" w:eastAsiaTheme="majorEastAsia" w:hAnsiTheme="majorEastAsia" w:cstheme="majorEastAsia" w:hint="eastAsia"/>
                <w:b/>
                <w:bCs/>
                <w:sz w:val="24"/>
              </w:rPr>
              <w:fldChar w:fldCharType="separate"/>
            </w:r>
            <w:r w:rsidR="00CD4053">
              <w:rPr>
                <w:rFonts w:asciiTheme="majorEastAsia" w:eastAsiaTheme="majorEastAsia" w:hAnsiTheme="majorEastAsia" w:cstheme="majorEastAsia"/>
                <w:b/>
                <w:bCs/>
                <w:sz w:val="24"/>
              </w:rPr>
              <w:t>22</w:t>
            </w:r>
            <w:r w:rsidR="00CD4053">
              <w:rPr>
                <w:rFonts w:asciiTheme="majorEastAsia" w:eastAsiaTheme="majorEastAsia" w:hAnsiTheme="majorEastAsia" w:cstheme="majorEastAsia" w:hint="eastAsia"/>
                <w:b/>
                <w:bCs/>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CD4053">
              <w:rPr>
                <w:rFonts w:asciiTheme="majorEastAsia" w:eastAsiaTheme="majorEastAsia" w:hAnsiTheme="majorEastAsia" w:cstheme="majorEastAsia" w:hint="eastAsia"/>
                <w:sz w:val="24"/>
              </w:rPr>
              <w:t>（一）投入</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_Toc4390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22</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CD4053">
              <w:rPr>
                <w:rFonts w:asciiTheme="majorEastAsia" w:eastAsiaTheme="majorEastAsia" w:hAnsiTheme="majorEastAsia" w:cstheme="majorEastAsia" w:hint="eastAsia"/>
                <w:sz w:val="24"/>
              </w:rPr>
              <w:t>（二）过程</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_Toc19940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26</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CD4053">
              <w:rPr>
                <w:rFonts w:asciiTheme="majorEastAsia" w:eastAsiaTheme="majorEastAsia" w:hAnsiTheme="majorEastAsia" w:cstheme="majorEastAsia" w:hint="eastAsia"/>
                <w:sz w:val="24"/>
              </w:rPr>
              <w:t>（三）产出</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_Toc12330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36</w:t>
            </w:r>
            <w:r w:rsidR="00CD4053">
              <w:rPr>
                <w:rFonts w:asciiTheme="majorEastAsia" w:eastAsiaTheme="majorEastAsia" w:hAnsiTheme="majorEastAsia" w:cstheme="majorEastAsia" w:hint="eastAsia"/>
                <w:sz w:val="24"/>
              </w:rPr>
              <w:fldChar w:fldCharType="end"/>
            </w:r>
          </w:hyperlink>
        </w:p>
        <w:p w:rsidR="00255DE3" w:rsidRDefault="00653693">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CD4053">
              <w:rPr>
                <w:rFonts w:asciiTheme="majorEastAsia" w:eastAsiaTheme="majorEastAsia" w:hAnsiTheme="majorEastAsia" w:cstheme="majorEastAsia" w:hint="eastAsia"/>
                <w:sz w:val="24"/>
              </w:rPr>
              <w:t>（四）效果</w:t>
            </w:r>
            <w:r w:rsidR="00CD4053">
              <w:rPr>
                <w:rFonts w:asciiTheme="majorEastAsia" w:eastAsiaTheme="majorEastAsia" w:hAnsiTheme="majorEastAsia" w:cstheme="majorEastAsia" w:hint="eastAsia"/>
                <w:sz w:val="24"/>
              </w:rPr>
              <w:tab/>
            </w:r>
            <w:r w:rsidR="00CD4053">
              <w:rPr>
                <w:rFonts w:asciiTheme="majorEastAsia" w:eastAsiaTheme="majorEastAsia" w:hAnsiTheme="majorEastAsia" w:cstheme="majorEastAsia" w:hint="eastAsia"/>
                <w:sz w:val="24"/>
              </w:rPr>
              <w:fldChar w:fldCharType="begin"/>
            </w:r>
            <w:r w:rsidR="00CD4053">
              <w:rPr>
                <w:rFonts w:asciiTheme="majorEastAsia" w:eastAsiaTheme="majorEastAsia" w:hAnsiTheme="majorEastAsia" w:cstheme="majorEastAsia" w:hint="eastAsia"/>
                <w:sz w:val="24"/>
              </w:rPr>
              <w:instrText xml:space="preserve"> PAGEREF _Toc28363 </w:instrText>
            </w:r>
            <w:r w:rsidR="00CD4053">
              <w:rPr>
                <w:rFonts w:asciiTheme="majorEastAsia" w:eastAsiaTheme="majorEastAsia" w:hAnsiTheme="majorEastAsia" w:cstheme="majorEastAsia" w:hint="eastAsia"/>
                <w:sz w:val="24"/>
              </w:rPr>
              <w:fldChar w:fldCharType="separate"/>
            </w:r>
            <w:r w:rsidR="00CD4053">
              <w:rPr>
                <w:rFonts w:asciiTheme="majorEastAsia" w:eastAsiaTheme="majorEastAsia" w:hAnsiTheme="majorEastAsia" w:cstheme="majorEastAsia"/>
                <w:sz w:val="24"/>
              </w:rPr>
              <w:t>37</w:t>
            </w:r>
            <w:r w:rsidR="00CD4053">
              <w:rPr>
                <w:rFonts w:asciiTheme="majorEastAsia" w:eastAsiaTheme="majorEastAsia" w:hAnsiTheme="majorEastAsia" w:cstheme="majorEastAsia" w:hint="eastAsia"/>
                <w:sz w:val="24"/>
              </w:rPr>
              <w:fldChar w:fldCharType="end"/>
            </w:r>
          </w:hyperlink>
        </w:p>
        <w:p w:rsidR="00255DE3" w:rsidRDefault="00653693">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CD4053">
              <w:rPr>
                <w:rFonts w:asciiTheme="majorEastAsia" w:eastAsiaTheme="majorEastAsia" w:hAnsiTheme="majorEastAsia" w:cstheme="majorEastAsia" w:hint="eastAsia"/>
                <w:b/>
                <w:bCs/>
                <w:sz w:val="24"/>
              </w:rPr>
              <w:t>五、绩效评价发现的问题</w:t>
            </w:r>
            <w:r w:rsidR="00CD4053">
              <w:rPr>
                <w:rFonts w:asciiTheme="majorEastAsia" w:eastAsiaTheme="majorEastAsia" w:hAnsiTheme="majorEastAsia" w:cstheme="majorEastAsia" w:hint="eastAsia"/>
                <w:b/>
                <w:bCs/>
                <w:sz w:val="24"/>
              </w:rPr>
              <w:tab/>
            </w:r>
            <w:r w:rsidR="00CD4053">
              <w:rPr>
                <w:rFonts w:asciiTheme="majorEastAsia" w:eastAsiaTheme="majorEastAsia" w:hAnsiTheme="majorEastAsia" w:cstheme="majorEastAsia" w:hint="eastAsia"/>
                <w:b/>
                <w:bCs/>
                <w:sz w:val="24"/>
              </w:rPr>
              <w:fldChar w:fldCharType="begin"/>
            </w:r>
            <w:r w:rsidR="00CD4053">
              <w:rPr>
                <w:rFonts w:asciiTheme="majorEastAsia" w:eastAsiaTheme="majorEastAsia" w:hAnsiTheme="majorEastAsia" w:cstheme="majorEastAsia" w:hint="eastAsia"/>
                <w:b/>
                <w:bCs/>
                <w:sz w:val="24"/>
              </w:rPr>
              <w:instrText xml:space="preserve"> PAGEREF _Toc13757 </w:instrText>
            </w:r>
            <w:r w:rsidR="00CD4053">
              <w:rPr>
                <w:rFonts w:asciiTheme="majorEastAsia" w:eastAsiaTheme="majorEastAsia" w:hAnsiTheme="majorEastAsia" w:cstheme="majorEastAsia" w:hint="eastAsia"/>
                <w:b/>
                <w:bCs/>
                <w:sz w:val="24"/>
              </w:rPr>
              <w:fldChar w:fldCharType="separate"/>
            </w:r>
            <w:r w:rsidR="00CD4053">
              <w:rPr>
                <w:rFonts w:asciiTheme="majorEastAsia" w:eastAsiaTheme="majorEastAsia" w:hAnsiTheme="majorEastAsia" w:cstheme="majorEastAsia"/>
                <w:b/>
                <w:bCs/>
                <w:sz w:val="24"/>
              </w:rPr>
              <w:t>39</w:t>
            </w:r>
            <w:r w:rsidR="00CD4053">
              <w:rPr>
                <w:rFonts w:asciiTheme="majorEastAsia" w:eastAsiaTheme="majorEastAsia" w:hAnsiTheme="majorEastAsia" w:cstheme="majorEastAsia" w:hint="eastAsia"/>
                <w:b/>
                <w:bCs/>
                <w:sz w:val="24"/>
              </w:rPr>
              <w:fldChar w:fldCharType="end"/>
            </w:r>
          </w:hyperlink>
        </w:p>
        <w:p w:rsidR="00255DE3" w:rsidRDefault="00653693">
          <w:pPr>
            <w:pStyle w:val="21"/>
            <w:tabs>
              <w:tab w:val="right" w:leader="dot" w:pos="8312"/>
            </w:tabs>
            <w:spacing w:line="312" w:lineRule="auto"/>
            <w:ind w:leftChars="0" w:left="0"/>
            <w:rPr>
              <w:b/>
              <w:bCs/>
            </w:rPr>
          </w:pPr>
          <w:hyperlink w:anchor="_Toc20723" w:history="1">
            <w:r w:rsidR="00CD4053">
              <w:rPr>
                <w:rFonts w:asciiTheme="majorEastAsia" w:eastAsiaTheme="majorEastAsia" w:hAnsiTheme="majorEastAsia" w:cstheme="majorEastAsia" w:hint="eastAsia"/>
                <w:b/>
                <w:bCs/>
                <w:sz w:val="24"/>
              </w:rPr>
              <w:t>六、绩效评价意见及建议</w:t>
            </w:r>
            <w:r w:rsidR="00CD4053">
              <w:rPr>
                <w:rFonts w:asciiTheme="majorEastAsia" w:eastAsiaTheme="majorEastAsia" w:hAnsiTheme="majorEastAsia" w:cstheme="majorEastAsia" w:hint="eastAsia"/>
                <w:b/>
                <w:bCs/>
                <w:sz w:val="24"/>
              </w:rPr>
              <w:tab/>
            </w:r>
            <w:r w:rsidR="00CD4053">
              <w:rPr>
                <w:rFonts w:asciiTheme="majorEastAsia" w:eastAsiaTheme="majorEastAsia" w:hAnsiTheme="majorEastAsia" w:cstheme="majorEastAsia" w:hint="eastAsia"/>
                <w:b/>
                <w:bCs/>
                <w:sz w:val="24"/>
              </w:rPr>
              <w:fldChar w:fldCharType="begin"/>
            </w:r>
            <w:r w:rsidR="00CD4053">
              <w:rPr>
                <w:rFonts w:asciiTheme="majorEastAsia" w:eastAsiaTheme="majorEastAsia" w:hAnsiTheme="majorEastAsia" w:cstheme="majorEastAsia" w:hint="eastAsia"/>
                <w:b/>
                <w:bCs/>
                <w:sz w:val="24"/>
              </w:rPr>
              <w:instrText xml:space="preserve"> PAGEREF _Toc20723 </w:instrText>
            </w:r>
            <w:r w:rsidR="00CD4053">
              <w:rPr>
                <w:rFonts w:asciiTheme="majorEastAsia" w:eastAsiaTheme="majorEastAsia" w:hAnsiTheme="majorEastAsia" w:cstheme="majorEastAsia" w:hint="eastAsia"/>
                <w:b/>
                <w:bCs/>
                <w:sz w:val="24"/>
              </w:rPr>
              <w:fldChar w:fldCharType="separate"/>
            </w:r>
            <w:r w:rsidR="00CD4053">
              <w:rPr>
                <w:rFonts w:asciiTheme="majorEastAsia" w:eastAsiaTheme="majorEastAsia" w:hAnsiTheme="majorEastAsia" w:cstheme="majorEastAsia"/>
                <w:b/>
                <w:bCs/>
                <w:sz w:val="24"/>
              </w:rPr>
              <w:t>39</w:t>
            </w:r>
            <w:r w:rsidR="00CD4053">
              <w:rPr>
                <w:rFonts w:asciiTheme="majorEastAsia" w:eastAsiaTheme="majorEastAsia" w:hAnsiTheme="majorEastAsia" w:cstheme="majorEastAsia" w:hint="eastAsia"/>
                <w:b/>
                <w:bCs/>
                <w:sz w:val="24"/>
              </w:rPr>
              <w:fldChar w:fldCharType="end"/>
            </w:r>
          </w:hyperlink>
        </w:p>
        <w:p w:rsidR="00255DE3" w:rsidRDefault="00CD4053">
          <w:pPr>
            <w:spacing w:line="312" w:lineRule="auto"/>
            <w:ind w:firstLineChars="200" w:firstLine="440"/>
            <w:jc w:val="both"/>
            <w:sectPr w:rsidR="00255DE3">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255DE3" w:rsidRDefault="00CD4053">
      <w:pPr>
        <w:pStyle w:val="2"/>
        <w:spacing w:line="540" w:lineRule="exact"/>
        <w:jc w:val="center"/>
        <w:rPr>
          <w:rFonts w:asciiTheme="majorEastAsia" w:eastAsiaTheme="majorEastAsia" w:hAnsiTheme="majorEastAsia"/>
          <w:sz w:val="44"/>
          <w:szCs w:val="44"/>
        </w:rPr>
      </w:pPr>
      <w:bookmarkStart w:id="0" w:name="_Toc25184"/>
      <w:r>
        <w:rPr>
          <w:rFonts w:asciiTheme="majorEastAsia" w:eastAsiaTheme="majorEastAsia" w:hAnsiTheme="majorEastAsia" w:hint="eastAsia"/>
          <w:sz w:val="44"/>
          <w:szCs w:val="44"/>
        </w:rPr>
        <w:lastRenderedPageBreak/>
        <w:t>第一部分   摘  要</w:t>
      </w:r>
      <w:bookmarkEnd w:id="0"/>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保定市徐水区水利局为正科级行政单位，经费保障形式为财政拨款，内设3个股室，分别为办公室、水利工程建设质量与安全监督股、河湖管理股，主要职责是：1.</w:t>
      </w:r>
      <w:r>
        <w:rPr>
          <w:rFonts w:ascii="仿宋_GB2312" w:eastAsia="仿宋_GB2312" w:cs="DengXian-Regular"/>
          <w:sz w:val="32"/>
          <w:szCs w:val="32"/>
        </w:rPr>
        <w:t>负责拟订水利战略规划和政策，起草有关地方性法规、政府规章草案，组织编制全区水资源战略规划、重要江河湖泊流域综合规划、防洪规划等重大水利规划。</w:t>
      </w:r>
      <w:r>
        <w:rPr>
          <w:rFonts w:ascii="仿宋_GB2312" w:eastAsia="仿宋_GB2312" w:cs="DengXian-Regular" w:hint="eastAsia"/>
          <w:sz w:val="32"/>
          <w:szCs w:val="32"/>
        </w:rPr>
        <w:t>2.</w:t>
      </w:r>
      <w:r>
        <w:rPr>
          <w:rFonts w:ascii="仿宋_GB2312" w:eastAsia="仿宋_GB2312" w:cs="DengXian-Regular"/>
          <w:sz w:val="32"/>
          <w:szCs w:val="32"/>
        </w:rPr>
        <w:t>负责生活、生产经营和生态环境用水的统筹和保障。组织实施最严格水资源管理制度，实施水资源的统一监督管理，拟订全区水中长期供求规划、水量分配方案并监督实施</w:t>
      </w:r>
      <w:r>
        <w:rPr>
          <w:rFonts w:ascii="仿宋_GB2312" w:eastAsia="仿宋_GB2312" w:cs="DengXian-Regular" w:hint="eastAsia"/>
          <w:sz w:val="32"/>
          <w:szCs w:val="32"/>
        </w:rPr>
        <w:t>；</w:t>
      </w:r>
      <w:r>
        <w:rPr>
          <w:rFonts w:ascii="仿宋_GB2312" w:eastAsia="仿宋_GB2312" w:cs="DengXian-Regular"/>
          <w:sz w:val="32"/>
          <w:szCs w:val="32"/>
        </w:rPr>
        <w:t>负责重要流域、区域以及重大调水工程的水资源调度</w:t>
      </w:r>
      <w:r>
        <w:rPr>
          <w:rFonts w:ascii="仿宋_GB2312" w:eastAsia="仿宋_GB2312" w:cs="DengXian-Regular" w:hint="eastAsia"/>
          <w:sz w:val="32"/>
          <w:szCs w:val="32"/>
        </w:rPr>
        <w:t>；</w:t>
      </w:r>
      <w:r>
        <w:rPr>
          <w:rFonts w:ascii="仿宋_GB2312" w:eastAsia="仿宋_GB2312" w:cs="DengXian-Regular"/>
          <w:sz w:val="32"/>
          <w:szCs w:val="32"/>
        </w:rPr>
        <w:t>组织实施取水许可、水资源论证和防洪论证制度，指导开展水资源有偿使用工作</w:t>
      </w:r>
      <w:r>
        <w:rPr>
          <w:rFonts w:ascii="仿宋_GB2312" w:eastAsia="仿宋_GB2312" w:cs="DengXian-Regular" w:hint="eastAsia"/>
          <w:sz w:val="32"/>
          <w:szCs w:val="32"/>
        </w:rPr>
        <w:t>；</w:t>
      </w:r>
      <w:r>
        <w:rPr>
          <w:rFonts w:ascii="仿宋_GB2312" w:eastAsia="仿宋_GB2312" w:cs="DengXian-Regular"/>
          <w:sz w:val="32"/>
          <w:szCs w:val="32"/>
        </w:rPr>
        <w:t>指导水利行业供水和乡镇供水工作。</w:t>
      </w:r>
      <w:r>
        <w:rPr>
          <w:rFonts w:ascii="仿宋_GB2312" w:eastAsia="仿宋_GB2312" w:cs="DengXian-Regular" w:hint="eastAsia"/>
          <w:sz w:val="32"/>
          <w:szCs w:val="32"/>
        </w:rPr>
        <w:t>3.</w:t>
      </w:r>
      <w:r>
        <w:rPr>
          <w:rFonts w:ascii="仿宋_GB2312" w:eastAsia="仿宋_GB2312" w:cs="DengXian-Regular"/>
          <w:sz w:val="32"/>
          <w:szCs w:val="32"/>
        </w:rPr>
        <w:t>按规定制定水利工程建设有关制度并组织实施，负责提出区级水利固定资产投资规模、方向、具体安排建议并组织指导</w:t>
      </w:r>
      <w:r>
        <w:rPr>
          <w:rFonts w:ascii="仿宋_GB2312" w:eastAsia="仿宋_GB2312" w:cs="DengXian-Regular"/>
          <w:sz w:val="32"/>
          <w:szCs w:val="32"/>
        </w:rPr>
        <w:lastRenderedPageBreak/>
        <w:t>实施，按权限审批、核准区规划内和年度计划规模内固定资产投资项目，提出区级水利资金安排建议并负责项目实施的监督管。</w:t>
      </w:r>
      <w:r>
        <w:rPr>
          <w:rFonts w:ascii="仿宋_GB2312" w:eastAsia="仿宋_GB2312" w:cs="DengXian-Regular" w:hint="eastAsia"/>
          <w:sz w:val="32"/>
          <w:szCs w:val="32"/>
        </w:rPr>
        <w:t>4.</w:t>
      </w:r>
      <w:r>
        <w:rPr>
          <w:rFonts w:ascii="仿宋_GB2312" w:eastAsia="仿宋_GB2312" w:cs="DengXian-Regular"/>
          <w:sz w:val="32"/>
          <w:szCs w:val="32"/>
        </w:rPr>
        <w:t xml:space="preserve"> 指导水资源保护工作</w:t>
      </w:r>
      <w:r>
        <w:rPr>
          <w:rFonts w:ascii="仿宋_GB2312" w:eastAsia="仿宋_GB2312" w:cs="DengXian-Regular" w:hint="eastAsia"/>
          <w:sz w:val="32"/>
          <w:szCs w:val="32"/>
        </w:rPr>
        <w:t>；</w:t>
      </w:r>
      <w:r>
        <w:rPr>
          <w:rFonts w:ascii="仿宋_GB2312" w:eastAsia="仿宋_GB2312" w:cs="DengXian-Regular"/>
          <w:sz w:val="32"/>
          <w:szCs w:val="32"/>
        </w:rPr>
        <w:t>指导饮用水水源保护有关工作，指导地下水开发利用和地下水资源管理保护</w:t>
      </w:r>
      <w:r>
        <w:rPr>
          <w:rFonts w:ascii="仿宋_GB2312" w:eastAsia="仿宋_GB2312" w:cs="DengXian-Regular" w:hint="eastAsia"/>
          <w:sz w:val="32"/>
          <w:szCs w:val="32"/>
        </w:rPr>
        <w:t>，</w:t>
      </w:r>
      <w:r>
        <w:rPr>
          <w:rFonts w:ascii="仿宋_GB2312" w:eastAsia="仿宋_GB2312" w:cs="DengXian-Regular"/>
          <w:sz w:val="32"/>
          <w:szCs w:val="32"/>
        </w:rPr>
        <w:t>组织指导地下水超采区综合治理。</w:t>
      </w:r>
      <w:r>
        <w:rPr>
          <w:rFonts w:ascii="仿宋_GB2312" w:eastAsia="仿宋_GB2312" w:cs="DengXian-Regular" w:hint="eastAsia"/>
          <w:sz w:val="32"/>
          <w:szCs w:val="32"/>
        </w:rPr>
        <w:t>5.</w:t>
      </w:r>
      <w:r>
        <w:rPr>
          <w:rFonts w:ascii="仿宋_GB2312" w:eastAsia="仿宋_GB2312" w:cs="DengXian-Regular"/>
          <w:sz w:val="32"/>
          <w:szCs w:val="32"/>
        </w:rPr>
        <w:t xml:space="preserve"> 负责节约用水工作、拟订节约用水政策，组织编制节约用水规划并监督实施，组织制定有关标准</w:t>
      </w:r>
      <w:r>
        <w:rPr>
          <w:rFonts w:ascii="仿宋_GB2312" w:eastAsia="仿宋_GB2312" w:cs="DengXian-Regular" w:hint="eastAsia"/>
          <w:sz w:val="32"/>
          <w:szCs w:val="32"/>
        </w:rPr>
        <w:t>；</w:t>
      </w:r>
      <w:r>
        <w:rPr>
          <w:rFonts w:ascii="仿宋_GB2312" w:eastAsia="仿宋_GB2312" w:cs="DengXian-Regular"/>
          <w:sz w:val="32"/>
          <w:szCs w:val="32"/>
        </w:rPr>
        <w:t>组织实施用水总量控制等管理制度，指导和推动节水型社会建设工作。</w:t>
      </w:r>
      <w:r>
        <w:rPr>
          <w:rFonts w:ascii="仿宋_GB2312" w:eastAsia="仿宋_GB2312" w:cs="DengXian-Regular" w:hint="eastAsia"/>
          <w:sz w:val="32"/>
          <w:szCs w:val="32"/>
        </w:rPr>
        <w:t>6.</w:t>
      </w:r>
      <w:r>
        <w:rPr>
          <w:rFonts w:ascii="仿宋_GB2312" w:eastAsia="仿宋_GB2312" w:cs="DengXian-Regular"/>
          <w:sz w:val="32"/>
          <w:szCs w:val="32"/>
        </w:rPr>
        <w:t>负责水利设施，水域及其岸线的管理，保护与综合利用。组织指导水利基础设施网络建设</w:t>
      </w:r>
      <w:r>
        <w:rPr>
          <w:rFonts w:ascii="仿宋_GB2312" w:eastAsia="仿宋_GB2312" w:cs="DengXian-Regular" w:hint="eastAsia"/>
          <w:sz w:val="32"/>
          <w:szCs w:val="32"/>
        </w:rPr>
        <w:t>；</w:t>
      </w:r>
      <w:r>
        <w:rPr>
          <w:rFonts w:ascii="仿宋_GB2312" w:eastAsia="仿宋_GB2312" w:cs="DengXian-Regular"/>
          <w:sz w:val="32"/>
          <w:szCs w:val="32"/>
        </w:rPr>
        <w:t>指导重要江河湖泊及河口的治理、开发和保护;指导河湖水生态保护与修复、河湖生态流量水量管理以及河湖水系连通工作。</w:t>
      </w:r>
      <w:r>
        <w:rPr>
          <w:rFonts w:ascii="仿宋_GB2312" w:eastAsia="仿宋_GB2312" w:cs="DengXian-Regular" w:hint="eastAsia"/>
          <w:sz w:val="32"/>
          <w:szCs w:val="32"/>
        </w:rPr>
        <w:t>7.</w:t>
      </w:r>
      <w:r>
        <w:rPr>
          <w:rFonts w:ascii="仿宋_GB2312" w:eastAsia="仿宋_GB2312" w:cs="DengXian-Regular"/>
          <w:sz w:val="32"/>
          <w:szCs w:val="32"/>
        </w:rPr>
        <w:t>组织实施监督水利工程建设与运行管理、组织实施具有控制性的和跨区域跨流域的重要水利工程建设与运行管理。</w:t>
      </w:r>
      <w:r>
        <w:rPr>
          <w:rFonts w:ascii="仿宋_GB2312" w:eastAsia="仿宋_GB2312" w:cs="DengXian-Regular" w:hint="eastAsia"/>
          <w:sz w:val="32"/>
          <w:szCs w:val="32"/>
        </w:rPr>
        <w:t>8.</w:t>
      </w:r>
      <w:r>
        <w:rPr>
          <w:rFonts w:ascii="仿宋_GB2312" w:eastAsia="仿宋_GB2312" w:cs="DengXian-Regular"/>
          <w:sz w:val="32"/>
          <w:szCs w:val="32"/>
        </w:rPr>
        <w:t>负责水土保持工作。拟订水土保持规划并监督实施，组织实施水土流失的综合防治、监测预报并定期公告</w:t>
      </w:r>
      <w:r>
        <w:rPr>
          <w:rFonts w:ascii="仿宋_GB2312" w:eastAsia="仿宋_GB2312" w:cs="DengXian-Regular" w:hint="eastAsia"/>
          <w:sz w:val="32"/>
          <w:szCs w:val="32"/>
        </w:rPr>
        <w:t>；</w:t>
      </w:r>
      <w:r>
        <w:rPr>
          <w:rFonts w:ascii="仿宋_GB2312" w:eastAsia="仿宋_GB2312" w:cs="DengXian-Regular"/>
          <w:sz w:val="32"/>
          <w:szCs w:val="32"/>
        </w:rPr>
        <w:t>负责建设项目水土保持监督管理工作，指导重点水土保持建设项目的实施;负责职业卫生的监督管理工作。</w:t>
      </w:r>
      <w:r>
        <w:rPr>
          <w:rFonts w:ascii="仿宋_GB2312" w:eastAsia="仿宋_GB2312" w:cs="DengXian-Regular" w:hint="eastAsia"/>
          <w:sz w:val="32"/>
          <w:szCs w:val="32"/>
        </w:rPr>
        <w:t>9.</w:t>
      </w:r>
      <w:r>
        <w:rPr>
          <w:rFonts w:ascii="仿宋_GB2312" w:eastAsia="仿宋_GB2312" w:cs="DengXian-Regular"/>
          <w:sz w:val="32"/>
          <w:szCs w:val="32"/>
        </w:rPr>
        <w:t xml:space="preserve"> 指导农村水利工作。组织开展大中型灌排工程建设与改造;指导农村饮水安全工程建设管理工作:指导农村水能资源开发工作。</w:t>
      </w:r>
      <w:r>
        <w:rPr>
          <w:rFonts w:ascii="仿宋_GB2312" w:eastAsia="仿宋_GB2312" w:cs="DengXian-Regular" w:hint="eastAsia"/>
          <w:sz w:val="32"/>
          <w:szCs w:val="32"/>
        </w:rPr>
        <w:t>10.</w:t>
      </w:r>
      <w:r>
        <w:rPr>
          <w:rFonts w:ascii="仿宋_GB2312" w:eastAsia="仿宋_GB2312" w:cs="DengXian-Regular"/>
          <w:sz w:val="32"/>
          <w:szCs w:val="32"/>
        </w:rPr>
        <w:t>负责水库工程移民管理工作。拟订水库工程移民有关政策并监督实施，组织实施移民安置验收、监督评估等制度</w:t>
      </w:r>
      <w:r>
        <w:rPr>
          <w:rFonts w:ascii="仿宋_GB2312" w:eastAsia="仿宋_GB2312" w:cs="DengXian-Regular" w:hint="eastAsia"/>
          <w:sz w:val="32"/>
          <w:szCs w:val="32"/>
        </w:rPr>
        <w:t>；</w:t>
      </w:r>
      <w:r>
        <w:rPr>
          <w:rFonts w:ascii="仿宋_GB2312" w:eastAsia="仿宋_GB2312" w:cs="DengXian-Regular"/>
          <w:sz w:val="32"/>
          <w:szCs w:val="32"/>
        </w:rPr>
        <w:t>指导监督水库</w:t>
      </w:r>
      <w:r>
        <w:rPr>
          <w:rFonts w:ascii="仿宋_GB2312" w:eastAsia="仿宋_GB2312" w:cs="DengXian-Regular" w:hint="eastAsia"/>
          <w:sz w:val="32"/>
          <w:szCs w:val="32"/>
        </w:rPr>
        <w:t>移民后期</w:t>
      </w:r>
      <w:r>
        <w:rPr>
          <w:rFonts w:ascii="仿宋_GB2312" w:eastAsia="仿宋_GB2312" w:cs="DengXian-Regular"/>
          <w:sz w:val="32"/>
          <w:szCs w:val="32"/>
        </w:rPr>
        <w:t>扶持政策</w:t>
      </w:r>
      <w:r>
        <w:rPr>
          <w:rFonts w:ascii="仿宋_GB2312" w:eastAsia="仿宋_GB2312" w:cs="DengXian-Regular"/>
          <w:sz w:val="32"/>
          <w:szCs w:val="32"/>
        </w:rPr>
        <w:lastRenderedPageBreak/>
        <w:t>的实施。</w:t>
      </w:r>
      <w:r>
        <w:rPr>
          <w:rFonts w:ascii="仿宋_GB2312" w:eastAsia="仿宋_GB2312" w:cs="DengXian-Regular" w:hint="eastAsia"/>
          <w:sz w:val="32"/>
          <w:szCs w:val="32"/>
        </w:rPr>
        <w:t>11.</w:t>
      </w:r>
      <w:r>
        <w:rPr>
          <w:rFonts w:ascii="仿宋_GB2312" w:eastAsia="仿宋_GB2312" w:cs="DengXian-Regular"/>
          <w:sz w:val="32"/>
          <w:szCs w:val="32"/>
        </w:rPr>
        <w:t>负责涉水违法事件的查处，指导水政监察和水行政执法</w:t>
      </w:r>
      <w:r>
        <w:rPr>
          <w:rFonts w:ascii="仿宋_GB2312" w:eastAsia="仿宋_GB2312" w:cs="DengXian-Regular" w:hint="eastAsia"/>
          <w:sz w:val="32"/>
          <w:szCs w:val="32"/>
        </w:rPr>
        <w:t>；</w:t>
      </w:r>
      <w:r>
        <w:rPr>
          <w:rFonts w:ascii="仿宋_GB2312" w:eastAsia="仿宋_GB2312" w:cs="DengXian-Regular"/>
          <w:sz w:val="32"/>
          <w:szCs w:val="32"/>
        </w:rPr>
        <w:t>依法负责水利行业安全生产工作，组织指导水库的安全生产工作，组织指导水利建设市场的监督管理，组织实施水利工程建设的监督。</w:t>
      </w:r>
      <w:r>
        <w:rPr>
          <w:rFonts w:ascii="仿宋_GB2312" w:eastAsia="仿宋_GB2312" w:cs="DengXian-Regular" w:hint="eastAsia"/>
          <w:sz w:val="32"/>
          <w:szCs w:val="32"/>
        </w:rPr>
        <w:t>12.</w:t>
      </w:r>
      <w:r>
        <w:rPr>
          <w:rFonts w:ascii="仿宋_GB2312" w:eastAsia="仿宋_GB2312" w:cs="DengXian-Regular"/>
          <w:sz w:val="32"/>
          <w:szCs w:val="32"/>
        </w:rPr>
        <w:t xml:space="preserve"> 组织开展水利行业质量监督工作，拟订水利行业的地方技术标准，规程规范并监督实施。</w:t>
      </w:r>
      <w:r>
        <w:rPr>
          <w:rFonts w:ascii="仿宋_GB2312" w:eastAsia="仿宋_GB2312" w:cs="DengXian-Regular" w:hint="eastAsia"/>
          <w:sz w:val="32"/>
          <w:szCs w:val="32"/>
        </w:rPr>
        <w:t>13.</w:t>
      </w:r>
      <w:r>
        <w:rPr>
          <w:rFonts w:ascii="仿宋_GB2312" w:eastAsia="仿宋_GB2312" w:cs="DengXian-Regular"/>
          <w:sz w:val="32"/>
          <w:szCs w:val="32"/>
        </w:rPr>
        <w:t xml:space="preserve"> 负责落实综合防灾减灾规划相关要求，组织编制洪水干旱灾害防治规划和防护标准并指导实施</w:t>
      </w:r>
      <w:r>
        <w:rPr>
          <w:rFonts w:ascii="仿宋_GB2312" w:eastAsia="仿宋_GB2312" w:cs="DengXian-Regular" w:hint="eastAsia"/>
          <w:sz w:val="32"/>
          <w:szCs w:val="32"/>
        </w:rPr>
        <w:t>；</w:t>
      </w:r>
      <w:r>
        <w:rPr>
          <w:rFonts w:ascii="仿宋_GB2312" w:eastAsia="仿宋_GB2312" w:cs="DengXian-Regular"/>
          <w:sz w:val="32"/>
          <w:szCs w:val="32"/>
        </w:rPr>
        <w:t>承担水情旱情监测预警工作;组织编制重要河流和重要水工程的防御洪水、抗御早灾调度及应急水量调度方案，按程序报批并组织实施</w:t>
      </w:r>
      <w:r>
        <w:rPr>
          <w:rFonts w:ascii="仿宋_GB2312" w:eastAsia="仿宋_GB2312" w:cs="DengXian-Regular" w:hint="eastAsia"/>
          <w:sz w:val="32"/>
          <w:szCs w:val="32"/>
        </w:rPr>
        <w:t>；</w:t>
      </w:r>
      <w:r>
        <w:rPr>
          <w:rFonts w:ascii="仿宋_GB2312" w:eastAsia="仿宋_GB2312" w:cs="DengXian-Regular"/>
          <w:sz w:val="32"/>
          <w:szCs w:val="32"/>
        </w:rPr>
        <w:t>承担防御洪水应急抢险的技术支撑工作。</w:t>
      </w:r>
      <w:r>
        <w:rPr>
          <w:rFonts w:ascii="仿宋_GB2312" w:eastAsia="仿宋_GB2312" w:cs="DengXian-Regular" w:hint="eastAsia"/>
          <w:sz w:val="32"/>
          <w:szCs w:val="32"/>
        </w:rPr>
        <w:t>14.</w:t>
      </w:r>
      <w:r>
        <w:rPr>
          <w:rFonts w:ascii="仿宋_GB2312" w:eastAsia="仿宋_GB2312" w:cs="DengXian-Regular"/>
          <w:sz w:val="32"/>
          <w:szCs w:val="32"/>
        </w:rPr>
        <w:t>负责贯彻落实党中央、国务院和省、市关于河长制、湖长制的决策部署，办理区级总河长、区级河长交办的事项，协助区级总河长、区级河长对各乡(镇)、各部门履行河长制、湖长制相关职责进行指导、协调、监督和考核。</w:t>
      </w:r>
      <w:r>
        <w:rPr>
          <w:rFonts w:ascii="仿宋_GB2312" w:eastAsia="仿宋_GB2312" w:cs="DengXian-Regular" w:hint="eastAsia"/>
          <w:sz w:val="32"/>
          <w:szCs w:val="32"/>
        </w:rPr>
        <w:t>15.</w:t>
      </w:r>
      <w:r>
        <w:rPr>
          <w:rFonts w:ascii="仿宋_GB2312" w:eastAsia="仿宋_GB2312" w:cs="DengXian-Regular"/>
          <w:sz w:val="32"/>
          <w:szCs w:val="32"/>
        </w:rPr>
        <w:t>完成区委、区政府交办的其他任务。</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w:t>
      </w:r>
      <w:r>
        <w:rPr>
          <w:rFonts w:ascii="仿宋_GB2312" w:eastAsia="仿宋_GB2312" w:cs="DengXian-Regular" w:hint="eastAsia"/>
          <w:sz w:val="32"/>
          <w:szCs w:val="32"/>
        </w:rPr>
        <w:lastRenderedPageBreak/>
        <w:t>总结经验，提高部门管理水平，牢固树立预算绩效理念，强化部门支出责任，提高预算执行效率和财政资金使用效益。</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水利局2019年部门整体支出绩效评价工作。</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水利局2019年部门整体支出绩效评价指标体系共设置4个一级指标、7个二级指标、27个三级指标，从投入、过程、产出、效果四个方面对区水利局部门整体支出情况评分定级。指标体系设定满分为100分，绩效评价分值≥90为“优”；80≤分值＜90为“良”；60≤分值＜80为“合格”；60分以下为“差”。</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区水利局2019年部门整体支出综合评价得分为93.425分，评价等级为“优”。</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经评价，区水利局2019年部门预算编制完整性、项目预算细化率、在职人员控制率、收入完成率、财政拨款支</w:t>
      </w:r>
      <w:r>
        <w:rPr>
          <w:rFonts w:ascii="仿宋_GB2312" w:eastAsia="仿宋_GB2312" w:cs="DengXian-Regular" w:hint="eastAsia"/>
          <w:sz w:val="32"/>
          <w:szCs w:val="32"/>
        </w:rPr>
        <w:lastRenderedPageBreak/>
        <w:t>出完成率、“三公经费”控制率、资金使用合规性、决算真实性、管理制度健全性、预决算信息公开、资产管理规范性、绩效自评覆盖率、绩效评价优等率、结转结余率、部门整体效益等指标完成情况较好。</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1.绩效指标方面：预算指标设置欠清晰和可评价、可衡量性不强，部分项目预算指标没有达到年初预算指标要求。</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2.预算决算比较：预算调整比率较高。</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3.预算追加方面：</w:t>
      </w:r>
      <w:r w:rsidR="001D3D29" w:rsidRPr="001D3D29">
        <w:rPr>
          <w:rFonts w:ascii="仿宋_GB2312" w:eastAsia="仿宋_GB2312" w:cs="DengXian-Regular" w:hint="eastAsia"/>
          <w:sz w:val="32"/>
          <w:szCs w:val="32"/>
        </w:rPr>
        <w:t>制订</w:t>
      </w:r>
      <w:r>
        <w:rPr>
          <w:rFonts w:ascii="仿宋_GB2312" w:eastAsia="仿宋_GB2312" w:cs="DengXian-Regular" w:hint="eastAsia"/>
          <w:sz w:val="32"/>
          <w:szCs w:val="32"/>
        </w:rPr>
        <w:t>预算时，对来年工作预算计划估计不足，存在年度内追加预算较多的情况。</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4.政府采购方面：政府采购限额以下项目的采购还有待进一步规范。</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5.项目资金使用率：主要是部分项目前期工作用时较长，项目进度较慢，项目资金支出没有达到序时要求。</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6.部分基础数据信息方面：基础数据信息</w:t>
      </w:r>
      <w:r>
        <w:rPr>
          <w:rFonts w:ascii="仿宋_GB2312" w:eastAsia="仿宋_GB2312" w:cs="DengXian-Regular"/>
          <w:sz w:val="32"/>
          <w:szCs w:val="32"/>
        </w:rPr>
        <w:t>档案管理</w:t>
      </w:r>
      <w:r>
        <w:rPr>
          <w:rFonts w:ascii="仿宋_GB2312" w:eastAsia="仿宋_GB2312" w:cs="DengXian-Regular" w:hint="eastAsia"/>
          <w:sz w:val="32"/>
          <w:szCs w:val="32"/>
        </w:rPr>
        <w:t>存在不规范、不及时等现象。</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w:t>
      </w:r>
      <w:r>
        <w:rPr>
          <w:rFonts w:ascii="仿宋_GB2312" w:eastAsia="仿宋_GB2312" w:cs="DengXian-Regular" w:hint="eastAsia"/>
          <w:sz w:val="32"/>
          <w:szCs w:val="32"/>
        </w:rPr>
        <w:lastRenderedPageBreak/>
        <w:t>分解为具体的工作任务数，从而使绩效目标可量化，便于对目标实现情况进行考核。</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bookmarkStart w:id="1" w:name="_Toc4346"/>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水利局对项目资金进行梳理，督促项目进度和资金拨付进度，应拨付的资金及时拨付，不具备条件的资金及时收回，同时，对于按规定可以结转至下年的中央及省级项目资金，在下年的项目安排时优先考虑。</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人员经费方面：</w:t>
      </w:r>
      <w:r>
        <w:rPr>
          <w:rFonts w:ascii="仿宋_GB2312" w:eastAsia="仿宋_GB2312" w:cs="DengXian-Regular"/>
          <w:sz w:val="32"/>
          <w:szCs w:val="32"/>
        </w:rPr>
        <w:t>201</w:t>
      </w:r>
      <w:r>
        <w:rPr>
          <w:rFonts w:ascii="仿宋_GB2312" w:eastAsia="仿宋_GB2312" w:cs="DengXian-Regular" w:hint="eastAsia"/>
          <w:sz w:val="32"/>
          <w:szCs w:val="32"/>
        </w:rPr>
        <w:t>9</w:t>
      </w:r>
      <w:r>
        <w:rPr>
          <w:rFonts w:ascii="仿宋_GB2312" w:eastAsia="仿宋_GB2312" w:cs="DengXian-Regular"/>
          <w:sz w:val="32"/>
          <w:szCs w:val="32"/>
        </w:rPr>
        <w:t>年基本支出决算数较预算数增加比例较大，主要原因为</w:t>
      </w:r>
      <w:r>
        <w:rPr>
          <w:rFonts w:ascii="仿宋_GB2312" w:eastAsia="仿宋_GB2312" w:cs="DengXian-Regular" w:hint="eastAsia"/>
          <w:sz w:val="32"/>
          <w:szCs w:val="32"/>
        </w:rPr>
        <w:t>白洋淀上游河道清洁整治</w:t>
      </w:r>
      <w:r>
        <w:rPr>
          <w:rFonts w:ascii="仿宋_GB2312" w:eastAsia="仿宋_GB2312" w:cs="DengXian-Regular"/>
          <w:sz w:val="32"/>
          <w:szCs w:val="32"/>
        </w:rPr>
        <w:t>增加</w:t>
      </w:r>
      <w:r>
        <w:rPr>
          <w:rFonts w:ascii="仿宋_GB2312" w:eastAsia="仿宋_GB2312" w:cs="DengXian-Regular" w:hint="eastAsia"/>
          <w:sz w:val="32"/>
          <w:szCs w:val="32"/>
        </w:rPr>
        <w:t>劳务</w:t>
      </w:r>
      <w:r>
        <w:rPr>
          <w:rFonts w:ascii="仿宋_GB2312" w:eastAsia="仿宋_GB2312" w:cs="DengXian-Regular"/>
          <w:sz w:val="32"/>
          <w:szCs w:val="32"/>
        </w:rPr>
        <w:lastRenderedPageBreak/>
        <w:t>经费支出，建议202</w:t>
      </w:r>
      <w:r>
        <w:rPr>
          <w:rFonts w:ascii="仿宋_GB2312" w:eastAsia="仿宋_GB2312" w:cs="DengXian-Regular" w:hint="eastAsia"/>
          <w:sz w:val="32"/>
          <w:szCs w:val="32"/>
        </w:rPr>
        <w:t>1</w:t>
      </w:r>
      <w:r>
        <w:rPr>
          <w:rFonts w:ascii="仿宋_GB2312" w:eastAsia="仿宋_GB2312" w:cs="DengXian-Regular"/>
          <w:sz w:val="32"/>
          <w:szCs w:val="32"/>
        </w:rPr>
        <w:t>年预算根据</w:t>
      </w:r>
      <w:r>
        <w:rPr>
          <w:rFonts w:ascii="仿宋_GB2312" w:eastAsia="仿宋_GB2312" w:cs="DengXian-Regular" w:hint="eastAsia"/>
          <w:sz w:val="32"/>
          <w:szCs w:val="32"/>
        </w:rPr>
        <w:t>2019年实际发生经费支出，批准列入专项业务经费预算。</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Pr>
          <w:rFonts w:ascii="仿宋_GB2312" w:eastAsia="仿宋_GB2312" w:cs="DengXian-Regular"/>
          <w:sz w:val="32"/>
          <w:szCs w:val="32"/>
        </w:rPr>
        <w:t>201</w:t>
      </w:r>
      <w:r>
        <w:rPr>
          <w:rFonts w:ascii="仿宋_GB2312" w:eastAsia="仿宋_GB2312" w:cs="DengXian-Regular" w:hint="eastAsia"/>
          <w:sz w:val="32"/>
          <w:szCs w:val="32"/>
        </w:rPr>
        <w:t>9</w:t>
      </w:r>
      <w:r>
        <w:rPr>
          <w:rFonts w:ascii="仿宋_GB2312" w:eastAsia="仿宋_GB2312" w:cs="DengXian-Regular"/>
          <w:sz w:val="32"/>
          <w:szCs w:val="32"/>
        </w:rPr>
        <w:t>年项目支出资金使用率较低，</w:t>
      </w:r>
      <w:r>
        <w:rPr>
          <w:rFonts w:ascii="仿宋_GB2312" w:eastAsia="仿宋_GB2312" w:cs="DengXian-Regular" w:hint="eastAsia"/>
          <w:sz w:val="32"/>
          <w:szCs w:val="32"/>
        </w:rPr>
        <w:t>主要原因是部分专项资金下达较晚，不足2个预算年份就要交回财政，建议将该部分项目资金拨入水利局专门账户或临时账户</w:t>
      </w:r>
      <w:r>
        <w:rPr>
          <w:rFonts w:ascii="仿宋_GB2312" w:eastAsia="仿宋_GB2312" w:cs="DengXian-Regular"/>
          <w:sz w:val="32"/>
          <w:szCs w:val="32"/>
        </w:rPr>
        <w:t>。</w:t>
      </w:r>
    </w:p>
    <w:p w:rsidR="00255DE3" w:rsidRDefault="00CD4053">
      <w:pPr>
        <w:pStyle w:val="2"/>
        <w:spacing w:line="54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第二部分   绩效评价报告</w:t>
      </w:r>
      <w:bookmarkEnd w:id="1"/>
    </w:p>
    <w:p w:rsidR="00255DE3" w:rsidRDefault="00CD4053">
      <w:pPr>
        <w:pStyle w:val="2"/>
        <w:spacing w:before="0" w:after="0" w:line="360" w:lineRule="auto"/>
        <w:ind w:firstLineChars="200" w:firstLine="640"/>
        <w:rPr>
          <w:rFonts w:ascii="黑体" w:hAnsi="黑体" w:cs="楷体"/>
          <w:b w:val="0"/>
        </w:rPr>
      </w:pPr>
      <w:bookmarkStart w:id="2" w:name="_Toc427"/>
      <w:bookmarkStart w:id="3" w:name="_Toc492652763"/>
      <w:r>
        <w:rPr>
          <w:rFonts w:ascii="黑体" w:hAnsi="黑体" w:cs="楷体" w:hint="eastAsia"/>
          <w:b w:val="0"/>
        </w:rPr>
        <w:t>一、保定市徐水区水利局单位基本情况</w:t>
      </w:r>
      <w:bookmarkStart w:id="4" w:name="_Toc492652764"/>
      <w:bookmarkEnd w:id="2"/>
      <w:bookmarkEnd w:id="3"/>
    </w:p>
    <w:p w:rsidR="00255DE3" w:rsidRDefault="00CD4053">
      <w:pPr>
        <w:pStyle w:val="3"/>
        <w:spacing w:before="0" w:after="0"/>
        <w:ind w:firstLineChars="200" w:firstLine="640"/>
        <w:jc w:val="both"/>
        <w:rPr>
          <w:rFonts w:ascii="楷体" w:eastAsia="楷体" w:hAnsi="楷体" w:cs="DengXian-Regular"/>
          <w:b w:val="0"/>
          <w:sz w:val="32"/>
        </w:rPr>
      </w:pPr>
      <w:bookmarkStart w:id="5" w:name="_Toc11473"/>
      <w:r>
        <w:rPr>
          <w:rFonts w:ascii="楷体" w:eastAsia="楷体" w:hAnsi="楷体" w:cs="DengXian-Regular" w:hint="eastAsia"/>
          <w:b w:val="0"/>
          <w:sz w:val="32"/>
        </w:rPr>
        <w:t>（一）部门职责和工作活动</w:t>
      </w:r>
      <w:bookmarkEnd w:id="4"/>
      <w:bookmarkEnd w:id="5"/>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保定市徐水区水利局职能配置、内设机构和人员编制规定》的通知，区水利局为区政府工作部门，正科级单位，内设3个股室。区水利局根据绩效预算管理改革的相关要求，按照“部门职责—工作活动绩效目标”的层级设立了绩效预算架构，职责活动包括：</w:t>
      </w:r>
      <w:r>
        <w:rPr>
          <w:rFonts w:ascii="仿宋_GB2312" w:eastAsia="仿宋_GB2312" w:cs="DengXian-Regular"/>
          <w:sz w:val="32"/>
          <w:szCs w:val="32"/>
        </w:rPr>
        <w:t>负责拟订水利战略规划和政策</w:t>
      </w:r>
      <w:r>
        <w:rPr>
          <w:rFonts w:ascii="仿宋_GB2312" w:eastAsia="仿宋_GB2312" w:cs="DengXian-Regular" w:hint="eastAsia"/>
          <w:sz w:val="32"/>
          <w:szCs w:val="32"/>
        </w:rPr>
        <w:t>、</w:t>
      </w:r>
      <w:r>
        <w:rPr>
          <w:rFonts w:ascii="仿宋_GB2312" w:eastAsia="仿宋_GB2312" w:cs="DengXian-Regular"/>
          <w:sz w:val="32"/>
          <w:szCs w:val="32"/>
        </w:rPr>
        <w:t>组织实施最严格水资源管理制度</w:t>
      </w:r>
      <w:r>
        <w:rPr>
          <w:rFonts w:ascii="仿宋_GB2312" w:eastAsia="仿宋_GB2312" w:cs="DengXian-Regular" w:hint="eastAsia"/>
          <w:sz w:val="32"/>
          <w:szCs w:val="32"/>
        </w:rPr>
        <w:t>、</w:t>
      </w:r>
      <w:r>
        <w:rPr>
          <w:rFonts w:ascii="仿宋_GB2312" w:eastAsia="仿宋_GB2312" w:cs="DengXian-Regular"/>
          <w:sz w:val="32"/>
          <w:szCs w:val="32"/>
        </w:rPr>
        <w:t>组织实施监督水利工程建设与运行管理</w:t>
      </w:r>
      <w:r>
        <w:rPr>
          <w:rFonts w:ascii="仿宋_GB2312" w:eastAsia="仿宋_GB2312" w:cs="DengXian-Regular" w:hint="eastAsia"/>
          <w:sz w:val="32"/>
          <w:szCs w:val="32"/>
        </w:rPr>
        <w:t>等共15部分。</w:t>
      </w:r>
      <w:bookmarkStart w:id="6" w:name="_Toc465149499"/>
      <w:bookmarkStart w:id="7" w:name="_Toc7075"/>
      <w:bookmarkStart w:id="8" w:name="_Toc492652765"/>
    </w:p>
    <w:p w:rsidR="00255DE3" w:rsidRDefault="00CD4053">
      <w:pPr>
        <w:spacing w:after="0" w:line="360" w:lineRule="auto"/>
        <w:ind w:firstLineChars="200" w:firstLine="640"/>
        <w:jc w:val="both"/>
        <w:textAlignment w:val="baseline"/>
        <w:rPr>
          <w:rFonts w:ascii="楷体" w:eastAsia="楷体" w:hAnsi="楷体" w:cs="DengXian-Regular"/>
          <w:sz w:val="32"/>
        </w:rPr>
      </w:pPr>
      <w:r>
        <w:rPr>
          <w:rFonts w:ascii="楷体" w:eastAsia="楷体" w:hAnsi="楷体" w:cs="DengXian-Regular" w:hint="eastAsia"/>
          <w:sz w:val="32"/>
        </w:rPr>
        <w:t>（二）</w:t>
      </w:r>
      <w:bookmarkEnd w:id="6"/>
      <w:r>
        <w:rPr>
          <w:rFonts w:ascii="楷体" w:eastAsia="楷体" w:hAnsi="楷体" w:cs="DengXian-Regular" w:hint="eastAsia"/>
          <w:sz w:val="32"/>
        </w:rPr>
        <w:t>部门年度发展规划总体目标和职责分类绩效目标</w:t>
      </w:r>
      <w:bookmarkEnd w:id="7"/>
      <w:bookmarkEnd w:id="8"/>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lastRenderedPageBreak/>
        <w:t>按照2019年绩效预算编制要求，区水利局设置的年度发展规划总体目标为：以习近平总书记</w:t>
      </w:r>
      <w:r>
        <w:rPr>
          <w:rFonts w:ascii="仿宋" w:eastAsia="仿宋" w:hAnsi="仿宋" w:cs="DengXian-Regular"/>
          <w:b w:val="0"/>
          <w:sz w:val="32"/>
        </w:rPr>
        <w:t>“</w:t>
      </w:r>
      <w:r>
        <w:rPr>
          <w:rFonts w:ascii="仿宋" w:eastAsia="仿宋" w:hAnsi="仿宋" w:cs="DengXian-Regular" w:hint="eastAsia"/>
          <w:b w:val="0"/>
          <w:sz w:val="32"/>
        </w:rPr>
        <w:t>节水优先、空间均衡、系统治理、两手发力</w:t>
      </w:r>
      <w:r>
        <w:rPr>
          <w:rFonts w:ascii="仿宋" w:eastAsia="仿宋" w:hAnsi="仿宋" w:cs="DengXian-Regular"/>
          <w:b w:val="0"/>
          <w:sz w:val="32"/>
        </w:rPr>
        <w:t>”</w:t>
      </w:r>
      <w:r>
        <w:rPr>
          <w:rFonts w:ascii="仿宋" w:eastAsia="仿宋" w:hAnsi="仿宋" w:cs="DengXian-Regular" w:hint="eastAsia"/>
          <w:b w:val="0"/>
          <w:sz w:val="32"/>
        </w:rPr>
        <w:t>的治水思路，紧紧围绕全面深化改革的总体要求，牢牢把握京津冀协同发展、服务雄安新区规划建设和白洋淀上游生态文明建设的战略部署，以</w:t>
      </w:r>
      <w:r>
        <w:rPr>
          <w:rFonts w:ascii="仿宋" w:eastAsia="仿宋" w:hAnsi="仿宋" w:cs="DengXian-Regular"/>
          <w:b w:val="0"/>
          <w:sz w:val="32"/>
        </w:rPr>
        <w:t>“</w:t>
      </w:r>
      <w:r>
        <w:rPr>
          <w:rFonts w:ascii="仿宋" w:eastAsia="仿宋" w:hAnsi="仿宋" w:cs="DengXian-Regular" w:hint="eastAsia"/>
          <w:b w:val="0"/>
          <w:sz w:val="32"/>
        </w:rPr>
        <w:t>水利工程补短板、水利行业强监管</w:t>
      </w:r>
      <w:r>
        <w:rPr>
          <w:rFonts w:ascii="仿宋" w:eastAsia="仿宋" w:hAnsi="仿宋" w:cs="DengXian-Regular"/>
          <w:b w:val="0"/>
          <w:sz w:val="32"/>
        </w:rPr>
        <w:t>”</w:t>
      </w:r>
      <w:r>
        <w:rPr>
          <w:rFonts w:ascii="仿宋" w:eastAsia="仿宋" w:hAnsi="仿宋" w:cs="DengXian-Regular" w:hint="eastAsia"/>
          <w:b w:val="0"/>
          <w:sz w:val="32"/>
        </w:rPr>
        <w:t>为工作目标，认真贯彻坚持与时俱进、因水制宜，以节水供水重大水利工程和民生水利建设为重点，以推进水利现代化进程为主线，以提升水安全保障能力为目的，通过建设调水蓄水、防洪保安、生态修复、民生水利等一批水利工程，加强水资源、河湖水域、水利工程、洪水风险等重点方面管理，不断完善水法规体系，深化水利</w:t>
      </w:r>
      <w:r>
        <w:rPr>
          <w:rFonts w:ascii="仿宋" w:eastAsia="仿宋" w:hAnsi="仿宋" w:cs="DengXian-Regular"/>
          <w:b w:val="0"/>
          <w:sz w:val="32"/>
        </w:rPr>
        <w:t>“</w:t>
      </w:r>
      <w:r>
        <w:rPr>
          <w:rFonts w:ascii="仿宋" w:eastAsia="仿宋" w:hAnsi="仿宋" w:cs="DengXian-Regular" w:hint="eastAsia"/>
          <w:b w:val="0"/>
          <w:sz w:val="32"/>
        </w:rPr>
        <w:t>放管服</w:t>
      </w:r>
      <w:r>
        <w:rPr>
          <w:rFonts w:ascii="仿宋" w:eastAsia="仿宋" w:hAnsi="仿宋" w:cs="DengXian-Regular"/>
          <w:b w:val="0"/>
          <w:sz w:val="32"/>
        </w:rPr>
        <w:t>”</w:t>
      </w:r>
      <w:r>
        <w:rPr>
          <w:rFonts w:ascii="仿宋" w:eastAsia="仿宋" w:hAnsi="仿宋" w:cs="DengXian-Regular" w:hint="eastAsia"/>
          <w:b w:val="0"/>
          <w:sz w:val="32"/>
        </w:rPr>
        <w:t>、水权水价、生态补偿、治水体制机制等一系列重大改革，统筹水资源、水生态、水环境安全问题，整体推进节约保护、开发利用、资源配置，加快推进从供水管理向需水管理转变，从粗放用水向集约用水方式转变，从过度开发水资源向主动保护水资源转变，从单一治理向系统治理转变，科学治水，依法治水，严格控制用水总量和提高用水效率</w:t>
      </w:r>
      <w:r>
        <w:rPr>
          <w:rFonts w:ascii="仿宋" w:eastAsia="仿宋" w:hAnsi="仿宋" w:cs="DengXian-Regular"/>
          <w:b w:val="0"/>
          <w:sz w:val="32"/>
        </w:rPr>
        <w:t>,</w:t>
      </w:r>
      <w:r>
        <w:rPr>
          <w:rFonts w:ascii="仿宋" w:eastAsia="仿宋" w:hAnsi="仿宋" w:cs="DengXian-Regular" w:hint="eastAsia"/>
          <w:b w:val="0"/>
          <w:sz w:val="32"/>
        </w:rPr>
        <w:t>坚持统筹兼顾，保障合理用水需求和水资源的可持续利用，为经济社会发展提供水安全保障。</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职责分类绩效目标为：</w:t>
      </w:r>
    </w:p>
    <w:p w:rsidR="00255DE3" w:rsidRDefault="00CD4053">
      <w:pPr>
        <w:pStyle w:val="3"/>
        <w:spacing w:before="0" w:after="0"/>
        <w:ind w:firstLineChars="200" w:firstLine="640"/>
        <w:jc w:val="both"/>
        <w:rPr>
          <w:rFonts w:ascii="仿宋" w:eastAsia="仿宋" w:hAnsi="仿宋" w:cs="DengXian-Regular"/>
          <w:b w:val="0"/>
          <w:sz w:val="32"/>
        </w:rPr>
      </w:pPr>
      <w:bookmarkStart w:id="9" w:name="_Toc1678"/>
      <w:bookmarkStart w:id="10" w:name="_Toc465149500"/>
      <w:bookmarkStart w:id="11" w:name="_Toc492652766"/>
      <w:r>
        <w:rPr>
          <w:rFonts w:ascii="仿宋" w:eastAsia="仿宋" w:hAnsi="仿宋" w:cs="DengXian-Regular" w:hint="eastAsia"/>
          <w:b w:val="0"/>
          <w:sz w:val="32"/>
        </w:rPr>
        <w:t>1.组织实施水利工程建设</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lastRenderedPageBreak/>
        <w:t>绩效目标：按期保质保量完成水利工程建设任务。</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绩效指标：实施水利工程建设质量监督率和水利工程建设任务完成率达到90%以上。</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2.组织实施水利工程运行与维护，保障水利工程安全运行</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绩效目标：及时对水利工程实施维修养护，有效保障水利工程正常运行，充分发挥水利工程的社会和经济效益。</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绩效指标：水利工程运行与维护项目完成率、验收合格率达到90%以上。</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3.开展农田水利建设</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绩效目标：发展节水灌溉面积，推广综合节水技术。</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绩效指标：节水灌溉面积</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4.保障农村饮水安全</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绩效目标：通过实施农村饮水安全项目，解决农村居民饮水安全问题。</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绩效指标：解决农村饮用水安全人口情况，农村饮用水安全工程完成量</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5.水库移民安置及后期管理</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绩效目标：</w:t>
      </w:r>
      <w:r>
        <w:rPr>
          <w:rFonts w:ascii="仿宋" w:eastAsia="仿宋" w:hAnsi="仿宋" w:cs="DengXian-Regular"/>
          <w:b w:val="0"/>
          <w:sz w:val="32"/>
        </w:rPr>
        <w:t xml:space="preserve"> </w:t>
      </w:r>
      <w:r>
        <w:rPr>
          <w:rFonts w:ascii="仿宋" w:eastAsia="仿宋" w:hAnsi="仿宋" w:cs="DengXian-Regular" w:hint="eastAsia"/>
          <w:b w:val="0"/>
          <w:sz w:val="32"/>
        </w:rPr>
        <w:t>落实水库移民政策，扶持移民发展生产，保持移民稳定。增加移民收入，改善移民生产生活条件，促进移民稳定</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绩效指标：移民生产生活条件改善情况，明显改善。</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lastRenderedPageBreak/>
        <w:t>6.水资源管理</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绩效目标：统一管理全区水资源，组织实施全区水资源节约、保护、配置、监督管理等工作。用水总量、地下水开采总量、万元工业增加值用水量都控制在计划范围以内</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绩效指标：用水总量、地下水开采总量、万元工业增加值用水量都控制在计划范围以内</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7.水土保持</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绩效目标：拟定水土保持规划并监督实施，负责建设项目水土保持监督管理工作。</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绩效指标：加强对区域内所有建设项目水土保持监督管理工作。水土流失治理面积</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8.防汛抗旱工作</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目标：发挥防洪减灾体系作用，最大限度地减少洪涝灾害造成的人员伤亡和财产损失；各类洪水调度方案和预案修订完善、监测预警通信设施维护、会商系统维护、水旱灾旱防御宣传。发挥防汛抗旱减灾体系作用，最大限度地减少水旱灾害造成的人员伤亡和财产损失。</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绩效指标：根据工情修订完善水库、河道等方案预案，对全区监测预警通信设施维护保养，汛前完成。物资</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9.按时完成区委、区政府交办其他工作任务</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lastRenderedPageBreak/>
        <w:t>绩效目标：贯彻落实党中央、国务院和省委、省政府、市委、市政府、区委、区政府关于河长制湖长制的决策部署，办理区级总河湖长、区级河长湖长交办的事项，协助区级总河湖长、区级河长湖长对各乡镇、各部门履行河长制湖长制相关职责进行指导、协调、监督和考核。</w:t>
      </w:r>
    </w:p>
    <w:p w:rsidR="00255DE3" w:rsidRDefault="00CD4053">
      <w:pPr>
        <w:pStyle w:val="3"/>
        <w:spacing w:before="0" w:after="0"/>
        <w:ind w:firstLineChars="200" w:firstLine="640"/>
        <w:jc w:val="both"/>
        <w:rPr>
          <w:rFonts w:ascii="仿宋" w:eastAsia="仿宋" w:hAnsi="仿宋" w:cs="DengXian-Regular"/>
          <w:b w:val="0"/>
          <w:sz w:val="32"/>
        </w:rPr>
      </w:pPr>
      <w:r>
        <w:rPr>
          <w:rFonts w:ascii="仿宋" w:eastAsia="仿宋" w:hAnsi="仿宋" w:cs="DengXian-Regular" w:hint="eastAsia"/>
          <w:b w:val="0"/>
          <w:sz w:val="32"/>
        </w:rPr>
        <w:t>绩效指标：对全区河道、水库通过实地巡查、无人机飞检拍摄影像照片，并对检查成果进行分析研判，形成相关报告，发现河湖问题及时交办。</w:t>
      </w:r>
    </w:p>
    <w:p w:rsidR="00255DE3" w:rsidRDefault="00CD4053">
      <w:pPr>
        <w:spacing w:after="0" w:line="360" w:lineRule="auto"/>
        <w:ind w:firstLineChars="200" w:firstLine="640"/>
        <w:jc w:val="both"/>
        <w:textAlignment w:val="baseline"/>
        <w:rPr>
          <w:rFonts w:ascii="楷体" w:eastAsia="楷体" w:hAnsi="楷体" w:cs="DengXian-Regular"/>
          <w:sz w:val="32"/>
          <w:szCs w:val="32"/>
        </w:rPr>
      </w:pPr>
      <w:r>
        <w:rPr>
          <w:rFonts w:ascii="楷体" w:eastAsia="楷体" w:hAnsi="楷体" w:cs="DengXian-Regular" w:hint="eastAsia"/>
          <w:sz w:val="32"/>
          <w:szCs w:val="32"/>
        </w:rPr>
        <w:t>（三）部门预算收入及决算收入</w:t>
      </w:r>
      <w:bookmarkEnd w:id="9"/>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2019年区水利局预算收入5997.56万元，其中一般公共预算拨款4661.2万元</w:t>
      </w:r>
      <w:r>
        <w:rPr>
          <w:rFonts w:ascii="仿宋_GB2312" w:eastAsia="仿宋_GB2312" w:cs="DengXian-Regular" w:hint="eastAsia"/>
          <w:i/>
          <w:sz w:val="32"/>
          <w:szCs w:val="32"/>
        </w:rPr>
        <w:t>，</w:t>
      </w:r>
      <w:r>
        <w:rPr>
          <w:rFonts w:ascii="仿宋_GB2312" w:eastAsia="仿宋_GB2312" w:cs="DengXian-Regular" w:hint="eastAsia"/>
          <w:sz w:val="32"/>
          <w:szCs w:val="32"/>
        </w:rPr>
        <w:t>政府性基金预算财政拨款1336.36万元，其中：财政拨款5997.56万元，中央财政提前通知转移支付1137.32万元。预算收入按功能分类包含：社会保障和就业支出1111.32万元，卫生健康支出110.45万元，城乡社区支出668.7万元，农林水支出3933.05万元，住房保障支出174.04万元。具体预算收入详见附件2。</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年区水利局决算收入7757.11万元，其中：财政拨款收入7756.62万元，其他收入0.49万元（全部为利息收入）。决算收入按功能分类包含：社会保障和就业支出1648.39万元，占比21%；卫生健康支出87.77万元，占比1%；城乡社区支出296.08万元，占比4%；农林水支出</w:t>
      </w:r>
      <w:r>
        <w:rPr>
          <w:rFonts w:ascii="仿宋_GB2312" w:eastAsia="仿宋_GB2312" w:cs="DengXian-Regular" w:hint="eastAsia"/>
          <w:sz w:val="32"/>
          <w:szCs w:val="32"/>
        </w:rPr>
        <w:lastRenderedPageBreak/>
        <w:t>5551.14万元，占比72%；住房保障支出173.72万元，占比2%；具体决算收入详见附件2。</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决算收入结构如图1。</w:t>
      </w:r>
    </w:p>
    <w:p w:rsidR="00255DE3" w:rsidRDefault="00CD4053">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图1  2019年度区水利局决算收入结构图</w:t>
      </w:r>
    </w:p>
    <w:p w:rsidR="00255DE3" w:rsidRDefault="00CD4053">
      <w:pPr>
        <w:spacing w:after="0" w:line="360" w:lineRule="auto"/>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b/>
          <w:bCs/>
          <w:noProof/>
          <w:sz w:val="32"/>
          <w:szCs w:val="32"/>
        </w:rPr>
        <w:drawing>
          <wp:inline distT="0" distB="0" distL="0" distR="0">
            <wp:extent cx="5010150" cy="2924175"/>
            <wp:effectExtent l="19050" t="0" r="190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保定市徐水区水利局一般公共预算财政拨款决算收入比年初预算增加1798.67万元，完成年初预算的139%。政府性基金预算财政拨款决算收入比年初预算减少39.62万元,完成年初预算额的97%。决算收入大于预算收入的主要原因为2019年度区水利局单位项目实施较年初预算增加，影响收入增长所致，年初预算项目收入2614.52万元，决算项目收入金额4484.88万元。预算收入与决算收入对比情况见图2。</w:t>
      </w:r>
    </w:p>
    <w:p w:rsidR="00255DE3" w:rsidRDefault="00CD4053">
      <w:pPr>
        <w:spacing w:after="0" w:line="360" w:lineRule="auto"/>
        <w:jc w:val="center"/>
        <w:rPr>
          <w:rFonts w:asciiTheme="minorEastAsia" w:eastAsiaTheme="minorEastAsia" w:hAnsiTheme="minorEastAsia" w:cstheme="minorEastAsia"/>
          <w:b/>
          <w:sz w:val="32"/>
          <w:szCs w:val="32"/>
          <w:u w:color="000000"/>
        </w:rPr>
      </w:pPr>
      <w:r>
        <w:rPr>
          <w:rFonts w:asciiTheme="minorEastAsia" w:eastAsiaTheme="minorEastAsia" w:hAnsiTheme="minorEastAsia" w:cstheme="minorEastAsia" w:hint="eastAsia"/>
          <w:b/>
          <w:sz w:val="32"/>
          <w:szCs w:val="32"/>
          <w:u w:color="000000"/>
        </w:rPr>
        <w:t>图2  2019年度区水利局单位预算收入与决算收入对比图</w:t>
      </w:r>
    </w:p>
    <w:p w:rsidR="00255DE3" w:rsidRDefault="00CD4053">
      <w:pPr>
        <w:spacing w:after="0" w:line="360" w:lineRule="auto"/>
        <w:rPr>
          <w:rFonts w:asciiTheme="minorEastAsia" w:eastAsiaTheme="minorEastAsia" w:hAnsiTheme="minorEastAsia" w:cstheme="minorEastAsia"/>
          <w:b/>
          <w:sz w:val="32"/>
          <w:szCs w:val="32"/>
          <w:u w:color="000000"/>
        </w:rPr>
      </w:pPr>
      <w:r>
        <w:rPr>
          <w:rFonts w:asciiTheme="minorEastAsia" w:eastAsiaTheme="minorEastAsia" w:hAnsiTheme="minorEastAsia" w:cstheme="minorEastAsia"/>
          <w:b/>
          <w:noProof/>
          <w:sz w:val="32"/>
          <w:szCs w:val="32"/>
          <w:u w:color="000000"/>
        </w:rPr>
        <w:lastRenderedPageBreak/>
        <w:drawing>
          <wp:inline distT="0" distB="0" distL="0" distR="0">
            <wp:extent cx="5343525" cy="266700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5DE3" w:rsidRDefault="00255DE3">
      <w:pPr>
        <w:spacing w:after="0" w:line="360" w:lineRule="auto"/>
        <w:jc w:val="center"/>
        <w:rPr>
          <w:rFonts w:ascii="仿宋_GB2312" w:eastAsia="仿宋_GB2312" w:hAnsiTheme="minorEastAsia" w:cs="Times New Roman"/>
          <w:bCs/>
          <w:sz w:val="32"/>
          <w:szCs w:val="32"/>
          <w:u w:color="000000"/>
        </w:rPr>
      </w:pPr>
    </w:p>
    <w:p w:rsidR="00255DE3" w:rsidRDefault="00CD4053">
      <w:pPr>
        <w:pStyle w:val="3"/>
        <w:spacing w:before="0" w:after="0"/>
        <w:ind w:firstLineChars="200" w:firstLine="640"/>
        <w:jc w:val="both"/>
        <w:rPr>
          <w:rFonts w:ascii="楷体" w:eastAsia="楷体" w:hAnsi="楷体"/>
          <w:b w:val="0"/>
          <w:sz w:val="32"/>
        </w:rPr>
      </w:pPr>
      <w:bookmarkStart w:id="12" w:name="_Toc18197"/>
      <w:r>
        <w:rPr>
          <w:rFonts w:ascii="楷体" w:eastAsia="楷体" w:hAnsi="楷体" w:hint="eastAsia"/>
          <w:b w:val="0"/>
          <w:sz w:val="32"/>
        </w:rPr>
        <w:t>（四）预算支出及决算</w:t>
      </w:r>
      <w:bookmarkEnd w:id="10"/>
      <w:bookmarkEnd w:id="11"/>
      <w:r>
        <w:rPr>
          <w:rFonts w:ascii="楷体" w:eastAsia="楷体" w:hAnsi="楷体" w:hint="eastAsia"/>
          <w:b w:val="0"/>
          <w:sz w:val="32"/>
        </w:rPr>
        <w:t>支出</w:t>
      </w:r>
      <w:bookmarkEnd w:id="12"/>
    </w:p>
    <w:p w:rsidR="00255DE3" w:rsidRDefault="00CD405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2019年度区水利局</w:t>
      </w:r>
      <w:r>
        <w:rPr>
          <w:rFonts w:ascii="仿宋_GB2312" w:eastAsia="仿宋_GB2312" w:hAnsiTheme="minorEastAsia" w:cs="Times New Roman" w:hint="eastAsia"/>
          <w:sz w:val="32"/>
          <w:szCs w:val="32"/>
          <w:u w:color="000000"/>
        </w:rPr>
        <w:t>预算支出安排5997.56万元，其中：基本支出3383.04万元，项目支出2614.52万元。预算支出按功能分类包含：社会保障和就业支出1111.32万元，卫生健康支出110.45万元，城乡社区支出668.7万元，农林水支出3933.05万元，住房保障支出174.04万元。具体预算支出详见附件2。</w:t>
      </w:r>
    </w:p>
    <w:p w:rsidR="00255DE3" w:rsidRDefault="00CD405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2019年度区水利局</w:t>
      </w:r>
      <w:r>
        <w:rPr>
          <w:rFonts w:ascii="仿宋_GB2312" w:eastAsia="仿宋_GB2312" w:hAnsiTheme="minorEastAsia" w:cs="Times New Roman" w:hint="eastAsia"/>
          <w:sz w:val="32"/>
          <w:szCs w:val="32"/>
          <w:u w:color="000000"/>
        </w:rPr>
        <w:t>决算支出为7841.27万元，其中：基本支出3356.39万元，项目支出4484.88万元。决算支出按功能分类包含：社会保障和就业支出1790.86万元，占比23%；卫生健康支出87.77万元，占比1%；城乡社区支出296.08万元，占比4%；农林水支出5492.84万元，占比70%；住房保障支出173.72万元，占比2%。具体决算支出详见附件2。</w:t>
      </w:r>
    </w:p>
    <w:p w:rsidR="00255DE3" w:rsidRDefault="00CD405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决算支出结构如图3。</w:t>
      </w:r>
    </w:p>
    <w:p w:rsidR="00255DE3" w:rsidRDefault="00CD4053">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图3  2019年度区水利局决算支出结构图</w:t>
      </w:r>
    </w:p>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noProof/>
          <w:sz w:val="32"/>
          <w:szCs w:val="32"/>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5DE3" w:rsidRDefault="00CD4053">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财政拨款决算支出比年初预算增加1843.71万元。决算支出完成年初预算的131%。</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主要原因为2019年度实施项目较年初预算增加，项目的增加影响2019年度决算支出较年初预算增长</w:t>
      </w:r>
      <w:r>
        <w:rPr>
          <w:rFonts w:ascii="仿宋" w:eastAsia="仿宋" w:hAnsi="仿宋" w:hint="eastAsia"/>
          <w:snapToGrid w:val="0"/>
          <w:sz w:val="32"/>
          <w:szCs w:val="32"/>
        </w:rPr>
        <w:t>。预算支出与决算支出对比情况如图4。</w:t>
      </w:r>
    </w:p>
    <w:p w:rsidR="00255DE3" w:rsidRDefault="00CD4053">
      <w:pPr>
        <w:spacing w:after="0" w:line="360" w:lineRule="auto"/>
        <w:jc w:val="center"/>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图4  2019年度区水利局预算支出与决算支出对比图</w:t>
      </w:r>
    </w:p>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noProof/>
          <w:sz w:val="32"/>
          <w:szCs w:val="32"/>
        </w:rPr>
        <w:lastRenderedPageBreak/>
        <w:drawing>
          <wp:inline distT="0" distB="0" distL="0" distR="0">
            <wp:extent cx="5114925" cy="3362325"/>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5DE3" w:rsidRDefault="00CD4053">
      <w:pPr>
        <w:pStyle w:val="3"/>
        <w:spacing w:before="0" w:after="0"/>
        <w:ind w:firstLineChars="200" w:firstLine="640"/>
        <w:jc w:val="both"/>
        <w:rPr>
          <w:rFonts w:ascii="楷体" w:eastAsia="楷体" w:hAnsi="楷体" w:cs="DengXian-Regular"/>
          <w:b w:val="0"/>
          <w:sz w:val="32"/>
        </w:rPr>
      </w:pPr>
      <w:bookmarkStart w:id="13" w:name="_Toc465149503"/>
      <w:bookmarkStart w:id="14" w:name="_Toc19291"/>
      <w:bookmarkStart w:id="15" w:name="_Toc492652769"/>
      <w:r>
        <w:rPr>
          <w:rFonts w:ascii="楷体" w:eastAsia="楷体" w:hAnsi="楷体" w:cs="DengXian-Regular" w:hint="eastAsia"/>
          <w:b w:val="0"/>
          <w:sz w:val="32"/>
        </w:rPr>
        <w:t>（五）“三公”经费预算安排及支出情况</w:t>
      </w:r>
      <w:bookmarkEnd w:id="13"/>
      <w:bookmarkEnd w:id="14"/>
      <w:bookmarkEnd w:id="15"/>
    </w:p>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2019年区水利局“三公”经费预算23.6万元（公务用车运行维护费22.8万元，公务接待费0.8万元），实际支出14.21万元（公务用车运行维护费13.99万元，公务接待费0.22万元），比预算减少9.39万元，节约率40%。2019年“三公”经费预算数与2018年预算数相比无变化，决算数与2018年实际支出相比，减少3.59万元。具体详见表1。</w:t>
      </w:r>
    </w:p>
    <w:p w:rsidR="00255DE3" w:rsidRDefault="00CD4053">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表1  区水利局“三公”经费预算及决算明细表</w:t>
      </w:r>
    </w:p>
    <w:p w:rsidR="00255DE3" w:rsidRDefault="00CD4053">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255DE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55DE3" w:rsidRDefault="00CD405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55DE3" w:rsidRDefault="00CD405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55DE3" w:rsidRDefault="00CD405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2018年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255DE3" w:rsidRDefault="00CD405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2019年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5DE3" w:rsidRDefault="00CD4053">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255DE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55DE3" w:rsidRDefault="00255DE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55DE3" w:rsidRDefault="00255DE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55DE3" w:rsidRDefault="00CD405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255DE3" w:rsidRDefault="00CD405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55DE3" w:rsidRDefault="00CD405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55DE3" w:rsidRDefault="00CD405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55DE3" w:rsidRDefault="00CD405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55DE3" w:rsidRDefault="00CD4053">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255DE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255DE3">
            <w:pPr>
              <w:spacing w:after="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255DE3">
            <w:pPr>
              <w:spacing w:after="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255DE3">
            <w:pPr>
              <w:spacing w:after="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255DE3">
            <w:pPr>
              <w:spacing w:after="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255DE3">
            <w:pPr>
              <w:spacing w:after="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255DE3">
            <w:pPr>
              <w:spacing w:after="0"/>
              <w:jc w:val="center"/>
              <w:textAlignment w:val="center"/>
              <w:rPr>
                <w:rFonts w:asciiTheme="minorEastAsia" w:eastAsiaTheme="minorEastAsia" w:hAnsiTheme="minorEastAsia" w:cstheme="minorEastAsia"/>
                <w:color w:val="000000"/>
                <w:sz w:val="21"/>
                <w:szCs w:val="21"/>
              </w:rPr>
            </w:pPr>
          </w:p>
        </w:tc>
      </w:tr>
      <w:tr w:rsidR="00255DE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22.8</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17.71</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22.8</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13.99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-3.72</w:t>
            </w:r>
          </w:p>
        </w:tc>
      </w:tr>
      <w:tr w:rsidR="00255DE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0.8</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0.09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0.8</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0.22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0.13</w:t>
            </w:r>
          </w:p>
        </w:tc>
      </w:tr>
      <w:tr w:rsidR="00255DE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23.6</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17.8</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23.6</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14.21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55DE3" w:rsidRDefault="00CD4053">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-3.59</w:t>
            </w:r>
          </w:p>
        </w:tc>
      </w:tr>
    </w:tbl>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2019年底区水利局车辆合计10辆，其中公务用车5辆，特种专业技术用车1辆，其他用车4辆。2019年公务用车购置及运维费年初预算22.8万元，全部为公务用车运行维护费，实际支出13.99万元，比预算减少8.81万元，节约率3.86%。2019年预算数与2018年预算相比无变化，决算数与2018年实际支出相比，减少3.72万元。</w:t>
      </w:r>
    </w:p>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2、公务接待：2019年区水利局公务接待费年初预算0.8万元，实际支出0.22万元，比预算减少了0.58万元，节约率72.5%。2019年预算数与2018年预算相比无变化，决算数与2018年实际支出相比，增加0.13万元。</w:t>
      </w:r>
    </w:p>
    <w:p w:rsidR="00255DE3" w:rsidRDefault="00CD4053">
      <w:pPr>
        <w:pStyle w:val="2"/>
        <w:spacing w:before="0" w:after="0" w:line="360" w:lineRule="auto"/>
        <w:ind w:firstLineChars="200" w:firstLine="640"/>
        <w:rPr>
          <w:rFonts w:ascii="黑体" w:hAnsiTheme="minorEastAsia"/>
          <w:b w:val="0"/>
          <w:u w:color="000000"/>
        </w:rPr>
      </w:pPr>
      <w:bookmarkStart w:id="16" w:name="_Toc492652770"/>
      <w:bookmarkStart w:id="17" w:name="_Toc20454"/>
      <w:bookmarkStart w:id="18" w:name="_Toc465149504"/>
      <w:r>
        <w:rPr>
          <w:rFonts w:ascii="黑体" w:hint="eastAsia"/>
          <w:b w:val="0"/>
        </w:rPr>
        <w:t>二、部门整体支出绩效评价指标体系设定情况</w:t>
      </w:r>
      <w:bookmarkEnd w:id="16"/>
      <w:bookmarkEnd w:id="17"/>
    </w:p>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rsidR="00255DE3" w:rsidRDefault="00CD4053">
      <w:pPr>
        <w:spacing w:after="0" w:line="360" w:lineRule="auto"/>
        <w:ind w:firstLineChars="200" w:firstLine="640"/>
        <w:jc w:val="both"/>
        <w:rPr>
          <w:rFonts w:ascii="楷体" w:eastAsia="楷体" w:hAnsi="楷体" w:cs="Times New Roman"/>
          <w:bCs/>
          <w:kern w:val="2"/>
          <w:sz w:val="32"/>
          <w:szCs w:val="32"/>
          <w:u w:color="000000"/>
        </w:rPr>
      </w:pPr>
      <w:r>
        <w:rPr>
          <w:rFonts w:ascii="楷体" w:eastAsia="楷体" w:hAnsi="楷体" w:cs="Times New Roman" w:hint="eastAsia"/>
          <w:bCs/>
          <w:kern w:val="2"/>
          <w:sz w:val="32"/>
          <w:szCs w:val="32"/>
          <w:u w:color="000000"/>
        </w:rPr>
        <w:t>（一）投入（12分）</w:t>
      </w:r>
      <w:bookmarkEnd w:id="19"/>
      <w:bookmarkEnd w:id="20"/>
    </w:p>
    <w:p w:rsidR="00255DE3" w:rsidRDefault="00CD4053">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主要反映绩效目标设定是否合理、科学，绩效指标的制定是否清晰、可衡量，预算编制是否完整，项目预算是否细化及在职人员控制情况。</w:t>
      </w:r>
    </w:p>
    <w:p w:rsidR="00255DE3" w:rsidRDefault="00CD4053">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投入指标指标分值为12分，下设2个二级指标：绩效目标设定和预算配置，6个三级指标：绩效目标合理性、绩效目标科学性、绩效指标明确性、预算编制完整性、项目预算细化率、在职人员控制率。</w:t>
      </w:r>
    </w:p>
    <w:p w:rsidR="00255DE3" w:rsidRDefault="00CD4053">
      <w:pPr>
        <w:pStyle w:val="3"/>
        <w:spacing w:before="0" w:after="0"/>
        <w:ind w:firstLineChars="200" w:firstLine="640"/>
        <w:jc w:val="both"/>
        <w:rPr>
          <w:rFonts w:ascii="楷体" w:eastAsia="楷体" w:hAnsi="楷体"/>
          <w:b w:val="0"/>
          <w:sz w:val="32"/>
        </w:rPr>
      </w:pPr>
      <w:bookmarkStart w:id="21" w:name="_Toc492652772"/>
      <w:bookmarkStart w:id="22" w:name="_Toc30221"/>
      <w:r>
        <w:rPr>
          <w:rFonts w:ascii="楷体" w:eastAsia="楷体" w:hAnsi="楷体" w:hint="eastAsia"/>
          <w:b w:val="0"/>
          <w:kern w:val="2"/>
          <w:sz w:val="32"/>
        </w:rPr>
        <w:t>（二）过程（48分）</w:t>
      </w:r>
      <w:bookmarkEnd w:id="21"/>
      <w:bookmarkEnd w:id="22"/>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255DE3" w:rsidRDefault="00CD4053">
      <w:pPr>
        <w:pStyle w:val="3"/>
        <w:spacing w:before="0" w:after="0"/>
        <w:ind w:firstLineChars="200" w:firstLine="640"/>
        <w:jc w:val="both"/>
        <w:rPr>
          <w:rFonts w:ascii="楷体" w:eastAsia="楷体" w:hAnsi="楷体"/>
          <w:b w:val="0"/>
          <w:kern w:val="2"/>
          <w:sz w:val="32"/>
        </w:rPr>
      </w:pPr>
      <w:bookmarkStart w:id="23" w:name="_Toc492652773"/>
      <w:bookmarkStart w:id="24" w:name="_Toc24932"/>
      <w:r>
        <w:rPr>
          <w:rFonts w:ascii="楷体" w:eastAsia="楷体" w:hAnsi="楷体" w:hint="eastAsia"/>
          <w:b w:val="0"/>
          <w:kern w:val="2"/>
          <w:sz w:val="32"/>
        </w:rPr>
        <w:t>（三）产出（25分）</w:t>
      </w:r>
      <w:bookmarkEnd w:id="23"/>
      <w:bookmarkEnd w:id="24"/>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产出指标指标分值为25分，下设1个二级指标：责任履行，5个三级指标：结转结余率、项目资金使用率。</w:t>
      </w:r>
    </w:p>
    <w:p w:rsidR="00255DE3" w:rsidRDefault="00CD4053">
      <w:pPr>
        <w:pStyle w:val="3"/>
        <w:spacing w:before="0" w:after="0"/>
        <w:ind w:firstLineChars="200" w:firstLine="640"/>
        <w:jc w:val="both"/>
        <w:rPr>
          <w:rFonts w:ascii="楷体" w:eastAsia="楷体" w:hAnsi="楷体"/>
          <w:b w:val="0"/>
          <w:sz w:val="32"/>
        </w:rPr>
      </w:pPr>
      <w:bookmarkStart w:id="26" w:name="_Toc21821"/>
      <w:r>
        <w:rPr>
          <w:rFonts w:ascii="楷体" w:eastAsia="楷体" w:hAnsi="楷体" w:hint="eastAsia"/>
          <w:b w:val="0"/>
          <w:kern w:val="2"/>
          <w:sz w:val="32"/>
        </w:rPr>
        <w:lastRenderedPageBreak/>
        <w:t>（四）效果（15分）</w:t>
      </w:r>
      <w:bookmarkEnd w:id="25"/>
      <w:bookmarkEnd w:id="26"/>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效果指标指标分值15分，下设1个二级指标：履职效率，2个三级指标：部门整体效益和考核满意度。</w:t>
      </w:r>
    </w:p>
    <w:p w:rsidR="00255DE3" w:rsidRDefault="00CD4053">
      <w:pPr>
        <w:pStyle w:val="2"/>
        <w:spacing w:before="0" w:after="0" w:line="360" w:lineRule="auto"/>
        <w:ind w:firstLineChars="200" w:firstLine="640"/>
        <w:rPr>
          <w:rFonts w:ascii="黑体"/>
          <w:b w:val="0"/>
        </w:rPr>
      </w:pPr>
      <w:bookmarkStart w:id="28" w:name="_Toc11842"/>
      <w:r>
        <w:rPr>
          <w:rFonts w:ascii="黑体" w:hint="eastAsia"/>
          <w:b w:val="0"/>
        </w:rPr>
        <w:t>三、综合绩效评价工作情况</w:t>
      </w:r>
      <w:bookmarkStart w:id="29" w:name="_Toc492652776"/>
      <w:bookmarkStart w:id="30" w:name="_Toc465149505"/>
      <w:bookmarkEnd w:id="18"/>
      <w:bookmarkEnd w:id="27"/>
      <w:bookmarkEnd w:id="28"/>
    </w:p>
    <w:p w:rsidR="00255DE3" w:rsidRDefault="00CD4053">
      <w:pPr>
        <w:pStyle w:val="3"/>
        <w:spacing w:before="0" w:after="0"/>
        <w:ind w:firstLineChars="200" w:firstLine="640"/>
        <w:jc w:val="both"/>
        <w:rPr>
          <w:rFonts w:ascii="楷体" w:eastAsia="楷体" w:hAnsi="楷体"/>
          <w:b w:val="0"/>
          <w:sz w:val="32"/>
        </w:rPr>
      </w:pPr>
      <w:bookmarkStart w:id="31" w:name="_Toc17138"/>
      <w:r>
        <w:rPr>
          <w:rFonts w:ascii="楷体" w:eastAsia="楷体" w:hAnsi="楷体" w:hint="eastAsia"/>
          <w:b w:val="0"/>
          <w:kern w:val="2"/>
          <w:sz w:val="32"/>
        </w:rPr>
        <w:t>（一）绩效评价目的</w:t>
      </w:r>
      <w:bookmarkEnd w:id="29"/>
      <w:bookmarkEnd w:id="30"/>
      <w:bookmarkEnd w:id="31"/>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32" w:name="_Toc465149506"/>
      <w:bookmarkStart w:id="33" w:name="_Toc492652777"/>
      <w:r>
        <w:rPr>
          <w:rFonts w:ascii="仿宋_GB2312" w:eastAsia="仿宋_GB2312" w:cs="DengXian-Regular" w:hint="eastAsia"/>
          <w:sz w:val="32"/>
          <w:szCs w:val="32"/>
        </w:rPr>
        <w:t>通过对区水利局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255DE3" w:rsidRDefault="00CD4053">
      <w:pPr>
        <w:pStyle w:val="3"/>
        <w:spacing w:before="0" w:after="0"/>
        <w:ind w:firstLineChars="200" w:firstLine="640"/>
        <w:jc w:val="both"/>
        <w:rPr>
          <w:rFonts w:ascii="楷体" w:eastAsia="楷体" w:hAnsi="楷体"/>
          <w:b w:val="0"/>
          <w:kern w:val="2"/>
          <w:sz w:val="32"/>
        </w:rPr>
      </w:pPr>
      <w:bookmarkStart w:id="34" w:name="_Toc11607"/>
      <w:r>
        <w:rPr>
          <w:rFonts w:ascii="楷体" w:eastAsia="楷体" w:hAnsi="楷体" w:hint="eastAsia"/>
          <w:b w:val="0"/>
          <w:kern w:val="2"/>
          <w:sz w:val="32"/>
        </w:rPr>
        <w:t>（二）绩效评价依据</w:t>
      </w:r>
      <w:bookmarkEnd w:id="32"/>
      <w:bookmarkEnd w:id="33"/>
      <w:bookmarkEnd w:id="34"/>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6" w:name="_Toc492652778"/>
    </w:p>
    <w:p w:rsidR="00255DE3" w:rsidRDefault="00CD4053">
      <w:pPr>
        <w:pStyle w:val="3"/>
        <w:spacing w:before="0" w:after="0"/>
        <w:ind w:firstLineChars="200" w:firstLine="640"/>
        <w:jc w:val="both"/>
        <w:rPr>
          <w:rFonts w:ascii="楷体" w:eastAsia="楷体" w:hAnsi="楷体"/>
          <w:b w:val="0"/>
          <w:kern w:val="2"/>
          <w:sz w:val="32"/>
        </w:rPr>
      </w:pPr>
      <w:bookmarkStart w:id="37" w:name="_Toc7609"/>
      <w:r>
        <w:rPr>
          <w:rFonts w:ascii="楷体" w:eastAsia="楷体" w:hAnsi="楷体" w:hint="eastAsia"/>
          <w:b w:val="0"/>
          <w:kern w:val="2"/>
          <w:sz w:val="32"/>
        </w:rPr>
        <w:t>（三）绩效评价</w:t>
      </w:r>
      <w:bookmarkEnd w:id="36"/>
      <w:r>
        <w:rPr>
          <w:rFonts w:ascii="楷体" w:eastAsia="楷体" w:hAnsi="楷体" w:hint="eastAsia"/>
          <w:b w:val="0"/>
          <w:kern w:val="2"/>
          <w:sz w:val="32"/>
        </w:rPr>
        <w:t>内容</w:t>
      </w:r>
      <w:bookmarkEnd w:id="37"/>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Pr>
          <w:rFonts w:ascii="仿宋_GB2312" w:eastAsia="仿宋_GB2312" w:cs="DengXian-Regular" w:hint="eastAsia"/>
          <w:sz w:val="32"/>
          <w:szCs w:val="32"/>
        </w:rPr>
        <w:t>区水利局2019年部门整体支出绩效目标和指标的设置及完成情况；资金预算情况、实际收支情况及结转结余情况；部门履职对社会发展所带来的直接或间接影响及服务对象对部门履职效果的满意程度。</w:t>
      </w:r>
    </w:p>
    <w:p w:rsidR="00255DE3" w:rsidRDefault="00CD4053">
      <w:pPr>
        <w:pStyle w:val="3"/>
        <w:spacing w:before="0" w:after="0"/>
        <w:ind w:firstLineChars="200" w:firstLine="640"/>
        <w:jc w:val="both"/>
        <w:rPr>
          <w:rFonts w:ascii="楷体" w:eastAsia="楷体" w:hAnsi="楷体"/>
          <w:b w:val="0"/>
          <w:kern w:val="2"/>
          <w:sz w:val="32"/>
        </w:rPr>
      </w:pPr>
      <w:bookmarkStart w:id="40" w:name="_Toc789"/>
      <w:r>
        <w:rPr>
          <w:rFonts w:ascii="楷体" w:eastAsia="楷体" w:hAnsi="楷体" w:hint="eastAsia"/>
          <w:b w:val="0"/>
          <w:kern w:val="2"/>
          <w:sz w:val="32"/>
        </w:rPr>
        <w:t>（四）绩效评价原则</w:t>
      </w:r>
      <w:bookmarkEnd w:id="40"/>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3.综合性原则：将定性指标和定量指标相结合，定性分析是定量分析的基础，定量分析是定性分析的深化，两者相结合系统反映财政支出所产生的社会效益。</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255DE3" w:rsidRDefault="00CD4053">
      <w:pPr>
        <w:pStyle w:val="3"/>
        <w:spacing w:before="0" w:after="0"/>
        <w:ind w:firstLineChars="200" w:firstLine="640"/>
        <w:jc w:val="both"/>
        <w:rPr>
          <w:rFonts w:ascii="楷体" w:eastAsia="楷体" w:hAnsi="楷体"/>
          <w:b w:val="0"/>
          <w:kern w:val="2"/>
          <w:sz w:val="32"/>
        </w:rPr>
      </w:pPr>
      <w:bookmarkStart w:id="41" w:name="_Toc8171"/>
      <w:r>
        <w:rPr>
          <w:rFonts w:ascii="楷体" w:eastAsia="楷体" w:hAnsi="楷体" w:hint="eastAsia"/>
          <w:b w:val="0"/>
          <w:kern w:val="2"/>
          <w:sz w:val="32"/>
        </w:rPr>
        <w:t>（五）</w:t>
      </w:r>
      <w:bookmarkStart w:id="42" w:name="_Toc465149509"/>
      <w:bookmarkEnd w:id="38"/>
      <w:r>
        <w:rPr>
          <w:rFonts w:ascii="楷体" w:eastAsia="楷体" w:hAnsi="楷体" w:hint="eastAsia"/>
          <w:b w:val="0"/>
          <w:kern w:val="2"/>
          <w:sz w:val="32"/>
        </w:rPr>
        <w:t>绩效评价方法</w:t>
      </w:r>
      <w:bookmarkEnd w:id="39"/>
      <w:bookmarkEnd w:id="41"/>
      <w:bookmarkEnd w:id="42"/>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49" w:name="_Toc422314155"/>
      <w:bookmarkStart w:id="50"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51" w:name="_Toc421623221"/>
      <w:bookmarkStart w:id="52"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255DE3" w:rsidRDefault="00CD4053">
      <w:pPr>
        <w:spacing w:after="0" w:line="360" w:lineRule="auto"/>
        <w:ind w:firstLineChars="200" w:firstLine="640"/>
        <w:jc w:val="both"/>
        <w:textAlignment w:val="baseline"/>
        <w:rPr>
          <w:rFonts w:ascii="楷体" w:eastAsia="楷体" w:hAnsi="楷体"/>
          <w:bCs/>
          <w:kern w:val="2"/>
          <w:sz w:val="32"/>
        </w:rPr>
      </w:pPr>
      <w:r>
        <w:rPr>
          <w:rFonts w:ascii="楷体" w:eastAsia="楷体" w:hAnsi="楷体" w:hint="eastAsia"/>
          <w:bCs/>
          <w:kern w:val="2"/>
          <w:sz w:val="32"/>
        </w:rPr>
        <w:t>（六）绩效评价工作过程</w:t>
      </w:r>
      <w:bookmarkEnd w:id="45"/>
      <w:bookmarkEnd w:id="46"/>
      <w:bookmarkEnd w:id="53"/>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本次绩效评价工作经过了前期准备、绩效评价实施方案和指标体系制定、组织实施、绩效评价报告撰写四个阶段。</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评价小组与区水利局充分沟通，并充分收集相关资料，主要包括部门职责、工作活动、预决算文本、相关管理制度、资金使用等相关资料，为制定绩效评价实施方案和指标体系奠定了基础。</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基于对区水利局相关资料的收集，制定绩效评价实施方案和体系,确定最终方案。</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区水利局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4" w:name="_Toc465149511"/>
      <w:bookmarkStart w:id="55" w:name="_Toc492652781"/>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在完成对各评价指标评分定级的基础上，开始进行报告撰写工作。</w:t>
      </w:r>
    </w:p>
    <w:p w:rsidR="00255DE3" w:rsidRDefault="00CD4053">
      <w:pPr>
        <w:pStyle w:val="2"/>
        <w:spacing w:before="0" w:after="0" w:line="360" w:lineRule="auto"/>
        <w:ind w:firstLineChars="200" w:firstLine="640"/>
        <w:rPr>
          <w:rFonts w:ascii="黑体"/>
          <w:b w:val="0"/>
        </w:rPr>
      </w:pPr>
      <w:bookmarkStart w:id="56" w:name="_Toc6467"/>
      <w:r>
        <w:rPr>
          <w:rFonts w:ascii="黑体" w:hint="eastAsia"/>
          <w:b w:val="0"/>
        </w:rPr>
        <w:t>四、</w:t>
      </w:r>
      <w:bookmarkStart w:id="57" w:name="_Toc492652782"/>
      <w:bookmarkEnd w:id="54"/>
      <w:bookmarkEnd w:id="55"/>
      <w:r>
        <w:rPr>
          <w:rFonts w:ascii="黑体" w:hint="eastAsia"/>
          <w:b w:val="0"/>
        </w:rPr>
        <w:t>绩效评价评分情况</w:t>
      </w:r>
      <w:bookmarkEnd w:id="56"/>
    </w:p>
    <w:bookmarkEnd w:id="57"/>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区水利局部门整体支出绩效评价总得分为95.15分，综合绩效评价等级为“优”。各项得分情况如下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255DE3" w:rsidRDefault="00CD4053">
      <w:pPr>
        <w:pStyle w:val="3"/>
        <w:spacing w:before="0" w:after="0"/>
        <w:ind w:firstLineChars="200" w:firstLine="640"/>
        <w:jc w:val="both"/>
        <w:rPr>
          <w:rFonts w:ascii="楷体" w:eastAsia="楷体" w:hAnsi="楷体"/>
          <w:b w:val="0"/>
          <w:kern w:val="2"/>
          <w:sz w:val="32"/>
        </w:rPr>
      </w:pPr>
      <w:bookmarkStart w:id="58" w:name="_Toc492652783"/>
      <w:bookmarkStart w:id="59" w:name="_Toc4390"/>
      <w:r>
        <w:rPr>
          <w:rFonts w:ascii="楷体" w:eastAsia="楷体" w:hAnsi="楷体" w:hint="eastAsia"/>
          <w:b w:val="0"/>
          <w:kern w:val="2"/>
          <w:sz w:val="32"/>
        </w:rPr>
        <w:t>（一）</w:t>
      </w:r>
      <w:bookmarkEnd w:id="58"/>
      <w:r>
        <w:rPr>
          <w:rFonts w:ascii="楷体" w:eastAsia="楷体" w:hAnsi="楷体" w:hint="eastAsia"/>
          <w:b w:val="0"/>
          <w:kern w:val="2"/>
          <w:sz w:val="32"/>
        </w:rPr>
        <w:t>投入（12分）</w:t>
      </w:r>
      <w:bookmarkEnd w:id="59"/>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255DE3" w:rsidRDefault="00CD4053">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255DE3">
        <w:trPr>
          <w:trHeight w:hRule="exact" w:val="454"/>
        </w:trPr>
        <w:tc>
          <w:tcPr>
            <w:tcW w:w="1559" w:type="dxa"/>
            <w:vAlign w:val="center"/>
          </w:tcPr>
          <w:p w:rsidR="00255DE3" w:rsidRDefault="00CD405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255DE3" w:rsidRDefault="00CD405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255DE3" w:rsidRDefault="00CD405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255DE3" w:rsidRDefault="00CD405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255DE3" w:rsidRDefault="00CD4053">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255DE3">
        <w:trPr>
          <w:trHeight w:hRule="exact" w:val="454"/>
        </w:trPr>
        <w:tc>
          <w:tcPr>
            <w:tcW w:w="1559" w:type="dxa"/>
            <w:vMerge w:val="restart"/>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255DE3" w:rsidRDefault="00CD4053">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255DE3" w:rsidRDefault="00CD4053">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255DE3">
        <w:trPr>
          <w:trHeight w:hRule="exact" w:val="454"/>
        </w:trPr>
        <w:tc>
          <w:tcPr>
            <w:tcW w:w="1559"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255DE3">
        <w:trPr>
          <w:trHeight w:hRule="exact" w:val="454"/>
        </w:trPr>
        <w:tc>
          <w:tcPr>
            <w:tcW w:w="1559"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255DE3">
        <w:trPr>
          <w:trHeight w:hRule="exact" w:val="454"/>
        </w:trPr>
        <w:tc>
          <w:tcPr>
            <w:tcW w:w="1559"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255DE3">
        <w:trPr>
          <w:trHeight w:hRule="exact" w:val="454"/>
        </w:trPr>
        <w:tc>
          <w:tcPr>
            <w:tcW w:w="1559"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255DE3">
        <w:trPr>
          <w:trHeight w:hRule="exact" w:val="454"/>
        </w:trPr>
        <w:tc>
          <w:tcPr>
            <w:tcW w:w="1559"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255DE3">
        <w:trPr>
          <w:trHeight w:hRule="exact" w:val="454"/>
        </w:trPr>
        <w:tc>
          <w:tcPr>
            <w:tcW w:w="2977" w:type="dxa"/>
            <w:gridSpan w:val="2"/>
            <w:vAlign w:val="center"/>
          </w:tcPr>
          <w:p w:rsidR="00255DE3" w:rsidRDefault="00CD4053">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255DE3" w:rsidRDefault="00255DE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r>
    </w:tbl>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60" w:name="_Toc464638478"/>
      <w:bookmarkStart w:id="61" w:name="_Toc465149513"/>
      <w:r>
        <w:rPr>
          <w:rFonts w:ascii="仿宋_GB2312" w:eastAsia="仿宋_GB2312" w:cs="DengXian-Regular" w:hint="eastAsia"/>
          <w:sz w:val="32"/>
          <w:szCs w:val="32"/>
        </w:rPr>
        <w:t>1.绩效目标设定（6分）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w:t>
      </w:r>
      <w:r>
        <w:rPr>
          <w:rFonts w:ascii="仿宋_GB2312" w:eastAsia="仿宋_GB2312" w:cs="DengXian-Regular" w:hint="eastAsia"/>
          <w:sz w:val="32"/>
          <w:szCs w:val="32"/>
        </w:rPr>
        <w:lastRenderedPageBreak/>
        <w:t>是否与工作活动密切相关；工作活动和项目预算安排是否合理。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区水利局职能配置内设机构和人员编制规定》和徐水区水利局2019年预算文本—部门职责工作活动绩效目标，评价工作组认为区水利局部门职责符合“三定”方案中所赋予的职责，绩效目标设立依据充分，符合客观实际，与部门职责、工作规划和重点工作相关，工作活动和项目预算安排合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根据区水利局2019年预算文本—部门职责工作活动绩效目标（详见附件4），绩效目标与部门履职、年度工作任务相符；工作活动有明确的绩效目标，绩效目标与部门职责目标、部门年度工作目标一致。</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255DE3" w:rsidRDefault="00CD4053">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lastRenderedPageBreak/>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根据区水利局2019年预算文本—部门职责工作活动绩效目标,该指标实际得分2分。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根据区水利局2019年预算文本及相关会计资料，区水利局所有收入均已纳入部门预算，部门支出按基本支出、项目支出分别编制。</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根据区水利局2019年预算文本—部门项目支出预算表，水利局2019年预算项目共12个（详见附件2-2-2），涉及资金2614.53万元，所有项目均细化到具体用款单位及项目资金额度。项目预算细化率=（2614.53/2614.53）*100%=100%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该指标主要考核截至2019年底区水利局在职人员控制情况，通过在职人员控制率衡量。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区水利局职能配置内设机构和人员编制规定》的通知，徐水区水利局人员编制为248人，根据区水利局2019年决算文本-部门基本情况表，截至2019年底，在职人员242人，在职人员控制率=（242/248）*100%=98%。</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255DE3" w:rsidRDefault="00CD4053">
      <w:pPr>
        <w:pStyle w:val="3"/>
        <w:spacing w:before="0" w:after="0"/>
        <w:ind w:firstLineChars="200" w:firstLine="640"/>
        <w:jc w:val="both"/>
        <w:rPr>
          <w:rFonts w:ascii="楷体" w:eastAsia="楷体" w:hAnsi="楷体"/>
          <w:b w:val="0"/>
          <w:sz w:val="32"/>
        </w:rPr>
      </w:pPr>
      <w:bookmarkStart w:id="62" w:name="_Toc19940"/>
      <w:bookmarkEnd w:id="60"/>
      <w:bookmarkEnd w:id="61"/>
      <w:r>
        <w:rPr>
          <w:rFonts w:ascii="楷体" w:eastAsia="楷体" w:hAnsi="楷体" w:hint="eastAsia"/>
          <w:b w:val="0"/>
          <w:sz w:val="32"/>
        </w:rPr>
        <w:t>（二）过程（48分）</w:t>
      </w:r>
      <w:bookmarkEnd w:id="62"/>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255DE3" w:rsidRDefault="00CD4053">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255DE3">
        <w:trPr>
          <w:trHeight w:hRule="exact" w:val="397"/>
          <w:jc w:val="center"/>
        </w:trPr>
        <w:tc>
          <w:tcPr>
            <w:tcW w:w="1557" w:type="dxa"/>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255DE3">
        <w:trPr>
          <w:trHeight w:hRule="exact" w:val="397"/>
          <w:jc w:val="center"/>
        </w:trPr>
        <w:tc>
          <w:tcPr>
            <w:tcW w:w="1557" w:type="dxa"/>
            <w:vMerge w:val="restart"/>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55DE3">
        <w:trPr>
          <w:trHeight w:hRule="exact" w:val="39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55DE3">
        <w:trPr>
          <w:trHeight w:hRule="exact" w:val="46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255DE3">
        <w:trPr>
          <w:trHeight w:hRule="exact" w:val="657"/>
          <w:jc w:val="center"/>
        </w:trPr>
        <w:tc>
          <w:tcPr>
            <w:tcW w:w="1557"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1388" w:type="dxa"/>
            <w:vMerge/>
            <w:vAlign w:val="center"/>
          </w:tcPr>
          <w:p w:rsidR="00255DE3" w:rsidRDefault="00255DE3">
            <w:pPr>
              <w:spacing w:line="420" w:lineRule="exact"/>
              <w:jc w:val="center"/>
              <w:rPr>
                <w:rFonts w:asciiTheme="minorEastAsia" w:eastAsiaTheme="minorEastAsia" w:hAnsiTheme="minorEastAsia" w:cs="宋体"/>
                <w:sz w:val="21"/>
                <w:szCs w:val="21"/>
              </w:rPr>
            </w:pPr>
          </w:p>
        </w:tc>
        <w:tc>
          <w:tcPr>
            <w:tcW w:w="2277"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3.3</w:t>
            </w:r>
          </w:p>
        </w:tc>
      </w:tr>
      <w:tr w:rsidR="00255DE3">
        <w:trPr>
          <w:trHeight w:hRule="exact" w:val="397"/>
          <w:jc w:val="center"/>
        </w:trPr>
        <w:tc>
          <w:tcPr>
            <w:tcW w:w="2945" w:type="dxa"/>
            <w:gridSpan w:val="2"/>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255DE3" w:rsidRDefault="00255DE3">
            <w:pPr>
              <w:spacing w:line="420" w:lineRule="exact"/>
              <w:jc w:val="center"/>
              <w:rPr>
                <w:rFonts w:asciiTheme="minorEastAsia" w:eastAsiaTheme="minorEastAsia" w:hAnsiTheme="minorEastAsia" w:cs="宋体"/>
                <w:sz w:val="21"/>
                <w:szCs w:val="21"/>
              </w:rPr>
            </w:pPr>
          </w:p>
        </w:tc>
        <w:tc>
          <w:tcPr>
            <w:tcW w:w="1155"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43.3</w:t>
            </w:r>
          </w:p>
        </w:tc>
      </w:tr>
    </w:tbl>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64" w:name="_Toc464638487"/>
      <w:bookmarkStart w:id="65" w:name="_Toc465149514"/>
      <w:bookmarkEnd w:id="63"/>
      <w:r>
        <w:rPr>
          <w:rFonts w:ascii="仿宋_GB2312" w:eastAsia="仿宋_GB2312" w:cs="DengXian-Regular" w:hint="eastAsia"/>
          <w:sz w:val="32"/>
          <w:szCs w:val="32"/>
        </w:rPr>
        <w:t>1.预算执行（24分）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根据区水利局的预算指标文件，其中：徐财预指[2019]1-1058号追加2017年度水库移民后期扶持项目资金42.9901万元；徐财预指[2019]1-1139号追加水库移民后期扶持项目-户木村广场硬化、广场绿化等配套工程工程款</w:t>
      </w:r>
      <w:r>
        <w:rPr>
          <w:rFonts w:ascii="仿宋_GB2312" w:eastAsia="仿宋_GB2312" w:cs="DengXian-Regular" w:hint="eastAsia"/>
          <w:sz w:val="32"/>
          <w:szCs w:val="32"/>
        </w:rPr>
        <w:lastRenderedPageBreak/>
        <w:t>28.0336万元；徐财预指[2019]1-1173号追加瀑河石桥村至县城界治理工程137.7050万元;</w:t>
      </w:r>
      <w:r>
        <w:rPr>
          <w:rFonts w:hint="eastAsia"/>
        </w:rPr>
        <w:t xml:space="preserve"> </w:t>
      </w:r>
      <w:r>
        <w:rPr>
          <w:rFonts w:ascii="仿宋_GB2312" w:eastAsia="仿宋_GB2312" w:cs="DengXian-Regular" w:hint="eastAsia"/>
          <w:sz w:val="32"/>
          <w:szCs w:val="32"/>
        </w:rPr>
        <w:t>徐财预指[2019]3-1068号恢复办公综合定额32万元，徐财预指[2019]1-1232号恢复工会经费13.72万元，徐财预指[2019]1-1240号追加水库移民项目工程款76.9485万元，徐财预指[2019]2-1089号追加省级水库移民扶持基金项目款6万元，徐财预指[2019]2-1090号追加2019年中央水利发展资金预算项目款1027.1万元，徐财预指[2019]2-1091号追加2019年省级水利发展专项资金5万元，徐财预指[2019]2-1103号追加2019年中央大中型水库移民后期扶持基金预算项目327万元，徐财预指[2019]1-1255号追加户木乡水库移民项目资金43.0661万元，徐财预指[2019]1-1256号追加义联庄乡西刘水库移民项目工程款19.7万元，徐财预指[2019]1-1263号追加南釜山水库移民项目资金9.86万元，徐财预指[2019]1-1262号追加瀑河乡2018年水库移民后期扶持资金项目138.4515万元，徐财预指[2019]1-1269号追加户木乡2018年水库移民道路工程10.7477万元，徐财预指[2019]1-1288号追加户木乡路灯工程项目款14.5万元，徐财预指[2019]1-1298号追加瀑河河道存水排出河道所需费用17.5236万元，徐财预指[2019]1-1297号追加高铁萍河大坑平整工程所需资金18.8593万元，徐财预指[2019]1-1278号追加2018年水库移民后期扶持资金项目（三标段）</w:t>
      </w:r>
      <w:r>
        <w:rPr>
          <w:rFonts w:ascii="仿宋_GB2312" w:eastAsia="仿宋_GB2312" w:cs="DengXian-Regular" w:hint="eastAsia"/>
          <w:sz w:val="32"/>
          <w:szCs w:val="32"/>
        </w:rPr>
        <w:lastRenderedPageBreak/>
        <w:t>工程进度款28.8351万元，徐财预指[2019]1-1280号追加高铁萍河大坑岸坡绿化工程款14.5985万元，徐财预指[2019]1-1279号追加户木乡屯庄道路硬化26.1941万元，徐财预指[2019]1-1277号追加2018年水库移民后期扶持资金项目（一标段）工程进度款30.4612万元，徐财预指[2019]3-1118号追加政府隐性债务项目款371.94万元，徐财预指[2019]3-1160号恢复办公综合定额20万元，徐财预指[2019]2-1145号追加2019年省级防汛抗旱（防汛视频监测系统建设）2.07万元，徐财预指[2019]3-1204号恢复办公综合定额4.47万元，徐财预指[2019]1-1999号收回地下水超采综合治理地下水高效节水灌溉项目等项目资金154.8651万元，徐财预指[2019]1-0999号收回基本支出预算指标122.4619万元。根据区水利局2019年度预算文本、决算文件，年初预算收入5997.56万元，调整预算数为7757.11万元，追加收入1759.55万元，预算收入调整率为29%，预算调整增加了29个百分点，扣2分。</w:t>
      </w:r>
      <w:r>
        <w:rPr>
          <w:rFonts w:ascii="仿宋_GB2312" w:eastAsia="仿宋_GB2312" w:cs="DengXian-Regular" w:hint="eastAsia"/>
          <w:sz w:val="32"/>
          <w:szCs w:val="32"/>
        </w:rPr>
        <w:tab/>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该项指标实际得分0分。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根据区水利局2019年预算文本、决算文本，2019年收入预算数5997.56万元，收入决算数7757.11万元，收入完成率=（决算数/预算数）*100%=129%。</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提供的保定市财政局下发的预算指标文件，其中：徐财预指[2019]1-1058号追加2017年度水库移民后期扶持项目资金42.9901万元；徐财预指[2019]1-1139号追加水库移民后期扶持项目-户木村广场硬化、广场绿化等配套工程工程款28.0336万元；徐财预指[2019]1-1173号追加瀑河石桥村至县城界治理工程137.7050万元;</w:t>
      </w:r>
      <w:r>
        <w:rPr>
          <w:rFonts w:hint="eastAsia"/>
        </w:rPr>
        <w:t xml:space="preserve"> </w:t>
      </w:r>
      <w:r>
        <w:rPr>
          <w:rFonts w:ascii="仿宋_GB2312" w:eastAsia="仿宋_GB2312" w:cs="DengXian-Regular" w:hint="eastAsia"/>
          <w:sz w:val="32"/>
          <w:szCs w:val="32"/>
        </w:rPr>
        <w:t>徐财预指[2019]3-1068号恢复办公综合定额32万元，徐财预指[2019]1-1232号恢复工会经费13.72万元，徐财预指[2019]1-1240号追加水库移民项目工程款76.9485万元，徐财预指[2019]2-1089号追加省级水库移民扶持基金项目款6万元，徐财预指[2019]2-1090号追加2019年中央水利发展资金预算项目款1027.1万元，徐财预指[2019]2-1091号追加2019年省级水利发展专项资金5万元，徐财预指</w:t>
      </w:r>
      <w:r>
        <w:rPr>
          <w:rFonts w:ascii="仿宋_GB2312" w:eastAsia="仿宋_GB2312" w:cs="DengXian-Regular" w:hint="eastAsia"/>
          <w:sz w:val="32"/>
          <w:szCs w:val="32"/>
        </w:rPr>
        <w:lastRenderedPageBreak/>
        <w:t>[2019]2-1103号追加2019年中央大中型水库移民后期扶持基金预算项目327万元，徐财预指[2019]1-1255号追加户木乡水库移民项目资金43.0661万元，徐财预指[2019]1-1256号追加义联庄乡西刘水库移民项目工程款19.7万元，徐财预指[2019]1-1263号追加南釜山水库移民项目资金9.86万元，徐财预指[2019]1-1262号追加瀑河乡2018年水库移民后期扶持资金项目138.4515万元，徐财预指[2019]1-1269号追加户木乡2018年水库移民道路工程10.7477万元，徐财预指[2019]1-1288号追加户木乡路灯工程项目款14.5万元，徐财预指[2019]1-1298号追加瀑河河道存水排出河道所需费用17.5236万元，徐财预指[2019]1-1297号追加高铁萍河大坑平整工程所需资金18.8593万元，徐财预指[2019]1-1278号追加2018年水库移民后期扶持资金项目（三标段）工程进度款28.8351万元，徐财预指[2019]1-1280号追加高铁萍河大坑岸坡绿化工程款14.5985万元，徐财预指[2019]1-1279号追加户木乡屯庄道路硬化26.1941万元，徐财预指[2019]1-1277号追加2018年水库移民后期扶持资金项目（一标段）工程进度款30.4612万元，徐财预指[2019]3-1118号追加政府隐性债务项目款371.94万元，徐财预指[2019]3-1160号恢复办公综合定额20万元，徐财预指[2019]2-1145号追加2019年省级防汛抗旱（防汛视频监测系统建设）2.07万元，</w:t>
      </w:r>
      <w:r>
        <w:rPr>
          <w:rFonts w:ascii="仿宋_GB2312" w:eastAsia="仿宋_GB2312" w:cs="DengXian-Regular" w:hint="eastAsia"/>
          <w:sz w:val="32"/>
          <w:szCs w:val="32"/>
        </w:rPr>
        <w:lastRenderedPageBreak/>
        <w:t>徐财预指[2019]3-1204号恢复办公综合定额4.47万元，徐财预指[2019]1-1999号收回地下水超采综合治理地下水高效节水灌溉项目等项目资金154.8651万元，徐财预指[2019]1-0999号收回基本支出预算指标122.4619万元。根据区水利局2019年度预算文本、决算文件，2019年年初预算支出为5997.56万元，调整预算数为8023.92万元，年中追加支出2026.36万元，预算调整增加了33个百分点，扣2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该指标实际得分0分。</w:t>
      </w:r>
      <w:r>
        <w:rPr>
          <w:rFonts w:ascii="仿宋_GB2312" w:eastAsia="仿宋_GB2312" w:cs="DengXian-Regular" w:hint="eastAsia"/>
          <w:sz w:val="32"/>
          <w:szCs w:val="32"/>
        </w:rPr>
        <w:tab/>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区水利局提供的2019年决算文本，部门决算财政拨款支出数7841.27万元，财政拨款收入数7756.62万元，财政拨款支出率=（财政拨款支出数/财政拨款收入数）*100%=101%</w:t>
      </w:r>
      <w:r>
        <w:rPr>
          <w:rFonts w:ascii="Arial" w:eastAsia="仿宋_GB2312" w:hAnsi="Arial" w:cs="Arial"/>
          <w:sz w:val="32"/>
          <w:szCs w:val="32"/>
        </w:rPr>
        <w:t>≥</w:t>
      </w:r>
      <w:r>
        <w:rPr>
          <w:rFonts w:ascii="仿宋_GB2312" w:eastAsia="仿宋_GB2312" w:cs="DengXian-Regular" w:hint="eastAsia"/>
          <w:sz w:val="32"/>
          <w:szCs w:val="32"/>
        </w:rPr>
        <w:t>90%。区水利局2019年年初结转和结余265.22万元，故支出数大于收入数。</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该指标主要评价“三公”经费是否得到有效控制，通过“三公”经费控制率来衡量。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根据区水利局2019年预算文本及决算文本，“三公”经费年初预算数23.6万元，年末决算数14.21万元，“三公”经费控制率=（年末决算数/年初预算数）*100%=60%</w:t>
      </w:r>
      <w:r>
        <w:rPr>
          <w:rFonts w:ascii="Arial" w:eastAsia="仿宋_GB2312" w:hAnsi="Arial" w:cs="Arial"/>
          <w:sz w:val="32"/>
          <w:szCs w:val="32"/>
        </w:rPr>
        <w:t>≤</w:t>
      </w:r>
      <w:r>
        <w:rPr>
          <w:rFonts w:ascii="仿宋_GB2312" w:eastAsia="仿宋_GB2312" w:cs="DengXian-Regular" w:hint="eastAsia"/>
          <w:sz w:val="32"/>
          <w:szCs w:val="32"/>
        </w:rPr>
        <w:t>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该指标实际得分3分。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根据区水利局2019年预算文本及决算文本，政府采购年初预算数0万元，年末决算数3.44万元，政府采购执行率为0。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该指标实际得分为3分。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（7）资金使用合规性（3分）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水利局2019年明细账、会计凭证等相关资料，区水利局资金使用符合相关会计准则和财务制度，资金拨付有完备的审批程序和手续，资金使用符合部门预算批复的用途，未发现截留、挤占、挪用财政资金的情况。</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该指标实际得分3分。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经核查区水利局2019年决算文本、明细账及总账，区水利局单位决算文本数据均与明细账、总账一致。</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该指标实际得分3分。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区水利局工作制度涵盖了财务制度、网络安全制度、公务用车制度等相关制度，经检查区水利局付款流程审批单、资产盘点表等资料，区水利局已按照相关管理制度的规定执行。</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该指标主要评价部门是否按照政府信息公开的有关要求在相关网站公开部门预算、预算执行情况、年度工作任务等相关信息。</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区水利局2019年按政府信息公开的有关要求在保定市徐水区人民政府网公开了2019年的预决算情况、部门责任清单、行政监督清单等相关信息。</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根据区水利局提供的会计账簿、凭证及其他相关资料，区水利局会计信息资料真实完整，</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水利局建立了固定资产台账、无形资产台账，资产保存完整，2019年新增资产7.57万元，包含：房屋构筑物（0.9万元）、电脑及计算机设备等通用设备（3.44万元）、水泵等专用设备（2.63万元），五节柜等家具用具</w:t>
      </w:r>
      <w:r>
        <w:rPr>
          <w:rFonts w:ascii="仿宋_GB2312" w:eastAsia="仿宋_GB2312" w:cs="DengXian-Regular" w:hint="eastAsia"/>
          <w:sz w:val="32"/>
          <w:szCs w:val="32"/>
        </w:rPr>
        <w:lastRenderedPageBreak/>
        <w:t>（0.60万元）资产购置手续完备，配置符合要求，资产管理整体较规范。</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2019年度财政专项资金部门绩效自评价工作的通知》及徐水区水利局2019年一般项目部门绩效自评表，区水利局2019年开展绩效自评的项目数为40个，年初预算文本项目数12个，年中追加项目22个，上年结转项目6个，要求自评项目个数40个，自评覆盖率为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区水利局2019年参评数量40个，绩效评价结果达到优等的数量33个，绩效评价优等率为82.5%。</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该指标实际得分3.3分。</w:t>
      </w:r>
      <w:bookmarkEnd w:id="64"/>
      <w:bookmarkEnd w:id="65"/>
    </w:p>
    <w:p w:rsidR="00255DE3" w:rsidRDefault="00CD4053">
      <w:pPr>
        <w:pStyle w:val="3"/>
        <w:spacing w:before="0" w:after="0"/>
        <w:ind w:firstLineChars="200" w:firstLine="640"/>
        <w:jc w:val="both"/>
        <w:rPr>
          <w:rFonts w:ascii="楷体" w:eastAsia="楷体" w:hAnsi="楷体"/>
          <w:b w:val="0"/>
          <w:sz w:val="32"/>
        </w:rPr>
      </w:pPr>
      <w:bookmarkStart w:id="66" w:name="_Toc12330"/>
      <w:r>
        <w:rPr>
          <w:rFonts w:ascii="楷体" w:eastAsia="楷体" w:hAnsi="楷体" w:hint="eastAsia"/>
          <w:b w:val="0"/>
          <w:sz w:val="32"/>
        </w:rPr>
        <w:t>（三）产出（25分）</w:t>
      </w:r>
      <w:bookmarkEnd w:id="66"/>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该一级指标包含责任履行一个二级指标，主要反映结转结余率，项目资金使用率，落实市政府重点工作办结率，落实区政府重点工作办结率，本部门工作办结率。</w:t>
      </w:r>
    </w:p>
    <w:p w:rsidR="00255DE3" w:rsidRDefault="00CD4053">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362"/>
        <w:gridCol w:w="993"/>
        <w:gridCol w:w="3543"/>
        <w:gridCol w:w="993"/>
        <w:gridCol w:w="743"/>
      </w:tblGrid>
      <w:tr w:rsidR="00255DE3">
        <w:trPr>
          <w:trHeight w:hRule="exact" w:val="397"/>
          <w:jc w:val="center"/>
        </w:trPr>
        <w:tc>
          <w:tcPr>
            <w:tcW w:w="1362"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35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7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255DE3">
        <w:trPr>
          <w:trHeight w:hRule="exact" w:val="397"/>
          <w:jc w:val="center"/>
        </w:trPr>
        <w:tc>
          <w:tcPr>
            <w:tcW w:w="1362" w:type="dxa"/>
            <w:vMerge w:val="restart"/>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993" w:type="dxa"/>
            <w:vMerge w:val="restart"/>
            <w:tcBorders>
              <w:top w:val="single" w:sz="4" w:space="0" w:color="000000"/>
              <w:left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35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99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7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255DE3">
        <w:trPr>
          <w:trHeight w:hRule="exact" w:val="397"/>
          <w:jc w:val="center"/>
        </w:trPr>
        <w:tc>
          <w:tcPr>
            <w:tcW w:w="1362" w:type="dxa"/>
            <w:vMerge/>
            <w:tcBorders>
              <w:top w:val="single" w:sz="4" w:space="0" w:color="000000"/>
              <w:left w:val="single" w:sz="4" w:space="0" w:color="000000"/>
              <w:bottom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993" w:type="dxa"/>
            <w:vMerge/>
            <w:tcBorders>
              <w:left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99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7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4.85</w:t>
            </w:r>
          </w:p>
        </w:tc>
      </w:tr>
      <w:tr w:rsidR="00255DE3">
        <w:trPr>
          <w:trHeight w:hRule="exact" w:val="397"/>
          <w:jc w:val="center"/>
        </w:trPr>
        <w:tc>
          <w:tcPr>
            <w:tcW w:w="1362" w:type="dxa"/>
            <w:vMerge/>
            <w:tcBorders>
              <w:top w:val="single" w:sz="4" w:space="0" w:color="000000"/>
              <w:left w:val="single" w:sz="4" w:space="0" w:color="000000"/>
              <w:bottom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993" w:type="dxa"/>
            <w:vMerge/>
            <w:tcBorders>
              <w:left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ajorEastAsia" w:eastAsiaTheme="majorEastAsia" w:hAnsiTheme="majorEastAsia" w:cs="宋体"/>
                <w:sz w:val="21"/>
                <w:szCs w:val="21"/>
              </w:rPr>
            </w:pPr>
            <w:r>
              <w:rPr>
                <w:rFonts w:asciiTheme="majorEastAsia" w:eastAsiaTheme="majorEastAsia" w:hAnsiTheme="majorEastAsia" w:cs="DengXian-Regular" w:hint="eastAsia"/>
                <w:sz w:val="21"/>
                <w:szCs w:val="21"/>
              </w:rPr>
              <w:t>落实市政府重点工作办结率</w:t>
            </w:r>
          </w:p>
        </w:tc>
        <w:tc>
          <w:tcPr>
            <w:tcW w:w="99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7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255DE3">
        <w:trPr>
          <w:trHeight w:hRule="exact" w:val="397"/>
          <w:jc w:val="center"/>
        </w:trPr>
        <w:tc>
          <w:tcPr>
            <w:tcW w:w="1362" w:type="dxa"/>
            <w:vMerge/>
            <w:tcBorders>
              <w:top w:val="single" w:sz="4" w:space="0" w:color="000000"/>
              <w:left w:val="single" w:sz="4" w:space="0" w:color="000000"/>
              <w:bottom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993" w:type="dxa"/>
            <w:vMerge/>
            <w:tcBorders>
              <w:left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ajorEastAsia" w:eastAsiaTheme="majorEastAsia" w:hAnsiTheme="majorEastAsia" w:cs="DengXian-Regular" w:hint="eastAsia"/>
                <w:sz w:val="21"/>
                <w:szCs w:val="21"/>
              </w:rPr>
              <w:t>落实区政府重点工作办结率</w:t>
            </w:r>
          </w:p>
        </w:tc>
        <w:tc>
          <w:tcPr>
            <w:tcW w:w="99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7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255DE3">
        <w:trPr>
          <w:trHeight w:hRule="exact" w:val="397"/>
          <w:jc w:val="center"/>
        </w:trPr>
        <w:tc>
          <w:tcPr>
            <w:tcW w:w="1362" w:type="dxa"/>
            <w:vMerge/>
            <w:tcBorders>
              <w:top w:val="single" w:sz="4" w:space="0" w:color="000000"/>
              <w:left w:val="single" w:sz="4" w:space="0" w:color="000000"/>
              <w:bottom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993" w:type="dxa"/>
            <w:vMerge/>
            <w:tcBorders>
              <w:left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ajorEastAsia" w:eastAsiaTheme="majorEastAsia" w:hAnsiTheme="majorEastAsia" w:cs="DengXian-Regular" w:hint="eastAsia"/>
                <w:sz w:val="21"/>
                <w:szCs w:val="21"/>
              </w:rPr>
              <w:t>本部门工作办结率</w:t>
            </w:r>
          </w:p>
        </w:tc>
        <w:tc>
          <w:tcPr>
            <w:tcW w:w="99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74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255DE3">
        <w:trPr>
          <w:trHeight w:hRule="exact" w:val="397"/>
          <w:jc w:val="center"/>
        </w:trPr>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3543" w:type="dxa"/>
            <w:tcBorders>
              <w:top w:val="single" w:sz="4" w:space="0" w:color="000000"/>
              <w:left w:val="single" w:sz="4" w:space="0" w:color="000000"/>
              <w:bottom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24.85</w:t>
            </w:r>
          </w:p>
        </w:tc>
      </w:tr>
    </w:tbl>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67" w:name="_Toc465149515"/>
      <w:bookmarkStart w:id="68" w:name="_Toc464638518"/>
      <w:r>
        <w:rPr>
          <w:rFonts w:ascii="仿宋_GB2312" w:eastAsia="仿宋_GB2312" w:cs="DengXian-Regular" w:hint="eastAsia"/>
          <w:sz w:val="32"/>
          <w:szCs w:val="32"/>
        </w:rPr>
        <w:t>1.结转结余率（5分）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根据区水利局2019年决算文本及相关资料，区水利局2019年结转结余资金182.65万元，决算收入7757.11万元，结转结余率2.35%，小于5%。</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该项指标实际得分5分。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该指标主要评价项目资金的使用效率，通过项目资金使用率来衡量。</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区水利局2019年实际支出项目资金总额4484.88万元，年初结转项目资金151.16万元，年初预算共12个项目，预算金额2614.53万元，年中追加项目支出1870.35万元，项目资金使用率为97%。</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该指标实际得分4.85分。</w:t>
      </w:r>
    </w:p>
    <w:p w:rsidR="00255DE3" w:rsidRDefault="00CD4053">
      <w:pPr>
        <w:pStyle w:val="3"/>
        <w:spacing w:before="0" w:after="0"/>
        <w:ind w:firstLineChars="200" w:firstLine="643"/>
        <w:jc w:val="both"/>
        <w:rPr>
          <w:rFonts w:ascii="楷体" w:eastAsia="楷体" w:hAnsi="楷体"/>
          <w:sz w:val="32"/>
        </w:rPr>
      </w:pPr>
      <w:bookmarkStart w:id="69" w:name="_Toc28363"/>
      <w:r>
        <w:rPr>
          <w:rFonts w:ascii="楷体" w:eastAsia="楷体" w:hAnsi="楷体" w:hint="eastAsia"/>
          <w:sz w:val="32"/>
        </w:rPr>
        <w:t>（四）效果</w:t>
      </w:r>
      <w:bookmarkEnd w:id="67"/>
      <w:bookmarkEnd w:id="68"/>
      <w:r>
        <w:rPr>
          <w:rFonts w:ascii="楷体" w:eastAsia="楷体" w:hAnsi="楷体" w:hint="eastAsia"/>
          <w:sz w:val="32"/>
        </w:rPr>
        <w:t>（15分）</w:t>
      </w:r>
      <w:bookmarkEnd w:id="69"/>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70"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255DE3" w:rsidRDefault="00CD4053">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255DE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255DE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255DE3" w:rsidRDefault="00CD4053">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255DE3" w:rsidRDefault="00CD4053">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255DE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255DE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255DE3" w:rsidRDefault="00255DE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71" w:name="_Toc465149516"/>
      <w:bookmarkStart w:id="72" w:name="_Toc492652784"/>
      <w:bookmarkStart w:id="73" w:name="_Toc464638561"/>
      <w:bookmarkEnd w:id="70"/>
      <w:r>
        <w:rPr>
          <w:rFonts w:ascii="仿宋_GB2312" w:eastAsia="仿宋_GB2312" w:cs="DengXian-Regular" w:hint="eastAsia"/>
          <w:sz w:val="32"/>
          <w:szCs w:val="32"/>
        </w:rPr>
        <w:t>1.部门整体效益（10分）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经查看区水利局提供的相关资料，区水利局单位履行职责对社会发展所带来的社会效益较显著，有效的提高了</w:t>
      </w:r>
      <w:r>
        <w:rPr>
          <w:rFonts w:ascii="仿宋_GB2312" w:eastAsia="仿宋_GB2312" w:cs="DengXian-Regular" w:hint="eastAsia"/>
          <w:sz w:val="32"/>
          <w:szCs w:val="32"/>
        </w:rPr>
        <w:lastRenderedPageBreak/>
        <w:t>社会公众的节水、河湖管理、水资源管理意识，河湖生态明显改善、地下水水位止跌回升、民生水利项目效益充分发挥，减少了社会浪费水、河湖“四乱”发生等因素。</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该项指标实际得分10分。</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255DE3" w:rsidRDefault="00CD4053">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255DE3" w:rsidRDefault="00CD4053">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255DE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255DE3" w:rsidRDefault="00CD405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255DE3" w:rsidRDefault="00CD405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255DE3" w:rsidRDefault="00CD405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255DE3" w:rsidRDefault="00CD405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255DE3" w:rsidRDefault="00CD405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255DE3" w:rsidRDefault="00CD4053">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255DE3">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某项具体工作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255DE3" w:rsidRDefault="00255DE3">
            <w:pPr>
              <w:spacing w:after="0" w:line="360" w:lineRule="auto"/>
              <w:jc w:val="center"/>
              <w:textAlignment w:val="baseline"/>
              <w:rPr>
                <w:rFonts w:asciiTheme="minorEastAsia" w:eastAsiaTheme="minorEastAsia" w:hAnsiTheme="minorEastAsia" w:cs="Times New Roman"/>
                <w:sz w:val="21"/>
                <w:szCs w:val="21"/>
                <w:u w:color="000000"/>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55DE3" w:rsidRDefault="00255DE3">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100</w:t>
            </w:r>
          </w:p>
        </w:tc>
      </w:tr>
      <w:tr w:rsidR="00255DE3">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某项具体工作是否满意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255DE3" w:rsidRDefault="00255DE3">
            <w:pPr>
              <w:spacing w:after="0" w:line="360" w:lineRule="auto"/>
              <w:jc w:val="center"/>
              <w:textAlignment w:val="baseline"/>
              <w:rPr>
                <w:rFonts w:asciiTheme="minorEastAsia" w:eastAsiaTheme="minorEastAsia" w:hAnsiTheme="minorEastAsia" w:cs="Times New Roman"/>
                <w:sz w:val="21"/>
                <w:szCs w:val="21"/>
                <w:u w:color="000000"/>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55DE3" w:rsidRDefault="00255DE3">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100</w:t>
            </w:r>
          </w:p>
        </w:tc>
      </w:tr>
      <w:tr w:rsidR="00255DE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您对某项具体工作了解程度如何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255DE3" w:rsidRDefault="00255DE3">
            <w:pPr>
              <w:spacing w:after="0" w:line="360" w:lineRule="auto"/>
              <w:jc w:val="center"/>
              <w:textAlignment w:val="baseline"/>
              <w:rPr>
                <w:rFonts w:asciiTheme="minorEastAsia" w:eastAsiaTheme="minorEastAsia" w:hAnsiTheme="minorEastAsia" w:cs="Times New Roman"/>
                <w:sz w:val="21"/>
                <w:szCs w:val="21"/>
                <w:u w:color="000000"/>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55DE3" w:rsidRDefault="00255DE3">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255DE3" w:rsidRDefault="00CD405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100</w:t>
            </w:r>
          </w:p>
        </w:tc>
      </w:tr>
    </w:tbl>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总体满意度得分=∑1/3各单项满意度得分</w:t>
      </w:r>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经计算，总体得分为100分，小于(大于）90分，评价等级为“优”。</w:t>
      </w:r>
    </w:p>
    <w:p w:rsidR="00255DE3" w:rsidRDefault="00CD405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该指标实际得分5分。</w:t>
      </w:r>
    </w:p>
    <w:p w:rsidR="00255DE3" w:rsidRDefault="00CD4053">
      <w:pPr>
        <w:pStyle w:val="2"/>
        <w:keepNext w:val="0"/>
        <w:keepLines w:val="0"/>
        <w:suppressLineNumbers/>
        <w:spacing w:before="0" w:after="0" w:line="360" w:lineRule="auto"/>
        <w:ind w:firstLineChars="200" w:firstLine="643"/>
        <w:rPr>
          <w:rFonts w:ascii="黑体"/>
        </w:rPr>
      </w:pPr>
      <w:bookmarkStart w:id="74" w:name="_Toc13757"/>
      <w:r>
        <w:rPr>
          <w:rFonts w:ascii="黑体" w:hint="eastAsia"/>
        </w:rPr>
        <w:t>五、绩效评价发现的问题</w:t>
      </w:r>
      <w:bookmarkStart w:id="75" w:name="_Toc492652789"/>
      <w:bookmarkEnd w:id="71"/>
      <w:bookmarkEnd w:id="72"/>
      <w:bookmarkEnd w:id="73"/>
      <w:bookmarkEnd w:id="74"/>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区水利局</w:t>
      </w:r>
      <w:r>
        <w:rPr>
          <w:rFonts w:ascii="仿宋_GB2312" w:eastAsia="仿宋_GB2312" w:hAnsiTheme="minorEastAsia" w:cs="Times New Roman" w:hint="eastAsia"/>
          <w:sz w:val="32"/>
          <w:szCs w:val="32"/>
          <w:u w:color="000000"/>
        </w:rPr>
        <w:t>2019年部门整体支出基本按相关要求执行预算、决算，完成了绩效目标，资金使用效益良好。通过评价，也发现一些不足之处，具体情况如下：</w:t>
      </w:r>
      <w:bookmarkStart w:id="76" w:name="_Toc20723"/>
    </w:p>
    <w:p w:rsidR="00255DE3" w:rsidRDefault="00CD4053">
      <w:pPr>
        <w:spacing w:after="0" w:line="360" w:lineRule="auto"/>
        <w:ind w:firstLineChars="200" w:firstLine="640"/>
        <w:jc w:val="both"/>
        <w:textAlignment w:val="baseline"/>
        <w:rPr>
          <w:rFonts w:ascii="仿宋_GB2312" w:eastAsia="仿宋_GB2312" w:cs="DengXian-Regular"/>
          <w:sz w:val="32"/>
          <w:szCs w:val="32"/>
        </w:rPr>
      </w:pPr>
      <w:bookmarkStart w:id="77" w:name="_Toc465149521"/>
      <w:bookmarkEnd w:id="75"/>
      <w:bookmarkEnd w:id="76"/>
      <w:r>
        <w:rPr>
          <w:rFonts w:ascii="仿宋_GB2312" w:eastAsia="仿宋_GB2312" w:cs="DengXian-Regular" w:hint="eastAsia"/>
          <w:sz w:val="32"/>
          <w:szCs w:val="32"/>
        </w:rPr>
        <w:t>1.绩效指标方面：预算指标设置欠清晰，可评价、可衡量性不强，部分项目预算指标没有达到年初预算指标要求。</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2.预算决算比较：预算调整比率较高。</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3.预算追加方面：</w:t>
      </w:r>
      <w:bookmarkStart w:id="78" w:name="_GoBack"/>
      <w:r>
        <w:rPr>
          <w:rFonts w:ascii="仿宋_GB2312" w:eastAsia="仿宋_GB2312" w:cs="DengXian-Regular" w:hint="eastAsia"/>
          <w:sz w:val="32"/>
          <w:szCs w:val="32"/>
        </w:rPr>
        <w:t>制</w:t>
      </w:r>
      <w:r w:rsidR="002E0368">
        <w:rPr>
          <w:rFonts w:ascii="仿宋_GB2312" w:eastAsia="仿宋_GB2312" w:cs="DengXian-Regular" w:hint="eastAsia"/>
          <w:sz w:val="32"/>
          <w:szCs w:val="32"/>
        </w:rPr>
        <w:t>订</w:t>
      </w:r>
      <w:bookmarkEnd w:id="78"/>
      <w:r>
        <w:rPr>
          <w:rFonts w:ascii="仿宋_GB2312" w:eastAsia="仿宋_GB2312" w:cs="DengXian-Regular" w:hint="eastAsia"/>
          <w:sz w:val="32"/>
          <w:szCs w:val="32"/>
        </w:rPr>
        <w:t>预算时，对来年工作预算计划估计不足，存在年度内追加预算较多的情况。</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4.政府采购方面：政府采购限额以下项目的采购还有待进一步规范。</w:t>
      </w:r>
    </w:p>
    <w:p w:rsidR="00255DE3" w:rsidRDefault="00CD405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5.项目资金使用率：主要是部分项目前期工作用时较长，项目进度较慢，项目资金支出没有达到序时要求。</w:t>
      </w:r>
    </w:p>
    <w:p w:rsidR="00255DE3" w:rsidRDefault="00255DE3">
      <w:pPr>
        <w:spacing w:after="0" w:line="360" w:lineRule="auto"/>
        <w:jc w:val="both"/>
        <w:textAlignment w:val="baseline"/>
        <w:rPr>
          <w:rFonts w:ascii="仿宋_GB2312" w:eastAsia="仿宋_GB2312" w:hAnsiTheme="minorEastAsia" w:cs="Times New Roman"/>
          <w:sz w:val="32"/>
          <w:szCs w:val="32"/>
          <w:u w:color="000000"/>
        </w:rPr>
      </w:pPr>
    </w:p>
    <w:p w:rsidR="00255DE3" w:rsidRDefault="00255DE3">
      <w:pPr>
        <w:spacing w:after="0" w:line="360" w:lineRule="auto"/>
        <w:jc w:val="both"/>
        <w:textAlignment w:val="baseline"/>
        <w:rPr>
          <w:rFonts w:ascii="仿宋_GB2312" w:eastAsia="仿宋_GB2312" w:hAnsiTheme="minorEastAsia" w:cs="Times New Roman"/>
          <w:sz w:val="32"/>
          <w:szCs w:val="32"/>
          <w:u w:color="000000"/>
        </w:rPr>
      </w:pPr>
    </w:p>
    <w:p w:rsidR="00255DE3" w:rsidRDefault="00255DE3">
      <w:pPr>
        <w:spacing w:after="0" w:line="360" w:lineRule="auto"/>
        <w:jc w:val="both"/>
        <w:textAlignment w:val="baseline"/>
        <w:rPr>
          <w:rFonts w:ascii="仿宋_GB2312" w:eastAsia="仿宋_GB2312" w:hAnsiTheme="minorEastAsia" w:cs="Times New Roman"/>
          <w:sz w:val="32"/>
          <w:szCs w:val="32"/>
          <w:u w:color="000000"/>
        </w:rPr>
      </w:pPr>
    </w:p>
    <w:p w:rsidR="00255DE3" w:rsidRDefault="00CD405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附件：1.保定市徐水</w:t>
      </w:r>
      <w:r>
        <w:rPr>
          <w:rFonts w:ascii="仿宋_GB2312" w:eastAsia="仿宋_GB2312" w:cs="DengXian-Regular" w:hint="eastAsia"/>
          <w:sz w:val="32"/>
          <w:szCs w:val="32"/>
        </w:rPr>
        <w:t>区水利局</w:t>
      </w:r>
      <w:r>
        <w:rPr>
          <w:rFonts w:ascii="仿宋_GB2312" w:eastAsia="仿宋_GB2312" w:hAnsiTheme="minorEastAsia" w:cs="Times New Roman" w:hint="eastAsia"/>
          <w:sz w:val="32"/>
          <w:szCs w:val="32"/>
          <w:u w:color="000000"/>
        </w:rPr>
        <w:t>部门基本情况及主要职责</w:t>
      </w:r>
    </w:p>
    <w:p w:rsidR="00255DE3" w:rsidRDefault="00CD4053">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2.2019年度保定市徐水区</w:t>
      </w:r>
      <w:r>
        <w:rPr>
          <w:rFonts w:ascii="仿宋_GB2312" w:eastAsia="仿宋_GB2312" w:cs="DengXian-Regular" w:hint="eastAsia"/>
          <w:sz w:val="32"/>
          <w:szCs w:val="32"/>
        </w:rPr>
        <w:t>水利局</w:t>
      </w:r>
      <w:r>
        <w:rPr>
          <w:rFonts w:ascii="仿宋_GB2312" w:eastAsia="仿宋_GB2312" w:hAnsiTheme="minorEastAsia" w:cs="Times New Roman" w:hint="eastAsia"/>
          <w:sz w:val="32"/>
          <w:szCs w:val="32"/>
          <w:u w:color="000000"/>
        </w:rPr>
        <w:t>收支预算及决算明细表</w:t>
      </w:r>
    </w:p>
    <w:p w:rsidR="00255DE3" w:rsidRDefault="00CD4053">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44"/>
      <w:bookmarkStart w:id="80" w:name="_Toc465149534"/>
      <w:r>
        <w:rPr>
          <w:rFonts w:ascii="仿宋_GB2312" w:eastAsia="仿宋_GB2312" w:hAnsiTheme="minorEastAsia" w:cs="Times New Roman" w:hint="eastAsia"/>
          <w:sz w:val="32"/>
          <w:szCs w:val="32"/>
          <w:u w:color="000000"/>
        </w:rPr>
        <w:t>3.</w:t>
      </w:r>
      <w:bookmarkEnd w:id="79"/>
      <w:bookmarkEnd w:id="80"/>
      <w:r>
        <w:rPr>
          <w:rFonts w:ascii="仿宋_GB2312" w:eastAsia="仿宋_GB2312" w:hAnsiTheme="minorEastAsia" w:cs="Times New Roman" w:hint="eastAsia"/>
          <w:sz w:val="32"/>
          <w:szCs w:val="32"/>
          <w:u w:color="000000"/>
        </w:rPr>
        <w:t xml:space="preserve"> 2019年徐水区</w:t>
      </w:r>
      <w:r>
        <w:rPr>
          <w:rFonts w:ascii="仿宋_GB2312" w:eastAsia="仿宋_GB2312" w:cs="DengXian-Regular" w:hint="eastAsia"/>
          <w:sz w:val="32"/>
          <w:szCs w:val="32"/>
        </w:rPr>
        <w:t>水利局</w:t>
      </w:r>
      <w:r>
        <w:rPr>
          <w:rFonts w:ascii="仿宋_GB2312" w:eastAsia="仿宋_GB2312" w:hAnsiTheme="minorEastAsia" w:cs="Times New Roman" w:hint="eastAsia"/>
          <w:sz w:val="32"/>
          <w:szCs w:val="32"/>
          <w:u w:color="000000"/>
        </w:rPr>
        <w:t>工作活动绩效目标、绩效指标一览表</w:t>
      </w:r>
      <w:bookmarkEnd w:id="77"/>
    </w:p>
    <w:p w:rsidR="00255DE3" w:rsidRDefault="00255DE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255DE3" w:rsidRDefault="00255DE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255DE3" w:rsidRDefault="00255DE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255DE3" w:rsidRDefault="00255DE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255DE3" w:rsidRDefault="00255DE3">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255DE3">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93" w:rsidRDefault="00653693">
      <w:pPr>
        <w:spacing w:after="0"/>
      </w:pPr>
      <w:r>
        <w:separator/>
      </w:r>
    </w:p>
  </w:endnote>
  <w:endnote w:type="continuationSeparator" w:id="0">
    <w:p w:rsidR="00653693" w:rsidRDefault="006536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E3" w:rsidRDefault="00255DE3">
    <w:pPr>
      <w:pStyle w:val="ad"/>
      <w:jc w:val="center"/>
    </w:pPr>
  </w:p>
  <w:p w:rsidR="00255DE3" w:rsidRDefault="00255DE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E3" w:rsidRDefault="00CD4053">
    <w:pPr>
      <w:pStyle w:val="ad"/>
      <w:jc w:val="center"/>
    </w:pPr>
    <w:r>
      <w:fldChar w:fldCharType="begin"/>
    </w:r>
    <w:r>
      <w:instrText xml:space="preserve"> PAGE   \* MERGEFORMAT </w:instrText>
    </w:r>
    <w:r>
      <w:fldChar w:fldCharType="separate"/>
    </w:r>
    <w:r w:rsidR="002E0368" w:rsidRPr="002E0368">
      <w:rPr>
        <w:noProof/>
        <w:lang w:val="zh-CN"/>
      </w:rPr>
      <w:t>40</w:t>
    </w:r>
    <w:r>
      <w:rPr>
        <w:lang w:val="zh-CN"/>
      </w:rPr>
      <w:fldChar w:fldCharType="end"/>
    </w:r>
  </w:p>
  <w:p w:rsidR="00255DE3" w:rsidRDefault="00255DE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93" w:rsidRDefault="00653693">
      <w:pPr>
        <w:spacing w:after="0"/>
      </w:pPr>
      <w:r>
        <w:separator/>
      </w:r>
    </w:p>
  </w:footnote>
  <w:footnote w:type="continuationSeparator" w:id="0">
    <w:p w:rsidR="00653693" w:rsidRDefault="0065369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179"/>
    <w:rsid w:val="0000439F"/>
    <w:rsid w:val="00005B15"/>
    <w:rsid w:val="00007CA0"/>
    <w:rsid w:val="00010E72"/>
    <w:rsid w:val="00015C39"/>
    <w:rsid w:val="000174D3"/>
    <w:rsid w:val="00020BF5"/>
    <w:rsid w:val="0002415F"/>
    <w:rsid w:val="00025620"/>
    <w:rsid w:val="0002705B"/>
    <w:rsid w:val="000317D7"/>
    <w:rsid w:val="00032B03"/>
    <w:rsid w:val="000334C2"/>
    <w:rsid w:val="0003450B"/>
    <w:rsid w:val="0003465E"/>
    <w:rsid w:val="00034910"/>
    <w:rsid w:val="0003506D"/>
    <w:rsid w:val="000409C0"/>
    <w:rsid w:val="0004123E"/>
    <w:rsid w:val="00044599"/>
    <w:rsid w:val="000445B6"/>
    <w:rsid w:val="000446E5"/>
    <w:rsid w:val="00044A25"/>
    <w:rsid w:val="00047D7B"/>
    <w:rsid w:val="000509B6"/>
    <w:rsid w:val="00050A62"/>
    <w:rsid w:val="000516BA"/>
    <w:rsid w:val="0005170A"/>
    <w:rsid w:val="00051DBC"/>
    <w:rsid w:val="00052010"/>
    <w:rsid w:val="00060ACC"/>
    <w:rsid w:val="00061096"/>
    <w:rsid w:val="000612A2"/>
    <w:rsid w:val="00061C35"/>
    <w:rsid w:val="00061DC9"/>
    <w:rsid w:val="00063117"/>
    <w:rsid w:val="00072BF5"/>
    <w:rsid w:val="000746A9"/>
    <w:rsid w:val="000752C6"/>
    <w:rsid w:val="00075B78"/>
    <w:rsid w:val="00075D1D"/>
    <w:rsid w:val="00077648"/>
    <w:rsid w:val="00080E48"/>
    <w:rsid w:val="000838A6"/>
    <w:rsid w:val="000849A1"/>
    <w:rsid w:val="00085B28"/>
    <w:rsid w:val="000905A4"/>
    <w:rsid w:val="00090D53"/>
    <w:rsid w:val="00091D50"/>
    <w:rsid w:val="000935D5"/>
    <w:rsid w:val="0009618D"/>
    <w:rsid w:val="00096195"/>
    <w:rsid w:val="0009756F"/>
    <w:rsid w:val="000A1F67"/>
    <w:rsid w:val="000A2079"/>
    <w:rsid w:val="000A5467"/>
    <w:rsid w:val="000B09F3"/>
    <w:rsid w:val="000B0C4A"/>
    <w:rsid w:val="000B2313"/>
    <w:rsid w:val="000B23E8"/>
    <w:rsid w:val="000B306C"/>
    <w:rsid w:val="000B6075"/>
    <w:rsid w:val="000B62FE"/>
    <w:rsid w:val="000B72BC"/>
    <w:rsid w:val="000B78D7"/>
    <w:rsid w:val="000C1EA5"/>
    <w:rsid w:val="000C52FB"/>
    <w:rsid w:val="000C55E6"/>
    <w:rsid w:val="000C5ACC"/>
    <w:rsid w:val="000C6D5A"/>
    <w:rsid w:val="000D09B2"/>
    <w:rsid w:val="000D7C38"/>
    <w:rsid w:val="000E0902"/>
    <w:rsid w:val="000E2EF3"/>
    <w:rsid w:val="000E3830"/>
    <w:rsid w:val="000F070B"/>
    <w:rsid w:val="000F2DE7"/>
    <w:rsid w:val="000F3158"/>
    <w:rsid w:val="000F364D"/>
    <w:rsid w:val="000F4432"/>
    <w:rsid w:val="000F465E"/>
    <w:rsid w:val="000F5E8C"/>
    <w:rsid w:val="001000B2"/>
    <w:rsid w:val="0010435B"/>
    <w:rsid w:val="00104C6C"/>
    <w:rsid w:val="0010560E"/>
    <w:rsid w:val="0010612A"/>
    <w:rsid w:val="00106FF7"/>
    <w:rsid w:val="00107111"/>
    <w:rsid w:val="001073D6"/>
    <w:rsid w:val="00107819"/>
    <w:rsid w:val="0011574B"/>
    <w:rsid w:val="00116132"/>
    <w:rsid w:val="00117B9C"/>
    <w:rsid w:val="00117E7D"/>
    <w:rsid w:val="00120EA6"/>
    <w:rsid w:val="00121CA0"/>
    <w:rsid w:val="00122196"/>
    <w:rsid w:val="0012439D"/>
    <w:rsid w:val="0012587C"/>
    <w:rsid w:val="00132057"/>
    <w:rsid w:val="0013591D"/>
    <w:rsid w:val="00141DE8"/>
    <w:rsid w:val="00144105"/>
    <w:rsid w:val="00145B4E"/>
    <w:rsid w:val="00146104"/>
    <w:rsid w:val="00150344"/>
    <w:rsid w:val="0015385A"/>
    <w:rsid w:val="001544E1"/>
    <w:rsid w:val="001551CE"/>
    <w:rsid w:val="00164732"/>
    <w:rsid w:val="00164FE1"/>
    <w:rsid w:val="00166F41"/>
    <w:rsid w:val="001672DE"/>
    <w:rsid w:val="001703D7"/>
    <w:rsid w:val="001719D0"/>
    <w:rsid w:val="00172245"/>
    <w:rsid w:val="0017403C"/>
    <w:rsid w:val="00174241"/>
    <w:rsid w:val="00176CA2"/>
    <w:rsid w:val="00176E7D"/>
    <w:rsid w:val="001804B7"/>
    <w:rsid w:val="001827F5"/>
    <w:rsid w:val="00183C43"/>
    <w:rsid w:val="00185652"/>
    <w:rsid w:val="00187750"/>
    <w:rsid w:val="00190292"/>
    <w:rsid w:val="001926B8"/>
    <w:rsid w:val="0019341A"/>
    <w:rsid w:val="0019349B"/>
    <w:rsid w:val="00193CCB"/>
    <w:rsid w:val="001952EC"/>
    <w:rsid w:val="001A0F7A"/>
    <w:rsid w:val="001A1677"/>
    <w:rsid w:val="001A2767"/>
    <w:rsid w:val="001A5FD3"/>
    <w:rsid w:val="001A6A50"/>
    <w:rsid w:val="001A7AE8"/>
    <w:rsid w:val="001B0380"/>
    <w:rsid w:val="001B04A4"/>
    <w:rsid w:val="001B30D5"/>
    <w:rsid w:val="001B371E"/>
    <w:rsid w:val="001B382A"/>
    <w:rsid w:val="001B4812"/>
    <w:rsid w:val="001B5C88"/>
    <w:rsid w:val="001B66AF"/>
    <w:rsid w:val="001B6CE6"/>
    <w:rsid w:val="001C046D"/>
    <w:rsid w:val="001C083C"/>
    <w:rsid w:val="001C1412"/>
    <w:rsid w:val="001C149E"/>
    <w:rsid w:val="001C391F"/>
    <w:rsid w:val="001C5135"/>
    <w:rsid w:val="001C5C5B"/>
    <w:rsid w:val="001C796E"/>
    <w:rsid w:val="001D1367"/>
    <w:rsid w:val="001D3D29"/>
    <w:rsid w:val="001D5041"/>
    <w:rsid w:val="001D57C5"/>
    <w:rsid w:val="001D5A7C"/>
    <w:rsid w:val="001D76AA"/>
    <w:rsid w:val="001E21EA"/>
    <w:rsid w:val="001E288A"/>
    <w:rsid w:val="001E3ABB"/>
    <w:rsid w:val="001E407E"/>
    <w:rsid w:val="001E4C24"/>
    <w:rsid w:val="001E540A"/>
    <w:rsid w:val="001E5C43"/>
    <w:rsid w:val="001F07B6"/>
    <w:rsid w:val="001F0B92"/>
    <w:rsid w:val="001F0BFC"/>
    <w:rsid w:val="001F1094"/>
    <w:rsid w:val="001F2F0E"/>
    <w:rsid w:val="001F33AA"/>
    <w:rsid w:val="001F4355"/>
    <w:rsid w:val="001F6236"/>
    <w:rsid w:val="00200051"/>
    <w:rsid w:val="00202D5A"/>
    <w:rsid w:val="00203661"/>
    <w:rsid w:val="00205DB2"/>
    <w:rsid w:val="00205F02"/>
    <w:rsid w:val="00206435"/>
    <w:rsid w:val="00210BD2"/>
    <w:rsid w:val="002110FD"/>
    <w:rsid w:val="0021307B"/>
    <w:rsid w:val="002142B8"/>
    <w:rsid w:val="002161F4"/>
    <w:rsid w:val="00216E75"/>
    <w:rsid w:val="00221907"/>
    <w:rsid w:val="00222FA8"/>
    <w:rsid w:val="00224A37"/>
    <w:rsid w:val="0022532A"/>
    <w:rsid w:val="00227AFB"/>
    <w:rsid w:val="00233EEC"/>
    <w:rsid w:val="00233FB4"/>
    <w:rsid w:val="00235741"/>
    <w:rsid w:val="00236B18"/>
    <w:rsid w:val="002401EA"/>
    <w:rsid w:val="00241B9D"/>
    <w:rsid w:val="002437F5"/>
    <w:rsid w:val="002439D4"/>
    <w:rsid w:val="00245CB2"/>
    <w:rsid w:val="00246A44"/>
    <w:rsid w:val="00250BAC"/>
    <w:rsid w:val="00255DE3"/>
    <w:rsid w:val="00260245"/>
    <w:rsid w:val="00260ECC"/>
    <w:rsid w:val="0026252A"/>
    <w:rsid w:val="00262BB1"/>
    <w:rsid w:val="00263D3A"/>
    <w:rsid w:val="002643BE"/>
    <w:rsid w:val="00265325"/>
    <w:rsid w:val="00266E84"/>
    <w:rsid w:val="002715FC"/>
    <w:rsid w:val="00272556"/>
    <w:rsid w:val="002736FD"/>
    <w:rsid w:val="00274CFA"/>
    <w:rsid w:val="00275677"/>
    <w:rsid w:val="00275A3F"/>
    <w:rsid w:val="00277506"/>
    <w:rsid w:val="0028068C"/>
    <w:rsid w:val="0028155A"/>
    <w:rsid w:val="00282A89"/>
    <w:rsid w:val="00283F8F"/>
    <w:rsid w:val="002869F9"/>
    <w:rsid w:val="00292F98"/>
    <w:rsid w:val="002939A0"/>
    <w:rsid w:val="002959A3"/>
    <w:rsid w:val="0029626E"/>
    <w:rsid w:val="00296594"/>
    <w:rsid w:val="00296826"/>
    <w:rsid w:val="00296E59"/>
    <w:rsid w:val="00297CEF"/>
    <w:rsid w:val="002A0364"/>
    <w:rsid w:val="002A1661"/>
    <w:rsid w:val="002A1A25"/>
    <w:rsid w:val="002A563C"/>
    <w:rsid w:val="002A6640"/>
    <w:rsid w:val="002A7B42"/>
    <w:rsid w:val="002B05EF"/>
    <w:rsid w:val="002B2E34"/>
    <w:rsid w:val="002B76FA"/>
    <w:rsid w:val="002C029E"/>
    <w:rsid w:val="002C0640"/>
    <w:rsid w:val="002C1D7A"/>
    <w:rsid w:val="002C2C67"/>
    <w:rsid w:val="002C2C71"/>
    <w:rsid w:val="002C5A65"/>
    <w:rsid w:val="002C71F3"/>
    <w:rsid w:val="002D2112"/>
    <w:rsid w:val="002D53D7"/>
    <w:rsid w:val="002D5508"/>
    <w:rsid w:val="002D5FC1"/>
    <w:rsid w:val="002D7AB3"/>
    <w:rsid w:val="002E0368"/>
    <w:rsid w:val="002E04C0"/>
    <w:rsid w:val="002E1D3C"/>
    <w:rsid w:val="002E1F73"/>
    <w:rsid w:val="002E269D"/>
    <w:rsid w:val="002E3460"/>
    <w:rsid w:val="002E70AE"/>
    <w:rsid w:val="002E7BA3"/>
    <w:rsid w:val="002F0C41"/>
    <w:rsid w:val="002F3507"/>
    <w:rsid w:val="002F5587"/>
    <w:rsid w:val="002F5B6A"/>
    <w:rsid w:val="002F5BF5"/>
    <w:rsid w:val="002F5ECA"/>
    <w:rsid w:val="00306572"/>
    <w:rsid w:val="003079C7"/>
    <w:rsid w:val="00310D76"/>
    <w:rsid w:val="00316056"/>
    <w:rsid w:val="0031655E"/>
    <w:rsid w:val="003169F3"/>
    <w:rsid w:val="0032078D"/>
    <w:rsid w:val="00321CE0"/>
    <w:rsid w:val="0032231F"/>
    <w:rsid w:val="00322533"/>
    <w:rsid w:val="00323B43"/>
    <w:rsid w:val="00325BCC"/>
    <w:rsid w:val="00330888"/>
    <w:rsid w:val="003309A3"/>
    <w:rsid w:val="003345BC"/>
    <w:rsid w:val="00343662"/>
    <w:rsid w:val="0035001D"/>
    <w:rsid w:val="0035365E"/>
    <w:rsid w:val="00355403"/>
    <w:rsid w:val="0035657F"/>
    <w:rsid w:val="003569A8"/>
    <w:rsid w:val="00361FFF"/>
    <w:rsid w:val="00362340"/>
    <w:rsid w:val="003653A5"/>
    <w:rsid w:val="00365DC6"/>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A634A"/>
    <w:rsid w:val="003B66E3"/>
    <w:rsid w:val="003B6DEC"/>
    <w:rsid w:val="003B79D3"/>
    <w:rsid w:val="003C0549"/>
    <w:rsid w:val="003C2B92"/>
    <w:rsid w:val="003C4CE7"/>
    <w:rsid w:val="003D126B"/>
    <w:rsid w:val="003D1D33"/>
    <w:rsid w:val="003D22C9"/>
    <w:rsid w:val="003D26DC"/>
    <w:rsid w:val="003D28AC"/>
    <w:rsid w:val="003D37D8"/>
    <w:rsid w:val="003D7B2A"/>
    <w:rsid w:val="003E266C"/>
    <w:rsid w:val="003E3C05"/>
    <w:rsid w:val="003E65F1"/>
    <w:rsid w:val="003F10B3"/>
    <w:rsid w:val="003F27AF"/>
    <w:rsid w:val="003F282F"/>
    <w:rsid w:val="003F5878"/>
    <w:rsid w:val="00400E89"/>
    <w:rsid w:val="00401AB4"/>
    <w:rsid w:val="00402CA2"/>
    <w:rsid w:val="00402D95"/>
    <w:rsid w:val="00403ADD"/>
    <w:rsid w:val="00407629"/>
    <w:rsid w:val="004108EE"/>
    <w:rsid w:val="00410F1A"/>
    <w:rsid w:val="004122F0"/>
    <w:rsid w:val="00412A31"/>
    <w:rsid w:val="004200B9"/>
    <w:rsid w:val="00421815"/>
    <w:rsid w:val="00426133"/>
    <w:rsid w:val="004300B1"/>
    <w:rsid w:val="00430810"/>
    <w:rsid w:val="00430AF8"/>
    <w:rsid w:val="0043148F"/>
    <w:rsid w:val="00432FF3"/>
    <w:rsid w:val="0043354D"/>
    <w:rsid w:val="00434EB0"/>
    <w:rsid w:val="004358AB"/>
    <w:rsid w:val="00435DA7"/>
    <w:rsid w:val="004370A2"/>
    <w:rsid w:val="00445C28"/>
    <w:rsid w:val="004468B5"/>
    <w:rsid w:val="00446E7D"/>
    <w:rsid w:val="004501FD"/>
    <w:rsid w:val="004507E9"/>
    <w:rsid w:val="00451E9F"/>
    <w:rsid w:val="004551F1"/>
    <w:rsid w:val="00456648"/>
    <w:rsid w:val="004569D1"/>
    <w:rsid w:val="00457E00"/>
    <w:rsid w:val="0046068E"/>
    <w:rsid w:val="00461E7C"/>
    <w:rsid w:val="004639E0"/>
    <w:rsid w:val="00463A6D"/>
    <w:rsid w:val="00465A21"/>
    <w:rsid w:val="00470130"/>
    <w:rsid w:val="0047047F"/>
    <w:rsid w:val="00472C49"/>
    <w:rsid w:val="00474DE3"/>
    <w:rsid w:val="00477959"/>
    <w:rsid w:val="004847B8"/>
    <w:rsid w:val="004861F1"/>
    <w:rsid w:val="00486217"/>
    <w:rsid w:val="00486A56"/>
    <w:rsid w:val="00494D73"/>
    <w:rsid w:val="00495932"/>
    <w:rsid w:val="0049743B"/>
    <w:rsid w:val="004A19C4"/>
    <w:rsid w:val="004A66F1"/>
    <w:rsid w:val="004A6EA4"/>
    <w:rsid w:val="004B146A"/>
    <w:rsid w:val="004B1E69"/>
    <w:rsid w:val="004B4146"/>
    <w:rsid w:val="004B5892"/>
    <w:rsid w:val="004B59DD"/>
    <w:rsid w:val="004B5E88"/>
    <w:rsid w:val="004B5EDE"/>
    <w:rsid w:val="004C0341"/>
    <w:rsid w:val="004C0939"/>
    <w:rsid w:val="004C3B46"/>
    <w:rsid w:val="004C46D3"/>
    <w:rsid w:val="004C5D39"/>
    <w:rsid w:val="004C7656"/>
    <w:rsid w:val="004C7BF7"/>
    <w:rsid w:val="004C7C48"/>
    <w:rsid w:val="004D18E4"/>
    <w:rsid w:val="004D21B9"/>
    <w:rsid w:val="004D21FF"/>
    <w:rsid w:val="004D2AA8"/>
    <w:rsid w:val="004D2DD5"/>
    <w:rsid w:val="004D41F0"/>
    <w:rsid w:val="004D55F1"/>
    <w:rsid w:val="004D578A"/>
    <w:rsid w:val="004D656B"/>
    <w:rsid w:val="004D7523"/>
    <w:rsid w:val="004E0AA9"/>
    <w:rsid w:val="004E1AEF"/>
    <w:rsid w:val="004E23E3"/>
    <w:rsid w:val="004E3774"/>
    <w:rsid w:val="004E4440"/>
    <w:rsid w:val="004E446B"/>
    <w:rsid w:val="004E5448"/>
    <w:rsid w:val="004E5DFC"/>
    <w:rsid w:val="004E642E"/>
    <w:rsid w:val="004E7ADC"/>
    <w:rsid w:val="004F404B"/>
    <w:rsid w:val="004F4875"/>
    <w:rsid w:val="005031BA"/>
    <w:rsid w:val="00507211"/>
    <w:rsid w:val="00507934"/>
    <w:rsid w:val="0051171B"/>
    <w:rsid w:val="00512D1D"/>
    <w:rsid w:val="005131A5"/>
    <w:rsid w:val="00515160"/>
    <w:rsid w:val="00515211"/>
    <w:rsid w:val="00516D5A"/>
    <w:rsid w:val="005170FB"/>
    <w:rsid w:val="005200D5"/>
    <w:rsid w:val="0052122A"/>
    <w:rsid w:val="0052300D"/>
    <w:rsid w:val="0052368E"/>
    <w:rsid w:val="00523B77"/>
    <w:rsid w:val="00523CDE"/>
    <w:rsid w:val="0052474C"/>
    <w:rsid w:val="00525074"/>
    <w:rsid w:val="00525520"/>
    <w:rsid w:val="005319EE"/>
    <w:rsid w:val="00531BE2"/>
    <w:rsid w:val="00534985"/>
    <w:rsid w:val="00537649"/>
    <w:rsid w:val="005421AC"/>
    <w:rsid w:val="00544C1A"/>
    <w:rsid w:val="00546D1B"/>
    <w:rsid w:val="0055027D"/>
    <w:rsid w:val="00554FA1"/>
    <w:rsid w:val="00556063"/>
    <w:rsid w:val="00556934"/>
    <w:rsid w:val="005607DF"/>
    <w:rsid w:val="005621D4"/>
    <w:rsid w:val="00564377"/>
    <w:rsid w:val="00564538"/>
    <w:rsid w:val="00564A30"/>
    <w:rsid w:val="00566A89"/>
    <w:rsid w:val="00567E07"/>
    <w:rsid w:val="005719CB"/>
    <w:rsid w:val="005771F7"/>
    <w:rsid w:val="00577B7B"/>
    <w:rsid w:val="00583F7F"/>
    <w:rsid w:val="0058600B"/>
    <w:rsid w:val="00587913"/>
    <w:rsid w:val="00592F47"/>
    <w:rsid w:val="00593428"/>
    <w:rsid w:val="00593B65"/>
    <w:rsid w:val="005948C8"/>
    <w:rsid w:val="005A15D6"/>
    <w:rsid w:val="005A1FD8"/>
    <w:rsid w:val="005A2D30"/>
    <w:rsid w:val="005A317D"/>
    <w:rsid w:val="005A79F9"/>
    <w:rsid w:val="005B055C"/>
    <w:rsid w:val="005B76BE"/>
    <w:rsid w:val="005C0C80"/>
    <w:rsid w:val="005C3594"/>
    <w:rsid w:val="005C46B7"/>
    <w:rsid w:val="005C5521"/>
    <w:rsid w:val="005C7C8B"/>
    <w:rsid w:val="005D059E"/>
    <w:rsid w:val="005D371B"/>
    <w:rsid w:val="005D3BDF"/>
    <w:rsid w:val="005D5617"/>
    <w:rsid w:val="005D6591"/>
    <w:rsid w:val="005D6869"/>
    <w:rsid w:val="005D7446"/>
    <w:rsid w:val="005E251E"/>
    <w:rsid w:val="005E5E31"/>
    <w:rsid w:val="005E5F88"/>
    <w:rsid w:val="005E69FB"/>
    <w:rsid w:val="005F06F5"/>
    <w:rsid w:val="005F2B32"/>
    <w:rsid w:val="005F46C0"/>
    <w:rsid w:val="005F471D"/>
    <w:rsid w:val="005F720A"/>
    <w:rsid w:val="005F7467"/>
    <w:rsid w:val="005F78E7"/>
    <w:rsid w:val="006007F3"/>
    <w:rsid w:val="0060312A"/>
    <w:rsid w:val="0060402C"/>
    <w:rsid w:val="00605971"/>
    <w:rsid w:val="0061252A"/>
    <w:rsid w:val="006131F6"/>
    <w:rsid w:val="006135B3"/>
    <w:rsid w:val="006138D4"/>
    <w:rsid w:val="00615C70"/>
    <w:rsid w:val="00616C03"/>
    <w:rsid w:val="00616F30"/>
    <w:rsid w:val="006215A2"/>
    <w:rsid w:val="00621F7D"/>
    <w:rsid w:val="00622AD1"/>
    <w:rsid w:val="00623267"/>
    <w:rsid w:val="00625428"/>
    <w:rsid w:val="0062670B"/>
    <w:rsid w:val="00630B86"/>
    <w:rsid w:val="00630F5B"/>
    <w:rsid w:val="006333E8"/>
    <w:rsid w:val="00634C66"/>
    <w:rsid w:val="006352D1"/>
    <w:rsid w:val="00636E1A"/>
    <w:rsid w:val="00642BA5"/>
    <w:rsid w:val="006434E0"/>
    <w:rsid w:val="0064732A"/>
    <w:rsid w:val="00647A6E"/>
    <w:rsid w:val="00650C90"/>
    <w:rsid w:val="0065172D"/>
    <w:rsid w:val="0065287D"/>
    <w:rsid w:val="00653693"/>
    <w:rsid w:val="0065671B"/>
    <w:rsid w:val="00656A5A"/>
    <w:rsid w:val="00663A42"/>
    <w:rsid w:val="0066418E"/>
    <w:rsid w:val="0066469F"/>
    <w:rsid w:val="00665F59"/>
    <w:rsid w:val="0067780F"/>
    <w:rsid w:val="006834CA"/>
    <w:rsid w:val="00686C30"/>
    <w:rsid w:val="00687231"/>
    <w:rsid w:val="00690FA3"/>
    <w:rsid w:val="00692517"/>
    <w:rsid w:val="0069331D"/>
    <w:rsid w:val="00696DF8"/>
    <w:rsid w:val="0069783E"/>
    <w:rsid w:val="00697E26"/>
    <w:rsid w:val="006A0330"/>
    <w:rsid w:val="006A3AE1"/>
    <w:rsid w:val="006A3B57"/>
    <w:rsid w:val="006A47DC"/>
    <w:rsid w:val="006A6AB2"/>
    <w:rsid w:val="006B117D"/>
    <w:rsid w:val="006B19B7"/>
    <w:rsid w:val="006B392C"/>
    <w:rsid w:val="006B4CC0"/>
    <w:rsid w:val="006B65B0"/>
    <w:rsid w:val="006B6DAF"/>
    <w:rsid w:val="006B79AA"/>
    <w:rsid w:val="006C078E"/>
    <w:rsid w:val="006C5198"/>
    <w:rsid w:val="006C6A07"/>
    <w:rsid w:val="006D2468"/>
    <w:rsid w:val="006E0A3D"/>
    <w:rsid w:val="006E27F1"/>
    <w:rsid w:val="006E5BC8"/>
    <w:rsid w:val="006E7CBA"/>
    <w:rsid w:val="006F222F"/>
    <w:rsid w:val="006F680C"/>
    <w:rsid w:val="006F7B69"/>
    <w:rsid w:val="0070092B"/>
    <w:rsid w:val="0070241F"/>
    <w:rsid w:val="007024A9"/>
    <w:rsid w:val="00703C96"/>
    <w:rsid w:val="007052EE"/>
    <w:rsid w:val="00710445"/>
    <w:rsid w:val="007130D7"/>
    <w:rsid w:val="00713E98"/>
    <w:rsid w:val="00715591"/>
    <w:rsid w:val="00715AE8"/>
    <w:rsid w:val="0072516F"/>
    <w:rsid w:val="007274F5"/>
    <w:rsid w:val="0073034D"/>
    <w:rsid w:val="00731ADC"/>
    <w:rsid w:val="007330F2"/>
    <w:rsid w:val="00733DB0"/>
    <w:rsid w:val="00735043"/>
    <w:rsid w:val="00740444"/>
    <w:rsid w:val="00744577"/>
    <w:rsid w:val="007452CF"/>
    <w:rsid w:val="00746055"/>
    <w:rsid w:val="00746DA9"/>
    <w:rsid w:val="00747086"/>
    <w:rsid w:val="007508B3"/>
    <w:rsid w:val="007515E2"/>
    <w:rsid w:val="00756D66"/>
    <w:rsid w:val="00761D80"/>
    <w:rsid w:val="0076364A"/>
    <w:rsid w:val="00766FC5"/>
    <w:rsid w:val="007671A0"/>
    <w:rsid w:val="00770E5B"/>
    <w:rsid w:val="00772930"/>
    <w:rsid w:val="00776E20"/>
    <w:rsid w:val="0078062E"/>
    <w:rsid w:val="007814AF"/>
    <w:rsid w:val="007825F0"/>
    <w:rsid w:val="00787F88"/>
    <w:rsid w:val="0079721A"/>
    <w:rsid w:val="007A095C"/>
    <w:rsid w:val="007A0AF8"/>
    <w:rsid w:val="007A283A"/>
    <w:rsid w:val="007A65C8"/>
    <w:rsid w:val="007A6B16"/>
    <w:rsid w:val="007A7AC4"/>
    <w:rsid w:val="007B639C"/>
    <w:rsid w:val="007B7036"/>
    <w:rsid w:val="007B7BCE"/>
    <w:rsid w:val="007C05C5"/>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2594"/>
    <w:rsid w:val="007F3FB7"/>
    <w:rsid w:val="007F518D"/>
    <w:rsid w:val="007F61B6"/>
    <w:rsid w:val="007F68FE"/>
    <w:rsid w:val="007F7E7E"/>
    <w:rsid w:val="0080378E"/>
    <w:rsid w:val="00803C29"/>
    <w:rsid w:val="00803D1C"/>
    <w:rsid w:val="00804E5E"/>
    <w:rsid w:val="00804FAA"/>
    <w:rsid w:val="00805678"/>
    <w:rsid w:val="00805D26"/>
    <w:rsid w:val="008140D8"/>
    <w:rsid w:val="0081553D"/>
    <w:rsid w:val="00815BE9"/>
    <w:rsid w:val="00815C94"/>
    <w:rsid w:val="00815CF6"/>
    <w:rsid w:val="00816990"/>
    <w:rsid w:val="00817981"/>
    <w:rsid w:val="00822851"/>
    <w:rsid w:val="00824A75"/>
    <w:rsid w:val="0082509A"/>
    <w:rsid w:val="00825A51"/>
    <w:rsid w:val="00825BDF"/>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0ADB"/>
    <w:rsid w:val="00871B0D"/>
    <w:rsid w:val="00871B14"/>
    <w:rsid w:val="008735A1"/>
    <w:rsid w:val="00875962"/>
    <w:rsid w:val="00880325"/>
    <w:rsid w:val="00882ABD"/>
    <w:rsid w:val="008844A4"/>
    <w:rsid w:val="008857CC"/>
    <w:rsid w:val="0089314F"/>
    <w:rsid w:val="0089328E"/>
    <w:rsid w:val="00893443"/>
    <w:rsid w:val="0089513A"/>
    <w:rsid w:val="00896069"/>
    <w:rsid w:val="008960D3"/>
    <w:rsid w:val="00896786"/>
    <w:rsid w:val="00896DA4"/>
    <w:rsid w:val="008976AB"/>
    <w:rsid w:val="008A2C15"/>
    <w:rsid w:val="008A3DBA"/>
    <w:rsid w:val="008A4670"/>
    <w:rsid w:val="008A483E"/>
    <w:rsid w:val="008A5601"/>
    <w:rsid w:val="008B0492"/>
    <w:rsid w:val="008B273C"/>
    <w:rsid w:val="008B7726"/>
    <w:rsid w:val="008C08EC"/>
    <w:rsid w:val="008C0D84"/>
    <w:rsid w:val="008C212C"/>
    <w:rsid w:val="008C2997"/>
    <w:rsid w:val="008C443B"/>
    <w:rsid w:val="008C538A"/>
    <w:rsid w:val="008C6CDF"/>
    <w:rsid w:val="008C7DBE"/>
    <w:rsid w:val="008D0618"/>
    <w:rsid w:val="008D1AEB"/>
    <w:rsid w:val="008D1E23"/>
    <w:rsid w:val="008D228C"/>
    <w:rsid w:val="008D2A7C"/>
    <w:rsid w:val="008D3031"/>
    <w:rsid w:val="008D4F00"/>
    <w:rsid w:val="008D5BB1"/>
    <w:rsid w:val="008D7DBC"/>
    <w:rsid w:val="008E08B2"/>
    <w:rsid w:val="008E0AFC"/>
    <w:rsid w:val="008E1E43"/>
    <w:rsid w:val="008E3116"/>
    <w:rsid w:val="008E4351"/>
    <w:rsid w:val="008E637F"/>
    <w:rsid w:val="008E65FA"/>
    <w:rsid w:val="008E66FE"/>
    <w:rsid w:val="008F27DB"/>
    <w:rsid w:val="008F5B6F"/>
    <w:rsid w:val="009002A3"/>
    <w:rsid w:val="0090038C"/>
    <w:rsid w:val="009007EC"/>
    <w:rsid w:val="00900EF5"/>
    <w:rsid w:val="00901CCB"/>
    <w:rsid w:val="00901EE5"/>
    <w:rsid w:val="0090421D"/>
    <w:rsid w:val="00906447"/>
    <w:rsid w:val="00907571"/>
    <w:rsid w:val="0091349D"/>
    <w:rsid w:val="009141C7"/>
    <w:rsid w:val="009160EA"/>
    <w:rsid w:val="00920597"/>
    <w:rsid w:val="00921E42"/>
    <w:rsid w:val="00922872"/>
    <w:rsid w:val="0092425B"/>
    <w:rsid w:val="00924D39"/>
    <w:rsid w:val="00924FFE"/>
    <w:rsid w:val="009263C3"/>
    <w:rsid w:val="009268AB"/>
    <w:rsid w:val="009364FF"/>
    <w:rsid w:val="00937F41"/>
    <w:rsid w:val="00942397"/>
    <w:rsid w:val="009425B4"/>
    <w:rsid w:val="00946F52"/>
    <w:rsid w:val="009472F2"/>
    <w:rsid w:val="00950F44"/>
    <w:rsid w:val="00952A7D"/>
    <w:rsid w:val="00952BF8"/>
    <w:rsid w:val="00953611"/>
    <w:rsid w:val="00953747"/>
    <w:rsid w:val="0095565A"/>
    <w:rsid w:val="00955918"/>
    <w:rsid w:val="00960439"/>
    <w:rsid w:val="00961D67"/>
    <w:rsid w:val="00962D93"/>
    <w:rsid w:val="009636EF"/>
    <w:rsid w:val="0096408D"/>
    <w:rsid w:val="009651A8"/>
    <w:rsid w:val="009657E9"/>
    <w:rsid w:val="0096666B"/>
    <w:rsid w:val="009719C3"/>
    <w:rsid w:val="0097578E"/>
    <w:rsid w:val="00975ED0"/>
    <w:rsid w:val="00976E55"/>
    <w:rsid w:val="009802DA"/>
    <w:rsid w:val="009814B0"/>
    <w:rsid w:val="009839AD"/>
    <w:rsid w:val="00984D41"/>
    <w:rsid w:val="009852BB"/>
    <w:rsid w:val="009853C4"/>
    <w:rsid w:val="0098547C"/>
    <w:rsid w:val="009860B4"/>
    <w:rsid w:val="00986724"/>
    <w:rsid w:val="0098718E"/>
    <w:rsid w:val="00994269"/>
    <w:rsid w:val="0099439A"/>
    <w:rsid w:val="00994737"/>
    <w:rsid w:val="0099676C"/>
    <w:rsid w:val="009A0F00"/>
    <w:rsid w:val="009A2133"/>
    <w:rsid w:val="009A37AE"/>
    <w:rsid w:val="009A4059"/>
    <w:rsid w:val="009A47EF"/>
    <w:rsid w:val="009B1979"/>
    <w:rsid w:val="009B1E1B"/>
    <w:rsid w:val="009B2CC0"/>
    <w:rsid w:val="009B4C38"/>
    <w:rsid w:val="009C0DAB"/>
    <w:rsid w:val="009C163A"/>
    <w:rsid w:val="009C1E20"/>
    <w:rsid w:val="009D0378"/>
    <w:rsid w:val="009D0F18"/>
    <w:rsid w:val="009D1EFB"/>
    <w:rsid w:val="009D5964"/>
    <w:rsid w:val="009D6A0C"/>
    <w:rsid w:val="009E0725"/>
    <w:rsid w:val="009E1492"/>
    <w:rsid w:val="009E4B3F"/>
    <w:rsid w:val="009E5877"/>
    <w:rsid w:val="009F69B0"/>
    <w:rsid w:val="00A0310D"/>
    <w:rsid w:val="00A0733C"/>
    <w:rsid w:val="00A073F4"/>
    <w:rsid w:val="00A07BBE"/>
    <w:rsid w:val="00A113BC"/>
    <w:rsid w:val="00A150E5"/>
    <w:rsid w:val="00A16439"/>
    <w:rsid w:val="00A21057"/>
    <w:rsid w:val="00A217CE"/>
    <w:rsid w:val="00A21E86"/>
    <w:rsid w:val="00A22728"/>
    <w:rsid w:val="00A22DFB"/>
    <w:rsid w:val="00A305E3"/>
    <w:rsid w:val="00A353F1"/>
    <w:rsid w:val="00A357B0"/>
    <w:rsid w:val="00A35B22"/>
    <w:rsid w:val="00A36EC6"/>
    <w:rsid w:val="00A42B99"/>
    <w:rsid w:val="00A479B6"/>
    <w:rsid w:val="00A50D05"/>
    <w:rsid w:val="00A50D3C"/>
    <w:rsid w:val="00A52635"/>
    <w:rsid w:val="00A532E3"/>
    <w:rsid w:val="00A54701"/>
    <w:rsid w:val="00A54D9C"/>
    <w:rsid w:val="00A568D1"/>
    <w:rsid w:val="00A57200"/>
    <w:rsid w:val="00A57865"/>
    <w:rsid w:val="00A62B31"/>
    <w:rsid w:val="00A64850"/>
    <w:rsid w:val="00A65003"/>
    <w:rsid w:val="00A65202"/>
    <w:rsid w:val="00A73299"/>
    <w:rsid w:val="00A73656"/>
    <w:rsid w:val="00A74BB7"/>
    <w:rsid w:val="00A7536B"/>
    <w:rsid w:val="00A80356"/>
    <w:rsid w:val="00A816B6"/>
    <w:rsid w:val="00A82D81"/>
    <w:rsid w:val="00A92FA7"/>
    <w:rsid w:val="00A96E79"/>
    <w:rsid w:val="00AA2033"/>
    <w:rsid w:val="00AA4A07"/>
    <w:rsid w:val="00AA50B4"/>
    <w:rsid w:val="00AA6230"/>
    <w:rsid w:val="00AB632D"/>
    <w:rsid w:val="00AC5444"/>
    <w:rsid w:val="00AC54E2"/>
    <w:rsid w:val="00AC66B0"/>
    <w:rsid w:val="00AC70E1"/>
    <w:rsid w:val="00AD1D29"/>
    <w:rsid w:val="00AD328E"/>
    <w:rsid w:val="00AD5147"/>
    <w:rsid w:val="00AD5CBD"/>
    <w:rsid w:val="00AE0380"/>
    <w:rsid w:val="00AE0837"/>
    <w:rsid w:val="00AE11C8"/>
    <w:rsid w:val="00AE355C"/>
    <w:rsid w:val="00AE4EDA"/>
    <w:rsid w:val="00AE4EFC"/>
    <w:rsid w:val="00AE5731"/>
    <w:rsid w:val="00AE7127"/>
    <w:rsid w:val="00AF1067"/>
    <w:rsid w:val="00AF6BA2"/>
    <w:rsid w:val="00AF7801"/>
    <w:rsid w:val="00B019E2"/>
    <w:rsid w:val="00B020ED"/>
    <w:rsid w:val="00B036CB"/>
    <w:rsid w:val="00B12047"/>
    <w:rsid w:val="00B130D5"/>
    <w:rsid w:val="00B13566"/>
    <w:rsid w:val="00B13A54"/>
    <w:rsid w:val="00B14220"/>
    <w:rsid w:val="00B16868"/>
    <w:rsid w:val="00B17251"/>
    <w:rsid w:val="00B21293"/>
    <w:rsid w:val="00B2159A"/>
    <w:rsid w:val="00B21D32"/>
    <w:rsid w:val="00B251DE"/>
    <w:rsid w:val="00B313B2"/>
    <w:rsid w:val="00B34A43"/>
    <w:rsid w:val="00B36912"/>
    <w:rsid w:val="00B404A0"/>
    <w:rsid w:val="00B4256A"/>
    <w:rsid w:val="00B432AB"/>
    <w:rsid w:val="00B45F57"/>
    <w:rsid w:val="00B54D75"/>
    <w:rsid w:val="00B60C2A"/>
    <w:rsid w:val="00B65FC0"/>
    <w:rsid w:val="00B67767"/>
    <w:rsid w:val="00B707DD"/>
    <w:rsid w:val="00B719F4"/>
    <w:rsid w:val="00B73995"/>
    <w:rsid w:val="00B74DBC"/>
    <w:rsid w:val="00B75E08"/>
    <w:rsid w:val="00B76684"/>
    <w:rsid w:val="00B7698F"/>
    <w:rsid w:val="00B77E3A"/>
    <w:rsid w:val="00B85F5F"/>
    <w:rsid w:val="00B8608C"/>
    <w:rsid w:val="00B86395"/>
    <w:rsid w:val="00B86E2B"/>
    <w:rsid w:val="00B906BE"/>
    <w:rsid w:val="00B91DEC"/>
    <w:rsid w:val="00B92757"/>
    <w:rsid w:val="00B92A56"/>
    <w:rsid w:val="00B931F8"/>
    <w:rsid w:val="00B95DB0"/>
    <w:rsid w:val="00B9722F"/>
    <w:rsid w:val="00B97741"/>
    <w:rsid w:val="00BA0721"/>
    <w:rsid w:val="00BA1883"/>
    <w:rsid w:val="00BA20C4"/>
    <w:rsid w:val="00BA227D"/>
    <w:rsid w:val="00BA4C84"/>
    <w:rsid w:val="00BB36CE"/>
    <w:rsid w:val="00BB71F4"/>
    <w:rsid w:val="00BC09FC"/>
    <w:rsid w:val="00BC0DD5"/>
    <w:rsid w:val="00BC60E6"/>
    <w:rsid w:val="00BE1E6C"/>
    <w:rsid w:val="00BE66AA"/>
    <w:rsid w:val="00BE73B9"/>
    <w:rsid w:val="00BF23CD"/>
    <w:rsid w:val="00BF444F"/>
    <w:rsid w:val="00BF77F5"/>
    <w:rsid w:val="00C01D8A"/>
    <w:rsid w:val="00C023EF"/>
    <w:rsid w:val="00C15415"/>
    <w:rsid w:val="00C16FE4"/>
    <w:rsid w:val="00C172EB"/>
    <w:rsid w:val="00C174C8"/>
    <w:rsid w:val="00C17E8C"/>
    <w:rsid w:val="00C22F98"/>
    <w:rsid w:val="00C2363B"/>
    <w:rsid w:val="00C26560"/>
    <w:rsid w:val="00C3062F"/>
    <w:rsid w:val="00C31E64"/>
    <w:rsid w:val="00C329C0"/>
    <w:rsid w:val="00C32E7A"/>
    <w:rsid w:val="00C408D9"/>
    <w:rsid w:val="00C42DB9"/>
    <w:rsid w:val="00C447FD"/>
    <w:rsid w:val="00C44B90"/>
    <w:rsid w:val="00C450B7"/>
    <w:rsid w:val="00C46955"/>
    <w:rsid w:val="00C51434"/>
    <w:rsid w:val="00C51743"/>
    <w:rsid w:val="00C51A61"/>
    <w:rsid w:val="00C5202B"/>
    <w:rsid w:val="00C57393"/>
    <w:rsid w:val="00C60946"/>
    <w:rsid w:val="00C64C71"/>
    <w:rsid w:val="00C6528B"/>
    <w:rsid w:val="00C661B3"/>
    <w:rsid w:val="00C70300"/>
    <w:rsid w:val="00C7037D"/>
    <w:rsid w:val="00C70637"/>
    <w:rsid w:val="00C70956"/>
    <w:rsid w:val="00C71B0F"/>
    <w:rsid w:val="00C71DC8"/>
    <w:rsid w:val="00C73E69"/>
    <w:rsid w:val="00C74088"/>
    <w:rsid w:val="00C74592"/>
    <w:rsid w:val="00C767BA"/>
    <w:rsid w:val="00C8048C"/>
    <w:rsid w:val="00C80C68"/>
    <w:rsid w:val="00C86E9A"/>
    <w:rsid w:val="00C93A3D"/>
    <w:rsid w:val="00C94F0A"/>
    <w:rsid w:val="00CA3203"/>
    <w:rsid w:val="00CA5835"/>
    <w:rsid w:val="00CA6058"/>
    <w:rsid w:val="00CA6BD1"/>
    <w:rsid w:val="00CA7AFE"/>
    <w:rsid w:val="00CB0669"/>
    <w:rsid w:val="00CB1B1B"/>
    <w:rsid w:val="00CB3E03"/>
    <w:rsid w:val="00CB4A57"/>
    <w:rsid w:val="00CB4FD4"/>
    <w:rsid w:val="00CB580D"/>
    <w:rsid w:val="00CB6098"/>
    <w:rsid w:val="00CB623E"/>
    <w:rsid w:val="00CC0BA5"/>
    <w:rsid w:val="00CC1F3E"/>
    <w:rsid w:val="00CC236E"/>
    <w:rsid w:val="00CC2B2A"/>
    <w:rsid w:val="00CC6216"/>
    <w:rsid w:val="00CC6A8D"/>
    <w:rsid w:val="00CC70FA"/>
    <w:rsid w:val="00CC7F25"/>
    <w:rsid w:val="00CD0509"/>
    <w:rsid w:val="00CD37C3"/>
    <w:rsid w:val="00CD3911"/>
    <w:rsid w:val="00CD4053"/>
    <w:rsid w:val="00CD48EF"/>
    <w:rsid w:val="00CD4BA1"/>
    <w:rsid w:val="00CD59A6"/>
    <w:rsid w:val="00CE26E2"/>
    <w:rsid w:val="00CE33C1"/>
    <w:rsid w:val="00CE3834"/>
    <w:rsid w:val="00CE5415"/>
    <w:rsid w:val="00CE6153"/>
    <w:rsid w:val="00CF148C"/>
    <w:rsid w:val="00CF3D94"/>
    <w:rsid w:val="00CF48A3"/>
    <w:rsid w:val="00CF4C0E"/>
    <w:rsid w:val="00CF5081"/>
    <w:rsid w:val="00D03FF0"/>
    <w:rsid w:val="00D058E4"/>
    <w:rsid w:val="00D07178"/>
    <w:rsid w:val="00D11C0B"/>
    <w:rsid w:val="00D11EE9"/>
    <w:rsid w:val="00D13F47"/>
    <w:rsid w:val="00D14E66"/>
    <w:rsid w:val="00D17631"/>
    <w:rsid w:val="00D17CD3"/>
    <w:rsid w:val="00D21B22"/>
    <w:rsid w:val="00D24AEB"/>
    <w:rsid w:val="00D24AFD"/>
    <w:rsid w:val="00D27902"/>
    <w:rsid w:val="00D27984"/>
    <w:rsid w:val="00D27D1C"/>
    <w:rsid w:val="00D3052E"/>
    <w:rsid w:val="00D31D50"/>
    <w:rsid w:val="00D323E9"/>
    <w:rsid w:val="00D34F3B"/>
    <w:rsid w:val="00D34F5B"/>
    <w:rsid w:val="00D35023"/>
    <w:rsid w:val="00D351DC"/>
    <w:rsid w:val="00D367C4"/>
    <w:rsid w:val="00D403B8"/>
    <w:rsid w:val="00D4384F"/>
    <w:rsid w:val="00D45C1B"/>
    <w:rsid w:val="00D45E14"/>
    <w:rsid w:val="00D51C9A"/>
    <w:rsid w:val="00D5318C"/>
    <w:rsid w:val="00D53371"/>
    <w:rsid w:val="00D53BD5"/>
    <w:rsid w:val="00D55621"/>
    <w:rsid w:val="00D56119"/>
    <w:rsid w:val="00D57070"/>
    <w:rsid w:val="00D6000E"/>
    <w:rsid w:val="00D6078C"/>
    <w:rsid w:val="00D60B8D"/>
    <w:rsid w:val="00D713D6"/>
    <w:rsid w:val="00D72DAF"/>
    <w:rsid w:val="00D75BB9"/>
    <w:rsid w:val="00D76276"/>
    <w:rsid w:val="00D77919"/>
    <w:rsid w:val="00D8083C"/>
    <w:rsid w:val="00D85F8D"/>
    <w:rsid w:val="00D87F81"/>
    <w:rsid w:val="00D90E39"/>
    <w:rsid w:val="00D91727"/>
    <w:rsid w:val="00D95EE9"/>
    <w:rsid w:val="00D97E89"/>
    <w:rsid w:val="00DA0F88"/>
    <w:rsid w:val="00DA45EE"/>
    <w:rsid w:val="00DA52D4"/>
    <w:rsid w:val="00DA58A3"/>
    <w:rsid w:val="00DB1B55"/>
    <w:rsid w:val="00DB2F5B"/>
    <w:rsid w:val="00DB46CB"/>
    <w:rsid w:val="00DB695F"/>
    <w:rsid w:val="00DC03E7"/>
    <w:rsid w:val="00DC3710"/>
    <w:rsid w:val="00DC3B9E"/>
    <w:rsid w:val="00DC4FB9"/>
    <w:rsid w:val="00DC545F"/>
    <w:rsid w:val="00DC54A9"/>
    <w:rsid w:val="00DC6139"/>
    <w:rsid w:val="00DC6686"/>
    <w:rsid w:val="00DC6D84"/>
    <w:rsid w:val="00DC7F68"/>
    <w:rsid w:val="00DD1A61"/>
    <w:rsid w:val="00DD1D7F"/>
    <w:rsid w:val="00DD271D"/>
    <w:rsid w:val="00DD360A"/>
    <w:rsid w:val="00DD7F91"/>
    <w:rsid w:val="00DE0985"/>
    <w:rsid w:val="00DE14D5"/>
    <w:rsid w:val="00DE42BF"/>
    <w:rsid w:val="00DE457B"/>
    <w:rsid w:val="00DE4A1A"/>
    <w:rsid w:val="00DE4E11"/>
    <w:rsid w:val="00DE53FE"/>
    <w:rsid w:val="00DE6ED8"/>
    <w:rsid w:val="00E00A5F"/>
    <w:rsid w:val="00E00ACD"/>
    <w:rsid w:val="00E05D64"/>
    <w:rsid w:val="00E07ABB"/>
    <w:rsid w:val="00E07D8F"/>
    <w:rsid w:val="00E13762"/>
    <w:rsid w:val="00E14E2F"/>
    <w:rsid w:val="00E15394"/>
    <w:rsid w:val="00E1552D"/>
    <w:rsid w:val="00E1640B"/>
    <w:rsid w:val="00E313D8"/>
    <w:rsid w:val="00E317A6"/>
    <w:rsid w:val="00E3190E"/>
    <w:rsid w:val="00E31F05"/>
    <w:rsid w:val="00E32285"/>
    <w:rsid w:val="00E33F07"/>
    <w:rsid w:val="00E34295"/>
    <w:rsid w:val="00E3440A"/>
    <w:rsid w:val="00E3667E"/>
    <w:rsid w:val="00E4228D"/>
    <w:rsid w:val="00E4254E"/>
    <w:rsid w:val="00E44D0D"/>
    <w:rsid w:val="00E450EF"/>
    <w:rsid w:val="00E4608C"/>
    <w:rsid w:val="00E47C5F"/>
    <w:rsid w:val="00E502A2"/>
    <w:rsid w:val="00E521B6"/>
    <w:rsid w:val="00E52931"/>
    <w:rsid w:val="00E53ACE"/>
    <w:rsid w:val="00E541FC"/>
    <w:rsid w:val="00E5519B"/>
    <w:rsid w:val="00E55FEE"/>
    <w:rsid w:val="00E57BD3"/>
    <w:rsid w:val="00E57D38"/>
    <w:rsid w:val="00E625AF"/>
    <w:rsid w:val="00E64E30"/>
    <w:rsid w:val="00E65332"/>
    <w:rsid w:val="00E65F77"/>
    <w:rsid w:val="00E670CD"/>
    <w:rsid w:val="00E67EA9"/>
    <w:rsid w:val="00E72B6E"/>
    <w:rsid w:val="00E74534"/>
    <w:rsid w:val="00E7727F"/>
    <w:rsid w:val="00E83519"/>
    <w:rsid w:val="00E91889"/>
    <w:rsid w:val="00E91F0F"/>
    <w:rsid w:val="00E944E2"/>
    <w:rsid w:val="00E95C54"/>
    <w:rsid w:val="00E96103"/>
    <w:rsid w:val="00E974CD"/>
    <w:rsid w:val="00EA027D"/>
    <w:rsid w:val="00EA0D8F"/>
    <w:rsid w:val="00EB22CF"/>
    <w:rsid w:val="00EB3414"/>
    <w:rsid w:val="00EB39DD"/>
    <w:rsid w:val="00EB40E4"/>
    <w:rsid w:val="00EB67BA"/>
    <w:rsid w:val="00EC16F8"/>
    <w:rsid w:val="00EC306F"/>
    <w:rsid w:val="00EC408E"/>
    <w:rsid w:val="00EC41F2"/>
    <w:rsid w:val="00EC4EB3"/>
    <w:rsid w:val="00EC5617"/>
    <w:rsid w:val="00EC63CF"/>
    <w:rsid w:val="00EC7C9E"/>
    <w:rsid w:val="00ED0CE0"/>
    <w:rsid w:val="00ED1CBB"/>
    <w:rsid w:val="00ED230D"/>
    <w:rsid w:val="00ED2440"/>
    <w:rsid w:val="00EE085A"/>
    <w:rsid w:val="00EE0A49"/>
    <w:rsid w:val="00EE1C0B"/>
    <w:rsid w:val="00EE59D0"/>
    <w:rsid w:val="00EE7FF3"/>
    <w:rsid w:val="00EF26BF"/>
    <w:rsid w:val="00EF4861"/>
    <w:rsid w:val="00EF50C7"/>
    <w:rsid w:val="00EF5E19"/>
    <w:rsid w:val="00EF779D"/>
    <w:rsid w:val="00EF7E82"/>
    <w:rsid w:val="00F01970"/>
    <w:rsid w:val="00F01B91"/>
    <w:rsid w:val="00F06280"/>
    <w:rsid w:val="00F06AF6"/>
    <w:rsid w:val="00F079A5"/>
    <w:rsid w:val="00F07F69"/>
    <w:rsid w:val="00F107F9"/>
    <w:rsid w:val="00F111E0"/>
    <w:rsid w:val="00F117D4"/>
    <w:rsid w:val="00F16475"/>
    <w:rsid w:val="00F17D8C"/>
    <w:rsid w:val="00F22D55"/>
    <w:rsid w:val="00F24A9A"/>
    <w:rsid w:val="00F2592D"/>
    <w:rsid w:val="00F25C5F"/>
    <w:rsid w:val="00F3182D"/>
    <w:rsid w:val="00F33019"/>
    <w:rsid w:val="00F33205"/>
    <w:rsid w:val="00F34EF2"/>
    <w:rsid w:val="00F3580F"/>
    <w:rsid w:val="00F406BB"/>
    <w:rsid w:val="00F44AD0"/>
    <w:rsid w:val="00F50379"/>
    <w:rsid w:val="00F55102"/>
    <w:rsid w:val="00F57115"/>
    <w:rsid w:val="00F60B53"/>
    <w:rsid w:val="00F6298B"/>
    <w:rsid w:val="00F63B02"/>
    <w:rsid w:val="00F65350"/>
    <w:rsid w:val="00F65C21"/>
    <w:rsid w:val="00F700A6"/>
    <w:rsid w:val="00F71EE5"/>
    <w:rsid w:val="00F74CB2"/>
    <w:rsid w:val="00F760D1"/>
    <w:rsid w:val="00F8151A"/>
    <w:rsid w:val="00F815BD"/>
    <w:rsid w:val="00F81702"/>
    <w:rsid w:val="00F81CA0"/>
    <w:rsid w:val="00F83788"/>
    <w:rsid w:val="00F84D69"/>
    <w:rsid w:val="00F85054"/>
    <w:rsid w:val="00F87AEF"/>
    <w:rsid w:val="00F87C14"/>
    <w:rsid w:val="00F94F61"/>
    <w:rsid w:val="00FA17B4"/>
    <w:rsid w:val="00FA3581"/>
    <w:rsid w:val="00FA75DE"/>
    <w:rsid w:val="00FB10B8"/>
    <w:rsid w:val="00FB24BA"/>
    <w:rsid w:val="00FB28C8"/>
    <w:rsid w:val="00FB381D"/>
    <w:rsid w:val="00FB6172"/>
    <w:rsid w:val="00FB6492"/>
    <w:rsid w:val="00FC007D"/>
    <w:rsid w:val="00FC09CB"/>
    <w:rsid w:val="00FC131A"/>
    <w:rsid w:val="00FC224A"/>
    <w:rsid w:val="00FC43D6"/>
    <w:rsid w:val="00FD2208"/>
    <w:rsid w:val="00FD2EC4"/>
    <w:rsid w:val="00FD5C7E"/>
    <w:rsid w:val="00FD63D3"/>
    <w:rsid w:val="00FD717D"/>
    <w:rsid w:val="00FE44CF"/>
    <w:rsid w:val="00FE5AE7"/>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A64DE"/>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BC10C8"/>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DF36D-AA12-4C10-9922-E552F38B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style>
  <w:style w:type="paragraph" w:styleId="a7">
    <w:name w:val="Body Text"/>
    <w:basedOn w:val="a"/>
    <w:link w:val="a8"/>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afa">
    <w:name w:val="Emphasis"/>
    <w:uiPriority w:val="99"/>
    <w:qFormat/>
    <w:rPr>
      <w:color w:val="CC0000"/>
    </w:rPr>
  </w:style>
  <w:style w:type="character" w:styleId="afb">
    <w:name w:val="Hyperlink"/>
    <w:uiPriority w:val="99"/>
    <w:qFormat/>
    <w:rPr>
      <w:color w:val="0000FF"/>
      <w:u w:val="single"/>
    </w:rPr>
  </w:style>
  <w:style w:type="character" w:styleId="afc">
    <w:name w:val="annotation reference"/>
    <w:basedOn w:val="a0"/>
    <w:uiPriority w:val="99"/>
    <w:qFormat/>
    <w:rPr>
      <w:sz w:val="21"/>
      <w:szCs w:val="21"/>
    </w:rPr>
  </w:style>
  <w:style w:type="character" w:styleId="afd">
    <w:name w:val="footnote reference"/>
    <w:basedOn w:val="a0"/>
    <w:uiPriority w:val="99"/>
    <w:qFormat/>
    <w:rPr>
      <w:vertAlign w:val="superscript"/>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color="000000"/>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Pr>
      <w:rFonts w:ascii="Tahoma" w:hAnsi="Tahoma"/>
      <w:sz w:val="18"/>
      <w:szCs w:val="18"/>
    </w:rPr>
  </w:style>
  <w:style w:type="character" w:customStyle="1" w:styleId="ae">
    <w:name w:val="页脚 字符"/>
    <w:basedOn w:val="a0"/>
    <w:link w:val="ad"/>
    <w:uiPriority w:val="99"/>
    <w:qFormat/>
    <w:rPr>
      <w:rFonts w:ascii="Tahoma" w:hAnsi="Tahoma"/>
      <w:sz w:val="18"/>
      <w:szCs w:val="18"/>
    </w:rPr>
  </w:style>
  <w:style w:type="paragraph" w:customStyle="1" w:styleId="12">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pPr>
      <w:ind w:firstLineChars="200" w:firstLine="420"/>
    </w:pPr>
  </w:style>
  <w:style w:type="character" w:customStyle="1" w:styleId="a6">
    <w:name w:val="批注文字 字符"/>
    <w:basedOn w:val="a0"/>
    <w:link w:val="a5"/>
    <w:uiPriority w:val="99"/>
    <w:qFormat/>
    <w:rPr>
      <w:rFonts w:ascii="Tahoma" w:hAnsi="Tahoma"/>
    </w:rPr>
  </w:style>
  <w:style w:type="character" w:customStyle="1" w:styleId="af7">
    <w:name w:val="批注主题 字符"/>
    <w:basedOn w:val="a6"/>
    <w:link w:val="af6"/>
    <w:uiPriority w:val="99"/>
    <w:qFormat/>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Pr>
      <w:rFonts w:ascii="Times New Roman" w:eastAsia="宋体" w:hAnsi="Times New Roman" w:cs="Times New Roman"/>
      <w:kern w:val="2"/>
      <w:sz w:val="21"/>
      <w:szCs w:val="24"/>
    </w:rPr>
  </w:style>
  <w:style w:type="character" w:customStyle="1" w:styleId="aa">
    <w:name w:val="纯文本 字符"/>
    <w:basedOn w:val="a0"/>
    <w:link w:val="a9"/>
    <w:uiPriority w:val="99"/>
    <w:qFormat/>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Pr>
      <w:rFonts w:ascii="Times New Roman" w:eastAsia="宋体" w:hAnsi="Times New Roman" w:cs="Times New Roman"/>
      <w:kern w:val="2"/>
      <w:sz w:val="18"/>
      <w:szCs w:val="18"/>
    </w:rPr>
  </w:style>
  <w:style w:type="character" w:customStyle="1" w:styleId="af2">
    <w:name w:val="脚注文本 字符"/>
    <w:basedOn w:val="a0"/>
    <w:link w:val="af1"/>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wh\2020&#24180;&#36164;&#26009;\2019&#24180;&#37096;&#38376;&#25972;&#20307;&#25903;&#20986;&#32489;&#25928;&#35780;&#20215;&#33258;&#35780;&#25253;&#21578;\&#23545;&#27604;&#2227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wh\2020&#24180;&#36164;&#26009;\2019&#24180;&#37096;&#38376;&#25972;&#20307;&#25903;&#20986;&#32489;&#25928;&#35780;&#20215;&#33258;&#35780;&#25253;&#21578;\&#23545;&#27604;&#2227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wh\2020&#24180;&#36164;&#26009;\2019&#24180;&#37096;&#38376;&#25972;&#20307;&#25903;&#20986;&#32489;&#25928;&#35780;&#20215;&#33258;&#35780;&#25253;&#21578;\&#23545;&#27604;&#2227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wh\2020&#24180;&#36164;&#26009;\2019&#24180;&#37096;&#38376;&#25972;&#20307;&#25903;&#20986;&#32489;&#25928;&#35780;&#20215;&#33258;&#35780;&#25253;&#21578;\&#23545;&#27604;&#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43657042870199E-2"/>
          <c:y val="0.11965811965812"/>
          <c:w val="0.54166666666666696"/>
          <c:h val="0.83333333333333404"/>
        </c:manualLayout>
      </c:layout>
      <c:pieChart>
        <c:varyColors val="1"/>
        <c:ser>
          <c:idx val="0"/>
          <c:order val="0"/>
          <c:dPt>
            <c:idx val="0"/>
            <c:bubble3D val="0"/>
            <c:extLst>
              <c:ext xmlns:c16="http://schemas.microsoft.com/office/drawing/2014/chart" uri="{C3380CC4-5D6E-409C-BE32-E72D297353CC}">
                <c16:uniqueId val="{00000000-1789-40AA-9E87-41A143499C32}"/>
              </c:ext>
            </c:extLst>
          </c:dPt>
          <c:dPt>
            <c:idx val="1"/>
            <c:bubble3D val="0"/>
            <c:extLst>
              <c:ext xmlns:c16="http://schemas.microsoft.com/office/drawing/2014/chart" uri="{C3380CC4-5D6E-409C-BE32-E72D297353CC}">
                <c16:uniqueId val="{00000001-1789-40AA-9E87-41A143499C32}"/>
              </c:ext>
            </c:extLst>
          </c:dPt>
          <c:dPt>
            <c:idx val="2"/>
            <c:bubble3D val="0"/>
            <c:extLst>
              <c:ext xmlns:c16="http://schemas.microsoft.com/office/drawing/2014/chart" uri="{C3380CC4-5D6E-409C-BE32-E72D297353CC}">
                <c16:uniqueId val="{00000002-1789-40AA-9E87-41A143499C32}"/>
              </c:ext>
            </c:extLst>
          </c:dPt>
          <c:dPt>
            <c:idx val="3"/>
            <c:bubble3D val="0"/>
            <c:extLst>
              <c:ext xmlns:c16="http://schemas.microsoft.com/office/drawing/2014/chart" uri="{C3380CC4-5D6E-409C-BE32-E72D297353CC}">
                <c16:uniqueId val="{00000003-1789-40AA-9E87-41A143499C32}"/>
              </c:ext>
            </c:extLst>
          </c:dPt>
          <c:dPt>
            <c:idx val="4"/>
            <c:bubble3D val="0"/>
            <c:extLst>
              <c:ext xmlns:c16="http://schemas.microsoft.com/office/drawing/2014/chart" uri="{C3380CC4-5D6E-409C-BE32-E72D297353CC}">
                <c16:uniqueId val="{00000004-1789-40AA-9E87-41A143499C32}"/>
              </c:ext>
            </c:extLst>
          </c:dPt>
          <c:dLbls>
            <c:dLbl>
              <c:idx val="0"/>
              <c:layout>
                <c:manualLayout>
                  <c:x val="7.8518044619422606E-2"/>
                  <c:y val="7.0960360724140303E-2"/>
                </c:manualLayout>
              </c:layout>
              <c:tx>
                <c:rich>
                  <a:bodyPr/>
                  <a:lstStyle/>
                  <a:p>
                    <a:r>
                      <a:rPr lang="en-US" altLang="en-US"/>
                      <a:t>1648.39,21</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89-40AA-9E87-41A143499C32}"/>
                </c:ext>
              </c:extLst>
            </c:dLbl>
            <c:dLbl>
              <c:idx val="1"/>
              <c:layout>
                <c:manualLayout>
                  <c:x val="2.46298118985127E-2"/>
                  <c:y val="-1.2581936873275501E-2"/>
                </c:manualLayout>
              </c:layout>
              <c:tx>
                <c:rich>
                  <a:bodyPr/>
                  <a:lstStyle/>
                  <a:p>
                    <a:r>
                      <a:rPr lang="en-US" altLang="en-US"/>
                      <a:t>87.77</a:t>
                    </a:r>
                    <a:r>
                      <a:rPr lang="zh-CN" altLang="en-US"/>
                      <a:t>，</a:t>
                    </a:r>
                    <a:r>
                      <a:rPr lang="en-US" altLang="zh-CN"/>
                      <a:t>1%</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89-40AA-9E87-41A143499C32}"/>
                </c:ext>
              </c:extLst>
            </c:dLbl>
            <c:dLbl>
              <c:idx val="2"/>
              <c:layout>
                <c:manualLayout>
                  <c:x val="4.64257557158967E-3"/>
                  <c:y val="0.17741927210239"/>
                </c:manualLayout>
              </c:layout>
              <c:tx>
                <c:rich>
                  <a:bodyPr/>
                  <a:lstStyle/>
                  <a:p>
                    <a:r>
                      <a:rPr lang="en-US" altLang="en-US"/>
                      <a:t>296.08</a:t>
                    </a:r>
                    <a:r>
                      <a:rPr lang="zh-CN" altLang="en-US"/>
                      <a:t>，</a:t>
                    </a:r>
                    <a:r>
                      <a:rPr lang="en-US" altLang="zh-CN"/>
                      <a:t>4%</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89-40AA-9E87-41A143499C32}"/>
                </c:ext>
              </c:extLst>
            </c:dLbl>
            <c:dLbl>
              <c:idx val="3"/>
              <c:layout>
                <c:manualLayout>
                  <c:x val="0.106860783027122"/>
                  <c:y val="-0.208456827511946"/>
                </c:manualLayout>
              </c:layout>
              <c:tx>
                <c:rich>
                  <a:bodyPr/>
                  <a:lstStyle/>
                  <a:p>
                    <a:r>
                      <a:rPr lang="en-US" altLang="en-US"/>
                      <a:t>5551.14</a:t>
                    </a:r>
                    <a:r>
                      <a:rPr lang="zh-CN" altLang="en-US"/>
                      <a:t>，</a:t>
                    </a:r>
                    <a:r>
                      <a:rPr lang="en-US" altLang="zh-CN"/>
                      <a:t>72%</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89-40AA-9E87-41A143499C32}"/>
                </c:ext>
              </c:extLst>
            </c:dLbl>
            <c:dLbl>
              <c:idx val="4"/>
              <c:layout>
                <c:manualLayout>
                  <c:x val="-0.123666338582678"/>
                  <c:y val="1.11521636718487E-2"/>
                </c:manualLayout>
              </c:layout>
              <c:tx>
                <c:rich>
                  <a:bodyPr/>
                  <a:lstStyle/>
                  <a:p>
                    <a:r>
                      <a:rPr lang="en-US" altLang="en-US"/>
                      <a:t>173.72</a:t>
                    </a:r>
                    <a:r>
                      <a:rPr lang="zh-CN" altLang="en-US"/>
                      <a:t>，</a:t>
                    </a:r>
                    <a:r>
                      <a:rPr lang="en-US" altLang="zh-CN"/>
                      <a:t>2%</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89-40AA-9E87-41A143499C32}"/>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'2019'!$B$40:$B$44</c:f>
              <c:strCache>
                <c:ptCount val="5"/>
                <c:pt idx="0">
                  <c:v>社会保障和就业支出</c:v>
                </c:pt>
                <c:pt idx="1">
                  <c:v>卫生健康支出</c:v>
                </c:pt>
                <c:pt idx="2">
                  <c:v>城乡社区支出</c:v>
                </c:pt>
                <c:pt idx="3">
                  <c:v>农林水支出</c:v>
                </c:pt>
                <c:pt idx="4">
                  <c:v>住房保障支出</c:v>
                </c:pt>
              </c:strCache>
            </c:strRef>
          </c:cat>
          <c:val>
            <c:numRef>
              <c:f>'2019'!$C$40:$C$44</c:f>
              <c:numCache>
                <c:formatCode>0.00</c:formatCode>
                <c:ptCount val="5"/>
                <c:pt idx="0">
                  <c:v>1648.39</c:v>
                </c:pt>
                <c:pt idx="1">
                  <c:v>87.77</c:v>
                </c:pt>
                <c:pt idx="2">
                  <c:v>296.08</c:v>
                </c:pt>
                <c:pt idx="3">
                  <c:v>5551.14</c:v>
                </c:pt>
                <c:pt idx="4">
                  <c:v>173.72</c:v>
                </c:pt>
              </c:numCache>
            </c:numRef>
          </c:val>
          <c:extLst>
            <c:ext xmlns:c16="http://schemas.microsoft.com/office/drawing/2014/chart" uri="{C3380CC4-5D6E-409C-BE32-E72D297353CC}">
              <c16:uniqueId val="{00000005-1789-40AA-9E87-41A143499C32}"/>
            </c:ext>
          </c:extLst>
        </c:ser>
        <c:ser>
          <c:idx val="1"/>
          <c:order val="1"/>
          <c:dPt>
            <c:idx val="0"/>
            <c:bubble3D val="0"/>
            <c:extLst>
              <c:ext xmlns:c16="http://schemas.microsoft.com/office/drawing/2014/chart" uri="{C3380CC4-5D6E-409C-BE32-E72D297353CC}">
                <c16:uniqueId val="{00000006-1789-40AA-9E87-41A143499C32}"/>
              </c:ext>
            </c:extLst>
          </c:dPt>
          <c:dPt>
            <c:idx val="1"/>
            <c:bubble3D val="0"/>
            <c:extLst>
              <c:ext xmlns:c16="http://schemas.microsoft.com/office/drawing/2014/chart" uri="{C3380CC4-5D6E-409C-BE32-E72D297353CC}">
                <c16:uniqueId val="{00000007-1789-40AA-9E87-41A143499C32}"/>
              </c:ext>
            </c:extLst>
          </c:dPt>
          <c:dPt>
            <c:idx val="2"/>
            <c:bubble3D val="0"/>
            <c:extLst>
              <c:ext xmlns:c16="http://schemas.microsoft.com/office/drawing/2014/chart" uri="{C3380CC4-5D6E-409C-BE32-E72D297353CC}">
                <c16:uniqueId val="{00000008-1789-40AA-9E87-41A143499C32}"/>
              </c:ext>
            </c:extLst>
          </c:dPt>
          <c:dPt>
            <c:idx val="3"/>
            <c:bubble3D val="0"/>
            <c:extLst>
              <c:ext xmlns:c16="http://schemas.microsoft.com/office/drawing/2014/chart" uri="{C3380CC4-5D6E-409C-BE32-E72D297353CC}">
                <c16:uniqueId val="{00000009-1789-40AA-9E87-41A143499C32}"/>
              </c:ext>
            </c:extLst>
          </c:dPt>
          <c:dPt>
            <c:idx val="4"/>
            <c:bubble3D val="0"/>
            <c:extLst>
              <c:ext xmlns:c16="http://schemas.microsoft.com/office/drawing/2014/chart" uri="{C3380CC4-5D6E-409C-BE32-E72D297353CC}">
                <c16:uniqueId val="{0000000A-1789-40AA-9E87-41A143499C32}"/>
              </c:ext>
            </c:extLst>
          </c:dPt>
          <c:cat>
            <c:strRef>
              <c:f>'2019'!$B$40:$B$44</c:f>
              <c:strCache>
                <c:ptCount val="5"/>
                <c:pt idx="0">
                  <c:v>社会保障和就业支出</c:v>
                </c:pt>
                <c:pt idx="1">
                  <c:v>卫生健康支出</c:v>
                </c:pt>
                <c:pt idx="2">
                  <c:v>城乡社区支出</c:v>
                </c:pt>
                <c:pt idx="3">
                  <c:v>农林水支出</c:v>
                </c:pt>
                <c:pt idx="4">
                  <c:v>住房保障支出</c:v>
                </c:pt>
              </c:strCache>
            </c:strRef>
          </c:cat>
          <c:val>
            <c:numRef>
              <c:f>'2019'!$D$40:$D$44</c:f>
              <c:numCache>
                <c:formatCode>0%</c:formatCode>
                <c:ptCount val="5"/>
                <c:pt idx="0">
                  <c:v>0.21</c:v>
                </c:pt>
                <c:pt idx="1">
                  <c:v>0.01</c:v>
                </c:pt>
                <c:pt idx="2">
                  <c:v>0.04</c:v>
                </c:pt>
                <c:pt idx="3">
                  <c:v>0.72000000000000097</c:v>
                </c:pt>
                <c:pt idx="4">
                  <c:v>0.02</c:v>
                </c:pt>
              </c:numCache>
            </c:numRef>
          </c:val>
          <c:extLst>
            <c:ext xmlns:c16="http://schemas.microsoft.com/office/drawing/2014/chart" uri="{C3380CC4-5D6E-409C-BE32-E72D297353CC}">
              <c16:uniqueId val="{0000000B-1789-40AA-9E87-41A143499C3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2820866141738"/>
          <c:y val="0.56321656908270201"/>
          <c:w val="0.297179133858269"/>
          <c:h val="0.386387038158695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94663167104301"/>
          <c:y val="0.17245844269466501"/>
          <c:w val="0.80220756780402402"/>
          <c:h val="0.43982848678569297"/>
        </c:manualLayout>
      </c:layout>
      <c:barChart>
        <c:barDir val="col"/>
        <c:grouping val="clustered"/>
        <c:varyColors val="0"/>
        <c:ser>
          <c:idx val="0"/>
          <c:order val="0"/>
          <c:tx>
            <c:strRef>
              <c:f>'2019'!$C$6</c:f>
              <c:strCache>
                <c:ptCount val="1"/>
                <c:pt idx="0">
                  <c:v>预算</c:v>
                </c:pt>
              </c:strCache>
            </c:strRef>
          </c:tx>
          <c:invertIfNegative val="0"/>
          <c:dLbls>
            <c:dLbl>
              <c:idx val="0"/>
              <c:layout>
                <c:manualLayout>
                  <c:x val="-1.6666666666666701E-2"/>
                  <c:y val="-9.25925925925942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BF-4C19-8AD9-7E39511FDF7F}"/>
                </c:ext>
              </c:extLst>
            </c:dLbl>
            <c:dLbl>
              <c:idx val="1"/>
              <c:layout>
                <c:manualLayout>
                  <c:x val="-1.0449322513649601E-2"/>
                  <c:y val="-2.39521033372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BF-4C19-8AD9-7E39511FDF7F}"/>
                </c:ext>
              </c:extLst>
            </c:dLbl>
            <c:dLbl>
              <c:idx val="3"/>
              <c:layout>
                <c:manualLayout>
                  <c:x val="-1.8233618233618201E-2"/>
                  <c:y val="9.52380952380951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BF-4C19-8AD9-7E39511FDF7F}"/>
                </c:ext>
              </c:extLst>
            </c:dLbl>
            <c:dLbl>
              <c:idx val="4"/>
              <c:layout>
                <c:manualLayout>
                  <c:x val="-1.65296004666084E-2"/>
                  <c:y val="-1.36584176977878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BF-4C19-8AD9-7E39511FDF7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'2019'!$B$7:$B$11</c:f>
              <c:strCache>
                <c:ptCount val="5"/>
                <c:pt idx="0">
                  <c:v>社会保障和就业支出</c:v>
                </c:pt>
                <c:pt idx="1">
                  <c:v>卫生健康支出</c:v>
                </c:pt>
                <c:pt idx="2">
                  <c:v>城乡社区支出</c:v>
                </c:pt>
                <c:pt idx="3">
                  <c:v>农林水支出</c:v>
                </c:pt>
                <c:pt idx="4">
                  <c:v>住房保障支出</c:v>
                </c:pt>
              </c:strCache>
            </c:strRef>
          </c:cat>
          <c:val>
            <c:numRef>
              <c:f>'2019'!$C$7:$C$11</c:f>
              <c:numCache>
                <c:formatCode>0.00</c:formatCode>
                <c:ptCount val="5"/>
                <c:pt idx="0">
                  <c:v>1111.32</c:v>
                </c:pt>
                <c:pt idx="1">
                  <c:v>110.45</c:v>
                </c:pt>
                <c:pt idx="2">
                  <c:v>668.7</c:v>
                </c:pt>
                <c:pt idx="3">
                  <c:v>3933.05</c:v>
                </c:pt>
                <c:pt idx="4">
                  <c:v>174.04</c:v>
                </c:pt>
              </c:numCache>
            </c:numRef>
          </c:val>
          <c:extLst>
            <c:ext xmlns:c16="http://schemas.microsoft.com/office/drawing/2014/chart" uri="{C3380CC4-5D6E-409C-BE32-E72D297353CC}">
              <c16:uniqueId val="{00000004-9FBF-4C19-8AD9-7E39511FDF7F}"/>
            </c:ext>
          </c:extLst>
        </c:ser>
        <c:ser>
          <c:idx val="1"/>
          <c:order val="1"/>
          <c:tx>
            <c:strRef>
              <c:f>'2019'!$D$6</c:f>
              <c:strCache>
                <c:ptCount val="1"/>
                <c:pt idx="0">
                  <c:v>决算</c:v>
                </c:pt>
              </c:strCache>
            </c:strRef>
          </c:tx>
          <c:invertIfNegative val="0"/>
          <c:dLbls>
            <c:dLbl>
              <c:idx val="0"/>
              <c:layout>
                <c:manualLayout>
                  <c:x val="1.78996074688525E-2"/>
                  <c:y val="-5.595238095238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BF-4C19-8AD9-7E39511FDF7F}"/>
                </c:ext>
              </c:extLst>
            </c:dLbl>
            <c:dLbl>
              <c:idx val="1"/>
              <c:layout>
                <c:manualLayout>
                  <c:x val="1.8808780524569201E-2"/>
                  <c:y val="-1.197605166864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BF-4C19-8AD9-7E39511FDF7F}"/>
                </c:ext>
              </c:extLst>
            </c:dLbl>
            <c:dLbl>
              <c:idx val="2"/>
              <c:layout>
                <c:manualLayout>
                  <c:x val="3.6111111111111198E-2"/>
                  <c:y val="-1.85185185185186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BF-4C19-8AD9-7E39511FDF7F}"/>
                </c:ext>
              </c:extLst>
            </c:dLbl>
            <c:dLbl>
              <c:idx val="3"/>
              <c:layout>
                <c:manualLayout>
                  <c:x val="2.50712250712255E-2"/>
                  <c:y val="9.52380952380951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FBF-4C19-8AD9-7E39511FDF7F}"/>
                </c:ext>
              </c:extLst>
            </c:dLbl>
            <c:dLbl>
              <c:idx val="4"/>
              <c:layout>
                <c:manualLayout>
                  <c:x val="2.3935213226551798E-2"/>
                  <c:y val="3.07949006374205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FBF-4C19-8AD9-7E39511FDF7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'2019'!$B$7:$B$11</c:f>
              <c:strCache>
                <c:ptCount val="5"/>
                <c:pt idx="0">
                  <c:v>社会保障和就业支出</c:v>
                </c:pt>
                <c:pt idx="1">
                  <c:v>卫生健康支出</c:v>
                </c:pt>
                <c:pt idx="2">
                  <c:v>城乡社区支出</c:v>
                </c:pt>
                <c:pt idx="3">
                  <c:v>农林水支出</c:v>
                </c:pt>
                <c:pt idx="4">
                  <c:v>住房保障支出</c:v>
                </c:pt>
              </c:strCache>
            </c:strRef>
          </c:cat>
          <c:val>
            <c:numRef>
              <c:f>'2019'!$D$7:$D$11</c:f>
              <c:numCache>
                <c:formatCode>0.00</c:formatCode>
                <c:ptCount val="5"/>
                <c:pt idx="0">
                  <c:v>1648.39</c:v>
                </c:pt>
                <c:pt idx="1">
                  <c:v>87.77</c:v>
                </c:pt>
                <c:pt idx="2">
                  <c:v>296.08</c:v>
                </c:pt>
                <c:pt idx="3">
                  <c:v>5551.14</c:v>
                </c:pt>
                <c:pt idx="4">
                  <c:v>173.72</c:v>
                </c:pt>
              </c:numCache>
            </c:numRef>
          </c:val>
          <c:extLst>
            <c:ext xmlns:c16="http://schemas.microsoft.com/office/drawing/2014/chart" uri="{C3380CC4-5D6E-409C-BE32-E72D297353CC}">
              <c16:uniqueId val="{0000000A-9FBF-4C19-8AD9-7E39511FDF7F}"/>
            </c:ext>
          </c:extLst>
        </c:ser>
        <c:dLbls>
          <c:showLegendKey val="0"/>
          <c:showVal val="1"/>
          <c:showCatName val="0"/>
          <c:showSerName val="0"/>
          <c:showPercent val="0"/>
          <c:showBubbleSize val="0"/>
        </c:dLbls>
        <c:gapWidth val="150"/>
        <c:axId val="216466944"/>
        <c:axId val="216468480"/>
      </c:barChart>
      <c:catAx>
        <c:axId val="2164669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6468480"/>
        <c:crosses val="autoZero"/>
        <c:auto val="1"/>
        <c:lblAlgn val="ctr"/>
        <c:lblOffset val="100"/>
        <c:noMultiLvlLbl val="0"/>
      </c:catAx>
      <c:valAx>
        <c:axId val="216468480"/>
        <c:scaling>
          <c:orientation val="minMax"/>
          <c:max val="6000"/>
          <c:min val="0"/>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6466944"/>
        <c:crosses val="autoZero"/>
        <c:crossBetween val="between"/>
        <c:majorUnit val="1000"/>
        <c:minorUnit val="200"/>
      </c:valAx>
    </c:plotArea>
    <c:legend>
      <c:legendPos val="r"/>
      <c:layout>
        <c:manualLayout>
          <c:xMode val="edge"/>
          <c:yMode val="edge"/>
          <c:x val="0.91082384755382195"/>
          <c:y val="0.29174165729283802"/>
          <c:w val="7.7292569017775301E-2"/>
          <c:h val="0.144374603352225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243657042869598E-2"/>
          <c:y val="0.22453703703703801"/>
          <c:w val="0.55277777777777803"/>
          <c:h val="0.77546296296295503"/>
        </c:manualLayout>
      </c:layout>
      <c:pieChart>
        <c:varyColors val="1"/>
        <c:ser>
          <c:idx val="0"/>
          <c:order val="0"/>
          <c:dPt>
            <c:idx val="0"/>
            <c:bubble3D val="0"/>
            <c:extLst>
              <c:ext xmlns:c16="http://schemas.microsoft.com/office/drawing/2014/chart" uri="{C3380CC4-5D6E-409C-BE32-E72D297353CC}">
                <c16:uniqueId val="{00000000-D27A-4595-8421-FBBE651BA114}"/>
              </c:ext>
            </c:extLst>
          </c:dPt>
          <c:dPt>
            <c:idx val="1"/>
            <c:bubble3D val="0"/>
            <c:extLst>
              <c:ext xmlns:c16="http://schemas.microsoft.com/office/drawing/2014/chart" uri="{C3380CC4-5D6E-409C-BE32-E72D297353CC}">
                <c16:uniqueId val="{00000001-D27A-4595-8421-FBBE651BA114}"/>
              </c:ext>
            </c:extLst>
          </c:dPt>
          <c:dPt>
            <c:idx val="2"/>
            <c:bubble3D val="0"/>
            <c:extLst>
              <c:ext xmlns:c16="http://schemas.microsoft.com/office/drawing/2014/chart" uri="{C3380CC4-5D6E-409C-BE32-E72D297353CC}">
                <c16:uniqueId val="{00000002-D27A-4595-8421-FBBE651BA114}"/>
              </c:ext>
            </c:extLst>
          </c:dPt>
          <c:dPt>
            <c:idx val="3"/>
            <c:bubble3D val="0"/>
            <c:extLst>
              <c:ext xmlns:c16="http://schemas.microsoft.com/office/drawing/2014/chart" uri="{C3380CC4-5D6E-409C-BE32-E72D297353CC}">
                <c16:uniqueId val="{00000003-D27A-4595-8421-FBBE651BA114}"/>
              </c:ext>
            </c:extLst>
          </c:dPt>
          <c:dPt>
            <c:idx val="4"/>
            <c:bubble3D val="0"/>
            <c:extLst>
              <c:ext xmlns:c16="http://schemas.microsoft.com/office/drawing/2014/chart" uri="{C3380CC4-5D6E-409C-BE32-E72D297353CC}">
                <c16:uniqueId val="{00000004-D27A-4595-8421-FBBE651BA114}"/>
              </c:ext>
            </c:extLst>
          </c:dPt>
          <c:dLbls>
            <c:dLbl>
              <c:idx val="0"/>
              <c:layout>
                <c:manualLayout>
                  <c:x val="-3.3287510936132997E-2"/>
                  <c:y val="-2.6248177311169799E-2"/>
                </c:manualLayout>
              </c:layout>
              <c:tx>
                <c:rich>
                  <a:bodyPr/>
                  <a:lstStyle/>
                  <a:p>
                    <a:r>
                      <a:rPr lang="en-US" altLang="en-US"/>
                      <a:t>1790.86</a:t>
                    </a:r>
                    <a:r>
                      <a:rPr lang="zh-CN" altLang="en-US"/>
                      <a:t>，</a:t>
                    </a:r>
                    <a:r>
                      <a:rPr lang="en-US" altLang="zh-CN"/>
                      <a:t>23%</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7A-4595-8421-FBBE651BA114}"/>
                </c:ext>
              </c:extLst>
            </c:dLbl>
            <c:dLbl>
              <c:idx val="1"/>
              <c:layout>
                <c:manualLayout>
                  <c:x val="4.2339238845144997E-2"/>
                  <c:y val="0.111663750364538"/>
                </c:manualLayout>
              </c:layout>
              <c:tx>
                <c:rich>
                  <a:bodyPr/>
                  <a:lstStyle/>
                  <a:p>
                    <a:r>
                      <a:rPr lang="en-US" altLang="en-US"/>
                      <a:t>87.77</a:t>
                    </a:r>
                    <a:r>
                      <a:rPr lang="zh-CN" altLang="en-US"/>
                      <a:t>，</a:t>
                    </a:r>
                    <a:r>
                      <a:rPr lang="en-US" altLang="zh-CN"/>
                      <a:t>1%</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7A-4595-8421-FBBE651BA114}"/>
                </c:ext>
              </c:extLst>
            </c:dLbl>
            <c:dLbl>
              <c:idx val="2"/>
              <c:layout>
                <c:manualLayout>
                  <c:x val="6.1404199475065596E-3"/>
                  <c:y val="0.15657042869641299"/>
                </c:manualLayout>
              </c:layout>
              <c:tx>
                <c:rich>
                  <a:bodyPr/>
                  <a:lstStyle/>
                  <a:p>
                    <a:r>
                      <a:rPr lang="en-US" altLang="en-US"/>
                      <a:t>296.08</a:t>
                    </a:r>
                    <a:r>
                      <a:rPr lang="zh-CN" altLang="en-US"/>
                      <a:t>，</a:t>
                    </a:r>
                    <a:r>
                      <a:rPr lang="en-US" altLang="zh-CN"/>
                      <a:t>4%</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7A-4595-8421-FBBE651BA114}"/>
                </c:ext>
              </c:extLst>
            </c:dLbl>
            <c:dLbl>
              <c:idx val="3"/>
              <c:layout>
                <c:manualLayout>
                  <c:x val="0.154534776902887"/>
                  <c:y val="-0.150789953339167"/>
                </c:manualLayout>
              </c:layout>
              <c:tx>
                <c:rich>
                  <a:bodyPr/>
                  <a:lstStyle/>
                  <a:p>
                    <a:r>
                      <a:rPr lang="en-US" altLang="en-US"/>
                      <a:t>5492.84</a:t>
                    </a:r>
                    <a:r>
                      <a:rPr lang="zh-CN" altLang="en-US"/>
                      <a:t>，</a:t>
                    </a:r>
                    <a:r>
                      <a:rPr lang="en-US" altLang="zh-CN"/>
                      <a:t>70%</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7A-4595-8421-FBBE651BA114}"/>
                </c:ext>
              </c:extLst>
            </c:dLbl>
            <c:dLbl>
              <c:idx val="4"/>
              <c:layout>
                <c:manualLayout>
                  <c:x val="-0.174721128608924"/>
                  <c:y val="1.31671041119861E-2"/>
                </c:manualLayout>
              </c:layout>
              <c:tx>
                <c:rich>
                  <a:bodyPr/>
                  <a:lstStyle/>
                  <a:p>
                    <a:r>
                      <a:rPr lang="en-US" altLang="en-US"/>
                      <a:t>173.72</a:t>
                    </a:r>
                    <a:r>
                      <a:rPr lang="zh-CN" altLang="en-US"/>
                      <a:t>，</a:t>
                    </a:r>
                    <a:r>
                      <a:rPr lang="en-US" altLang="zh-CN"/>
                      <a:t>2%</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7A-4595-8421-FBBE651BA114}"/>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'2019'!$B$74:$B$78</c:f>
              <c:strCache>
                <c:ptCount val="5"/>
                <c:pt idx="0">
                  <c:v>社会保障和就业支出</c:v>
                </c:pt>
                <c:pt idx="1">
                  <c:v>卫生健康支出</c:v>
                </c:pt>
                <c:pt idx="2">
                  <c:v>城乡社区支出</c:v>
                </c:pt>
                <c:pt idx="3">
                  <c:v>农林水支出</c:v>
                </c:pt>
                <c:pt idx="4">
                  <c:v>住房保障支出</c:v>
                </c:pt>
              </c:strCache>
            </c:strRef>
          </c:cat>
          <c:val>
            <c:numRef>
              <c:f>'2019'!$C$74:$C$78</c:f>
              <c:numCache>
                <c:formatCode>0.00</c:formatCode>
                <c:ptCount val="5"/>
                <c:pt idx="0">
                  <c:v>1790.86</c:v>
                </c:pt>
                <c:pt idx="1">
                  <c:v>87.77</c:v>
                </c:pt>
                <c:pt idx="2">
                  <c:v>296.08</c:v>
                </c:pt>
                <c:pt idx="3">
                  <c:v>5492.84</c:v>
                </c:pt>
                <c:pt idx="4">
                  <c:v>173.72</c:v>
                </c:pt>
              </c:numCache>
            </c:numRef>
          </c:val>
          <c:extLst>
            <c:ext xmlns:c16="http://schemas.microsoft.com/office/drawing/2014/chart" uri="{C3380CC4-5D6E-409C-BE32-E72D297353CC}">
              <c16:uniqueId val="{00000005-D27A-4595-8421-FBBE651BA114}"/>
            </c:ext>
          </c:extLst>
        </c:ser>
        <c:ser>
          <c:idx val="1"/>
          <c:order val="1"/>
          <c:dPt>
            <c:idx val="0"/>
            <c:bubble3D val="0"/>
            <c:extLst>
              <c:ext xmlns:c16="http://schemas.microsoft.com/office/drawing/2014/chart" uri="{C3380CC4-5D6E-409C-BE32-E72D297353CC}">
                <c16:uniqueId val="{00000006-D27A-4595-8421-FBBE651BA114}"/>
              </c:ext>
            </c:extLst>
          </c:dPt>
          <c:dPt>
            <c:idx val="1"/>
            <c:bubble3D val="0"/>
            <c:extLst>
              <c:ext xmlns:c16="http://schemas.microsoft.com/office/drawing/2014/chart" uri="{C3380CC4-5D6E-409C-BE32-E72D297353CC}">
                <c16:uniqueId val="{00000007-D27A-4595-8421-FBBE651BA114}"/>
              </c:ext>
            </c:extLst>
          </c:dPt>
          <c:dPt>
            <c:idx val="2"/>
            <c:bubble3D val="0"/>
            <c:extLst>
              <c:ext xmlns:c16="http://schemas.microsoft.com/office/drawing/2014/chart" uri="{C3380CC4-5D6E-409C-BE32-E72D297353CC}">
                <c16:uniqueId val="{00000008-D27A-4595-8421-FBBE651BA114}"/>
              </c:ext>
            </c:extLst>
          </c:dPt>
          <c:dPt>
            <c:idx val="3"/>
            <c:bubble3D val="0"/>
            <c:extLst>
              <c:ext xmlns:c16="http://schemas.microsoft.com/office/drawing/2014/chart" uri="{C3380CC4-5D6E-409C-BE32-E72D297353CC}">
                <c16:uniqueId val="{00000009-D27A-4595-8421-FBBE651BA114}"/>
              </c:ext>
            </c:extLst>
          </c:dPt>
          <c:dPt>
            <c:idx val="4"/>
            <c:bubble3D val="0"/>
            <c:extLst>
              <c:ext xmlns:c16="http://schemas.microsoft.com/office/drawing/2014/chart" uri="{C3380CC4-5D6E-409C-BE32-E72D297353CC}">
                <c16:uniqueId val="{0000000A-D27A-4595-8421-FBBE651BA114}"/>
              </c:ext>
            </c:extLst>
          </c:dPt>
          <c:cat>
            <c:strRef>
              <c:f>'2019'!$B$74:$B$78</c:f>
              <c:strCache>
                <c:ptCount val="5"/>
                <c:pt idx="0">
                  <c:v>社会保障和就业支出</c:v>
                </c:pt>
                <c:pt idx="1">
                  <c:v>卫生健康支出</c:v>
                </c:pt>
                <c:pt idx="2">
                  <c:v>城乡社区支出</c:v>
                </c:pt>
                <c:pt idx="3">
                  <c:v>农林水支出</c:v>
                </c:pt>
                <c:pt idx="4">
                  <c:v>住房保障支出</c:v>
                </c:pt>
              </c:strCache>
            </c:strRef>
          </c:cat>
          <c:val>
            <c:numRef>
              <c:f>'2019'!$D$74:$D$78</c:f>
              <c:numCache>
                <c:formatCode>0%</c:formatCode>
                <c:ptCount val="5"/>
                <c:pt idx="0">
                  <c:v>0.23</c:v>
                </c:pt>
                <c:pt idx="1">
                  <c:v>0.01</c:v>
                </c:pt>
                <c:pt idx="2">
                  <c:v>0.04</c:v>
                </c:pt>
                <c:pt idx="3">
                  <c:v>0.70000000000000095</c:v>
                </c:pt>
                <c:pt idx="4">
                  <c:v>0.02</c:v>
                </c:pt>
              </c:numCache>
            </c:numRef>
          </c:val>
          <c:extLst>
            <c:ext xmlns:c16="http://schemas.microsoft.com/office/drawing/2014/chart" uri="{C3380CC4-5D6E-409C-BE32-E72D297353CC}">
              <c16:uniqueId val="{0000000B-D27A-4595-8421-FBBE651BA11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004308836395501"/>
          <c:y val="0.216632764654418"/>
          <c:w val="0.297179133858269"/>
          <c:h val="0.41858595800525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34126752675"/>
          <c:y val="0.18364173343750401"/>
          <c:w val="0.79603475491489495"/>
          <c:h val="0.47026987900490702"/>
        </c:manualLayout>
      </c:layout>
      <c:barChart>
        <c:barDir val="col"/>
        <c:grouping val="clustered"/>
        <c:varyColors val="0"/>
        <c:ser>
          <c:idx val="0"/>
          <c:order val="0"/>
          <c:tx>
            <c:strRef>
              <c:f>'2019'!$C$104</c:f>
              <c:strCache>
                <c:ptCount val="1"/>
                <c:pt idx="0">
                  <c:v>预算</c:v>
                </c:pt>
              </c:strCache>
            </c:strRef>
          </c:tx>
          <c:invertIfNegative val="0"/>
          <c:dLbls>
            <c:dLbl>
              <c:idx val="0"/>
              <c:layout>
                <c:manualLayout>
                  <c:x val="-1.41093474426808E-2"/>
                  <c:y val="-1.13960079873752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A1-4122-B7DB-61C2E5FDA68A}"/>
                </c:ext>
              </c:extLst>
            </c:dLbl>
            <c:dLbl>
              <c:idx val="1"/>
              <c:layout>
                <c:manualLayout>
                  <c:x val="-1.64609053497944E-2"/>
                  <c:y val="-3.798669329125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A1-4122-B7DB-61C2E5FDA68A}"/>
                </c:ext>
              </c:extLst>
            </c:dLbl>
            <c:dLbl>
              <c:idx val="2"/>
              <c:layout>
                <c:manualLayout>
                  <c:x val="-9.4062316284538507E-3"/>
                  <c:y val="-2.27920159747505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A1-4122-B7DB-61C2E5FDA68A}"/>
                </c:ext>
              </c:extLst>
            </c:dLbl>
            <c:dLbl>
              <c:idx val="3"/>
              <c:layout>
                <c:manualLayout>
                  <c:x val="-2.821869488536159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A1-4122-B7DB-61C2E5FDA68A}"/>
                </c:ext>
              </c:extLst>
            </c:dLbl>
            <c:dLbl>
              <c:idx val="4"/>
              <c:layout>
                <c:manualLayout>
                  <c:x val="-9.4062316284537692E-3"/>
                  <c:y val="-2.27920159747505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A1-4122-B7DB-61C2E5FDA68A}"/>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'2019'!$B$105:$B$109</c:f>
              <c:strCache>
                <c:ptCount val="5"/>
                <c:pt idx="0">
                  <c:v>社会保障和就业支出</c:v>
                </c:pt>
                <c:pt idx="1">
                  <c:v>卫生健康支出</c:v>
                </c:pt>
                <c:pt idx="2">
                  <c:v>城乡社区支出</c:v>
                </c:pt>
                <c:pt idx="3">
                  <c:v>农林水支出</c:v>
                </c:pt>
                <c:pt idx="4">
                  <c:v>住房保障支出</c:v>
                </c:pt>
              </c:strCache>
            </c:strRef>
          </c:cat>
          <c:val>
            <c:numRef>
              <c:f>'2019'!$C$105:$C$109</c:f>
              <c:numCache>
                <c:formatCode>0.00</c:formatCode>
                <c:ptCount val="5"/>
                <c:pt idx="0">
                  <c:v>1111.32</c:v>
                </c:pt>
                <c:pt idx="1">
                  <c:v>110.45</c:v>
                </c:pt>
                <c:pt idx="2">
                  <c:v>668.7</c:v>
                </c:pt>
                <c:pt idx="3">
                  <c:v>3933.05</c:v>
                </c:pt>
                <c:pt idx="4">
                  <c:v>174.04</c:v>
                </c:pt>
              </c:numCache>
            </c:numRef>
          </c:val>
          <c:extLst>
            <c:ext xmlns:c16="http://schemas.microsoft.com/office/drawing/2014/chart" uri="{C3380CC4-5D6E-409C-BE32-E72D297353CC}">
              <c16:uniqueId val="{00000005-C8A1-4122-B7DB-61C2E5FDA68A}"/>
            </c:ext>
          </c:extLst>
        </c:ser>
        <c:ser>
          <c:idx val="1"/>
          <c:order val="1"/>
          <c:tx>
            <c:strRef>
              <c:f>'2019'!$D$104</c:f>
              <c:strCache>
                <c:ptCount val="1"/>
                <c:pt idx="0">
                  <c:v>决算</c:v>
                </c:pt>
              </c:strCache>
            </c:strRef>
          </c:tx>
          <c:invertIfNegative val="0"/>
          <c:dLbls>
            <c:dLbl>
              <c:idx val="0"/>
              <c:layout>
                <c:manualLayout>
                  <c:x val="7.0546737213404397E-3"/>
                  <c:y val="-1.519467731650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A1-4122-B7DB-61C2E5FDA68A}"/>
                </c:ext>
              </c:extLst>
            </c:dLbl>
            <c:dLbl>
              <c:idx val="1"/>
              <c:layout>
                <c:manualLayout>
                  <c:x val="2.11640211640211E-2"/>
                  <c:y val="-1.13960079873752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A1-4122-B7DB-61C2E5FDA68A}"/>
                </c:ext>
              </c:extLst>
            </c:dLbl>
            <c:dLbl>
              <c:idx val="2"/>
              <c:layout>
                <c:manualLayout>
                  <c:x val="2.1164021164021201E-2"/>
                  <c:y val="-3.79866932912509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8A1-4122-B7DB-61C2E5FDA68A}"/>
                </c:ext>
              </c:extLst>
            </c:dLbl>
            <c:dLbl>
              <c:idx val="3"/>
              <c:layout>
                <c:manualLayout>
                  <c:x val="9.4062316284538507E-3"/>
                  <c:y val="1.741036663244949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8A1-4122-B7DB-61C2E5FDA68A}"/>
                </c:ext>
              </c:extLst>
            </c:dLbl>
            <c:dLbl>
              <c:idx val="4"/>
              <c:layout>
                <c:manualLayout>
                  <c:x val="2.8218694885361599E-2"/>
                  <c:y val="-7.5973386582500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8A1-4122-B7DB-61C2E5FDA68A}"/>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'2019'!$B$105:$B$109</c:f>
              <c:strCache>
                <c:ptCount val="5"/>
                <c:pt idx="0">
                  <c:v>社会保障和就业支出</c:v>
                </c:pt>
                <c:pt idx="1">
                  <c:v>卫生健康支出</c:v>
                </c:pt>
                <c:pt idx="2">
                  <c:v>城乡社区支出</c:v>
                </c:pt>
                <c:pt idx="3">
                  <c:v>农林水支出</c:v>
                </c:pt>
                <c:pt idx="4">
                  <c:v>住房保障支出</c:v>
                </c:pt>
              </c:strCache>
            </c:strRef>
          </c:cat>
          <c:val>
            <c:numRef>
              <c:f>'2019'!$D$105:$D$109</c:f>
              <c:numCache>
                <c:formatCode>0.00</c:formatCode>
                <c:ptCount val="5"/>
                <c:pt idx="0">
                  <c:v>1790.86</c:v>
                </c:pt>
                <c:pt idx="1">
                  <c:v>87.77</c:v>
                </c:pt>
                <c:pt idx="2">
                  <c:v>296.08</c:v>
                </c:pt>
                <c:pt idx="3">
                  <c:v>5492.84</c:v>
                </c:pt>
                <c:pt idx="4">
                  <c:v>173.72</c:v>
                </c:pt>
              </c:numCache>
            </c:numRef>
          </c:val>
          <c:extLst>
            <c:ext xmlns:c16="http://schemas.microsoft.com/office/drawing/2014/chart" uri="{C3380CC4-5D6E-409C-BE32-E72D297353CC}">
              <c16:uniqueId val="{0000000B-C8A1-4122-B7DB-61C2E5FDA68A}"/>
            </c:ext>
          </c:extLst>
        </c:ser>
        <c:dLbls>
          <c:showLegendKey val="0"/>
          <c:showVal val="1"/>
          <c:showCatName val="0"/>
          <c:showSerName val="0"/>
          <c:showPercent val="0"/>
          <c:showBubbleSize val="0"/>
        </c:dLbls>
        <c:gapWidth val="150"/>
        <c:axId val="217506944"/>
        <c:axId val="217508480"/>
      </c:barChart>
      <c:catAx>
        <c:axId val="2175069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7508480"/>
        <c:crosses val="autoZero"/>
        <c:auto val="1"/>
        <c:lblAlgn val="ctr"/>
        <c:lblOffset val="100"/>
        <c:noMultiLvlLbl val="0"/>
      </c:catAx>
      <c:valAx>
        <c:axId val="21750848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7506944"/>
        <c:crosses val="autoZero"/>
        <c:crossBetween val="between"/>
        <c:majorUnit val="1000"/>
      </c:valAx>
    </c:plotArea>
    <c:legend>
      <c:legendPos val="r"/>
      <c:layout>
        <c:manualLayout>
          <c:xMode val="edge"/>
          <c:yMode val="edge"/>
          <c:x val="0.90597416063732705"/>
          <c:y val="0.32874491965366098"/>
          <c:w val="8.6971165641331893E-2"/>
          <c:h val="0.137382016919930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0.33958</cdr:x>
      <cdr:y>0.01923</cdr:y>
    </cdr:from>
    <cdr:to>
      <cdr:x>0.7875</cdr:x>
      <cdr:y>0.11859</cdr:y>
    </cdr:to>
    <cdr:sp macro="" textlink="">
      <cdr:nvSpPr>
        <cdr:cNvPr id="2" name="矩形 1"/>
        <cdr:cNvSpPr/>
      </cdr:nvSpPr>
      <cdr:spPr>
        <a:xfrm xmlns:a="http://schemas.openxmlformats.org/drawingml/2006/main">
          <a:off x="1552575" y="57150"/>
          <a:ext cx="2047875" cy="29527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US" altLang="zh-CN" sz="1100"/>
            <a:t>2019</a:t>
          </a:r>
          <a:r>
            <a:rPr lang="zh-CN" altLang="en-US" sz="1100"/>
            <a:t>年决算收入结构图</a:t>
          </a:r>
        </a:p>
      </cdr:txBody>
    </cdr:sp>
  </cdr:relSizeAnchor>
  <cdr:relSizeAnchor xmlns:cdr="http://schemas.openxmlformats.org/drawingml/2006/chartDrawing">
    <cdr:from>
      <cdr:x>0.79583</cdr:x>
      <cdr:y>0.07692</cdr:y>
    </cdr:from>
    <cdr:to>
      <cdr:x>0.99583</cdr:x>
      <cdr:y>0.1859</cdr:y>
    </cdr:to>
    <cdr:sp macro="" textlink="">
      <cdr:nvSpPr>
        <cdr:cNvPr id="3" name="矩形 2"/>
        <cdr:cNvSpPr/>
      </cdr:nvSpPr>
      <cdr:spPr>
        <a:xfrm xmlns:a="http://schemas.openxmlformats.org/drawingml/2006/main">
          <a:off x="3638550" y="228600"/>
          <a:ext cx="91440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9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0.19167</cdr:x>
      <cdr:y>0.03472</cdr:y>
    </cdr:from>
    <cdr:to>
      <cdr:x>0.75833</cdr:x>
      <cdr:y>0.13194</cdr:y>
    </cdr:to>
    <cdr:sp macro="" textlink="">
      <cdr:nvSpPr>
        <cdr:cNvPr id="2" name="矩形 1"/>
        <cdr:cNvSpPr/>
      </cdr:nvSpPr>
      <cdr:spPr>
        <a:xfrm xmlns:a="http://schemas.openxmlformats.org/drawingml/2006/main">
          <a:off x="876300" y="95250"/>
          <a:ext cx="2590800" cy="2667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US" altLang="zh-CN" sz="1100"/>
            <a:t>2019</a:t>
          </a:r>
          <a:r>
            <a:rPr lang="zh-CN" altLang="en-US" sz="1100"/>
            <a:t>年度预算收入与决算收入对比图</a:t>
          </a:r>
        </a:p>
      </cdr:txBody>
    </cdr:sp>
  </cdr:relSizeAnchor>
  <cdr:relSizeAnchor xmlns:cdr="http://schemas.openxmlformats.org/drawingml/2006/chartDrawing">
    <cdr:from>
      <cdr:x>0.85088</cdr:x>
      <cdr:y>0.06872</cdr:y>
    </cdr:from>
    <cdr:to>
      <cdr:x>1</cdr:x>
      <cdr:y>0.14134</cdr:y>
    </cdr:to>
    <cdr:sp macro="" textlink="">
      <cdr:nvSpPr>
        <cdr:cNvPr id="3" name="矩形 2"/>
        <cdr:cNvSpPr/>
      </cdr:nvSpPr>
      <cdr:spPr>
        <a:xfrm xmlns:a="http://schemas.openxmlformats.org/drawingml/2006/main">
          <a:off x="4491071" y="189868"/>
          <a:ext cx="787049" cy="200657"/>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90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0.2</cdr:x>
      <cdr:y>0.02083</cdr:y>
    </cdr:from>
    <cdr:to>
      <cdr:x>0.66042</cdr:x>
      <cdr:y>0.125</cdr:y>
    </cdr:to>
    <cdr:sp macro="" textlink="">
      <cdr:nvSpPr>
        <cdr:cNvPr id="2" name="矩形 1"/>
        <cdr:cNvSpPr/>
      </cdr:nvSpPr>
      <cdr:spPr>
        <a:xfrm xmlns:a="http://schemas.openxmlformats.org/drawingml/2006/main">
          <a:off x="914400" y="57150"/>
          <a:ext cx="2105025" cy="2857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US" altLang="zh-CN" sz="1200"/>
            <a:t>2019</a:t>
          </a:r>
          <a:r>
            <a:rPr lang="zh-CN" altLang="en-US" sz="1200"/>
            <a:t>年度决算支出结构图</a:t>
          </a:r>
        </a:p>
      </cdr:txBody>
    </cdr:sp>
  </cdr:relSizeAnchor>
  <cdr:relSizeAnchor xmlns:cdr="http://schemas.openxmlformats.org/drawingml/2006/chartDrawing">
    <cdr:from>
      <cdr:x>0.7375</cdr:x>
      <cdr:y>0.05556</cdr:y>
    </cdr:from>
    <cdr:to>
      <cdr:x>0.95625</cdr:x>
      <cdr:y>0.15278</cdr:y>
    </cdr:to>
    <cdr:sp macro="" textlink="">
      <cdr:nvSpPr>
        <cdr:cNvPr id="3" name="矩形 2"/>
        <cdr:cNvSpPr/>
      </cdr:nvSpPr>
      <cdr:spPr>
        <a:xfrm xmlns:a="http://schemas.openxmlformats.org/drawingml/2006/main">
          <a:off x="3371850" y="152400"/>
          <a:ext cx="1000125" cy="2667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a:t>
          </a:r>
          <a:r>
            <a:rPr lang="en-US" altLang="zh-CN" sz="1000"/>
            <a:t>:</a:t>
          </a:r>
          <a:r>
            <a:rPr lang="zh-CN" altLang="en-US" sz="1000"/>
            <a:t>万元</a:t>
          </a:r>
        </a:p>
      </cdr:txBody>
    </cdr:sp>
  </cdr:relSizeAnchor>
</c:userShapes>
</file>

<file path=word/drawings/drawing4.xml><?xml version="1.0" encoding="utf-8"?>
<c:userShapes xmlns:c="http://schemas.openxmlformats.org/drawingml/2006/chart">
  <cdr:relSizeAnchor xmlns:cdr="http://schemas.openxmlformats.org/drawingml/2006/chartDrawing">
    <cdr:from>
      <cdr:x>0.2187</cdr:x>
      <cdr:y>0.03134</cdr:y>
    </cdr:from>
    <cdr:to>
      <cdr:x>0.65256</cdr:x>
      <cdr:y>0.12536</cdr:y>
    </cdr:to>
    <cdr:sp macro="" textlink="">
      <cdr:nvSpPr>
        <cdr:cNvPr id="2" name="矩形 1"/>
        <cdr:cNvSpPr/>
      </cdr:nvSpPr>
      <cdr:spPr>
        <a:xfrm xmlns:a="http://schemas.openxmlformats.org/drawingml/2006/main">
          <a:off x="1181101" y="104776"/>
          <a:ext cx="2343150" cy="3143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0.20811</cdr:x>
      <cdr:y>0.01709</cdr:y>
    </cdr:from>
    <cdr:to>
      <cdr:x>0.71429</cdr:x>
      <cdr:y>0.08547</cdr:y>
    </cdr:to>
    <cdr:sp macro="" textlink="">
      <cdr:nvSpPr>
        <cdr:cNvPr id="3" name="矩形 2"/>
        <cdr:cNvSpPr/>
      </cdr:nvSpPr>
      <cdr:spPr>
        <a:xfrm xmlns:a="http://schemas.openxmlformats.org/drawingml/2006/main">
          <a:off x="1123951" y="57151"/>
          <a:ext cx="2733675" cy="2286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US" altLang="zh-CN" sz="1200"/>
            <a:t>2019</a:t>
          </a:r>
          <a:r>
            <a:rPr lang="zh-CN" altLang="en-US" sz="1200"/>
            <a:t>年度预算支出与决算支出对比图</a:t>
          </a:r>
        </a:p>
      </cdr:txBody>
    </cdr:sp>
  </cdr:relSizeAnchor>
  <cdr:relSizeAnchor xmlns:cdr="http://schemas.openxmlformats.org/drawingml/2006/chartDrawing">
    <cdr:from>
      <cdr:x>0.83069</cdr:x>
      <cdr:y>0.08077</cdr:y>
    </cdr:from>
    <cdr:to>
      <cdr:x>1</cdr:x>
      <cdr:y>0.17478</cdr:y>
    </cdr:to>
    <cdr:sp macro="" textlink="">
      <cdr:nvSpPr>
        <cdr:cNvPr id="4" name="矩形 3"/>
        <cdr:cNvSpPr/>
      </cdr:nvSpPr>
      <cdr:spPr>
        <a:xfrm xmlns:a="http://schemas.openxmlformats.org/drawingml/2006/main">
          <a:off x="4384482" y="263900"/>
          <a:ext cx="893638" cy="307169"/>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EA3EF-0C92-4D79-926E-EFF3FB09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2956</Words>
  <Characters>16854</Characters>
  <Application>Microsoft Office Word</Application>
  <DocSecurity>0</DocSecurity>
  <Lines>140</Lines>
  <Paragraphs>39</Paragraphs>
  <ScaleCrop>false</ScaleCrop>
  <Company>Microsoft</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cp:lastPrinted>2020-09-02T08:11:00Z</cp:lastPrinted>
  <dcterms:created xsi:type="dcterms:W3CDTF">2023-11-14T13:26:00Z</dcterms:created>
  <dcterms:modified xsi:type="dcterms:W3CDTF">2024-01-11T05:59:00Z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4AE902AF844B4E20888E0852DD4DEAB9</vt:lpwstr>
  </property>
</Properties>
</file>