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1" w:name="_GoBack"/>
      <w:bookmarkEnd w:id="1"/>
      <w:r>
        <w:rPr>
          <w:rFonts w:hint="eastAsia" w:ascii="宋体" w:hAnsi="宋体"/>
          <w:b/>
          <w:sz w:val="44"/>
          <w:szCs w:val="44"/>
        </w:rPr>
        <w:t>保定市徐水区妇女联合会</w:t>
      </w:r>
    </w:p>
    <w:p>
      <w:pPr>
        <w:jc w:val="center"/>
        <w:rPr>
          <w:rFonts w:ascii="宋体" w:hAnsi="宋体"/>
          <w:b/>
          <w:sz w:val="44"/>
          <w:szCs w:val="44"/>
        </w:rPr>
      </w:pPr>
      <w:r>
        <w:rPr>
          <w:rFonts w:hint="eastAsia" w:ascii="宋体" w:hAnsi="宋体"/>
          <w:b/>
          <w:sz w:val="44"/>
          <w:szCs w:val="44"/>
        </w:rPr>
        <w:t>2018年部门预算信息公开</w:t>
      </w:r>
    </w:p>
    <w:p>
      <w:pPr>
        <w:spacing w:line="520" w:lineRule="exact"/>
        <w:ind w:firstLine="640" w:firstLineChars="200"/>
        <w:jc w:val="left"/>
        <w:rPr>
          <w:rFonts w:hint="eastAsia" w:ascii="Times New Roman" w:hAnsi="Times New Roman" w:eastAsia="方正仿宋_GBK"/>
          <w:sz w:val="32"/>
          <w:szCs w:val="32"/>
        </w:rPr>
      </w:pPr>
    </w:p>
    <w:p>
      <w:pPr>
        <w:spacing w:line="520" w:lineRule="exact"/>
        <w:ind w:firstLine="640" w:firstLineChars="200"/>
        <w:jc w:val="left"/>
        <w:rPr>
          <w:rFonts w:ascii="黑体" w:hAnsi="黑体" w:eastAsia="黑体"/>
          <w:sz w:val="32"/>
          <w:szCs w:val="32"/>
        </w:rPr>
      </w:pPr>
      <w:r>
        <w:rPr>
          <w:rFonts w:hint="eastAsia" w:ascii="仿宋_GB2312" w:hAnsi="仿宋" w:eastAsia="仿宋_GB2312" w:cs="仿宋_GB2312"/>
          <w:sz w:val="32"/>
          <w:szCs w:val="32"/>
        </w:rPr>
        <w:t>按照《中华人民共和国预算法》、</w:t>
      </w:r>
      <w:r>
        <w:rPr>
          <w:rFonts w:hint="eastAsia" w:ascii="仿宋_GB2312" w:hAnsi="Times New Roman" w:eastAsia="仿宋_GB2312"/>
          <w:sz w:val="32"/>
          <w:szCs w:val="32"/>
        </w:rPr>
        <w:t>《地方预决算公开操作规程》等</w:t>
      </w:r>
      <w:r>
        <w:rPr>
          <w:rFonts w:ascii="仿宋_GB2312" w:hAnsi="Times New Roman" w:eastAsia="仿宋_GB2312"/>
          <w:sz w:val="32"/>
          <w:szCs w:val="32"/>
        </w:rPr>
        <w:t>有关文件的</w:t>
      </w:r>
      <w:r>
        <w:rPr>
          <w:rFonts w:hint="eastAsia" w:ascii="仿宋_GB2312" w:hAnsi="仿宋" w:eastAsia="仿宋_GB2312" w:cs="仿宋_GB2312"/>
          <w:sz w:val="32"/>
          <w:szCs w:val="32"/>
        </w:rPr>
        <w:t>规定，现将我部门2018年预算信息公开如下：</w:t>
      </w:r>
    </w:p>
    <w:p>
      <w:pPr>
        <w:spacing w:line="520" w:lineRule="exact"/>
        <w:ind w:firstLine="640" w:firstLineChars="200"/>
        <w:jc w:val="center"/>
        <w:rPr>
          <w:rFonts w:ascii="黑体" w:hAnsi="黑体" w:eastAsia="黑体"/>
          <w:sz w:val="32"/>
          <w:szCs w:val="32"/>
        </w:rPr>
      </w:pPr>
    </w:p>
    <w:p>
      <w:pPr>
        <w:spacing w:line="52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第一部分:部门职责及机构设置情况</w:t>
      </w:r>
    </w:p>
    <w:p>
      <w:pPr>
        <w:spacing w:line="600" w:lineRule="exact"/>
        <w:ind w:firstLine="643" w:firstLineChars="200"/>
        <w:rPr>
          <w:rStyle w:val="10"/>
          <w:rFonts w:ascii="黑体" w:eastAsia="黑体"/>
          <w:bCs/>
          <w:sz w:val="32"/>
          <w:szCs w:val="32"/>
        </w:rPr>
      </w:pPr>
      <w:r>
        <w:rPr>
          <w:rStyle w:val="10"/>
          <w:rFonts w:hint="eastAsia" w:ascii="黑体" w:eastAsia="黑体"/>
          <w:bCs/>
          <w:sz w:val="32"/>
          <w:szCs w:val="32"/>
        </w:rPr>
        <w:t>一、部门职责</w:t>
      </w:r>
    </w:p>
    <w:p>
      <w:pPr>
        <w:adjustRightInd w:val="0"/>
        <w:snapToGrid w:val="0"/>
        <w:spacing w:line="580" w:lineRule="exact"/>
        <w:ind w:firstLine="420" w:firstLineChars="200"/>
        <w:rPr>
          <w:rFonts w:ascii="仿宋" w:hAnsi="仿宋" w:eastAsia="仿宋" w:cs="仿宋"/>
          <w:sz w:val="32"/>
          <w:szCs w:val="32"/>
        </w:rPr>
      </w:pPr>
      <w:r>
        <w:rPr>
          <w:rFonts w:hint="eastAsia"/>
        </w:rPr>
        <w:t>　</w:t>
      </w:r>
      <w:r>
        <w:rPr>
          <w:rFonts w:hint="eastAsia" w:ascii="仿宋" w:hAnsi="仿宋" w:eastAsia="仿宋" w:cs="仿宋"/>
          <w:sz w:val="32"/>
          <w:szCs w:val="32"/>
        </w:rPr>
        <w:t>徐水区妇女联合会是党领导下的全区各族各界妇女的群众团体，是党和政府联系妇女群众的桥梁和纽带，是国家政权的重要支柱之一，其主要职责包括：</w:t>
      </w:r>
      <w:r>
        <w:rPr>
          <w:rFonts w:ascii="仿宋" w:hAnsi="仿宋" w:eastAsia="仿宋" w:cs="仿宋"/>
          <w:sz w:val="32"/>
          <w:szCs w:val="32"/>
        </w:rPr>
        <w:t xml:space="preserve"> </w:t>
      </w:r>
    </w:p>
    <w:p>
      <w:pPr>
        <w:adjustRightInd w:val="0"/>
        <w:snapToGrid w:val="0"/>
        <w:spacing w:before="240" w:line="58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代表和维护妇女儿童合法权益，促进男女平等。</w:t>
      </w:r>
    </w:p>
    <w:p>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负责党的路线、方针、政策的宣传，向社会宣传妇女，向妇女宣传社会，充分利用三八妇女节，宣传各种先进典型。</w:t>
      </w:r>
    </w:p>
    <w:p>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指导各级妇联组织的培训工作，配合组织部门做好妇女干部的培养选拔。</w:t>
      </w:r>
    </w:p>
    <w:p>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动员组织城乡妇女参与经济建设，组织农村妇女开展双学双比活动，组织城镇妇女开展巾帼建功活动。</w:t>
      </w:r>
    </w:p>
    <w:p>
      <w:pPr>
        <w:adjustRightInd w:val="0"/>
        <w:snapToGrid w:val="0"/>
        <w:spacing w:line="580" w:lineRule="exact"/>
        <w:ind w:firstLine="640" w:firstLineChars="200"/>
        <w:rPr>
          <w:rFonts w:hint="eastAsia"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接待来信来访，为受害妇女提供法律帮助，极大程度的维护妇女合法权益。</w:t>
      </w:r>
      <w:r>
        <w:rPr>
          <w:rFonts w:ascii="仿宋" w:hAnsi="仿宋" w:eastAsia="仿宋" w:cs="仿宋"/>
          <w:sz w:val="32"/>
          <w:szCs w:val="32"/>
        </w:rPr>
        <w:t xml:space="preserve"> </w:t>
      </w:r>
    </w:p>
    <w:p>
      <w:pPr>
        <w:adjustRightInd w:val="0"/>
        <w:snapToGrid w:val="0"/>
        <w:spacing w:line="580" w:lineRule="exact"/>
        <w:ind w:firstLine="640" w:firstLineChars="200"/>
        <w:rPr>
          <w:rFonts w:hint="eastAsia" w:ascii="仿宋" w:hAnsi="仿宋" w:eastAsia="仿宋" w:cs="仿宋"/>
          <w:sz w:val="32"/>
          <w:szCs w:val="32"/>
        </w:rPr>
      </w:pPr>
    </w:p>
    <w:p>
      <w:pPr>
        <w:adjustRightInd w:val="0"/>
        <w:snapToGrid w:val="0"/>
        <w:spacing w:line="580" w:lineRule="exact"/>
        <w:ind w:firstLine="640" w:firstLineChars="200"/>
        <w:rPr>
          <w:rFonts w:hint="eastAsia" w:ascii="仿宋" w:hAnsi="仿宋" w:eastAsia="仿宋" w:cs="仿宋"/>
          <w:sz w:val="32"/>
          <w:szCs w:val="32"/>
        </w:rPr>
      </w:pPr>
    </w:p>
    <w:p>
      <w:pPr>
        <w:adjustRightInd w:val="0"/>
        <w:snapToGrid w:val="0"/>
        <w:spacing w:line="58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pStyle w:val="16"/>
        <w:spacing w:line="520" w:lineRule="exact"/>
        <w:ind w:firstLine="736" w:firstLineChars="230"/>
        <w:rPr>
          <w:rFonts w:hint="eastAsia" w:ascii="黑体" w:hAnsi="黑体" w:eastAsia="黑体"/>
          <w:sz w:val="32"/>
          <w:szCs w:val="32"/>
        </w:rPr>
      </w:pPr>
      <w:r>
        <w:rPr>
          <w:rFonts w:hint="eastAsia" w:ascii="黑体" w:hAnsi="黑体" w:eastAsia="黑体" w:cs="仿宋_GB2312"/>
          <w:sz w:val="32"/>
          <w:szCs w:val="32"/>
        </w:rPr>
        <w:t>二、</w:t>
      </w:r>
      <w:r>
        <w:rPr>
          <w:rFonts w:hint="eastAsia" w:ascii="黑体" w:hAnsi="黑体" w:eastAsia="黑体"/>
          <w:sz w:val="32"/>
          <w:szCs w:val="32"/>
        </w:rPr>
        <w:t>机构设置</w:t>
      </w:r>
    </w:p>
    <w:p>
      <w:pPr>
        <w:jc w:val="center"/>
        <w:outlineLvl w:val="0"/>
        <w:rPr>
          <w:rFonts w:hint="eastAsia" w:ascii="Times New Roman" w:hAnsi="Times New Roman" w:eastAsia="方正小标宋_GBK"/>
          <w:sz w:val="32"/>
          <w:szCs w:val="24"/>
        </w:rPr>
      </w:pPr>
      <w:r>
        <w:rPr>
          <w:rFonts w:ascii="Times New Roman" w:hAnsi="Times New Roman" w:eastAsia="方正小标宋_GBK"/>
          <w:sz w:val="32"/>
          <w:szCs w:val="24"/>
        </w:rPr>
        <w:t>部门</w:t>
      </w:r>
      <w:r>
        <w:rPr>
          <w:rFonts w:hint="eastAsia" w:ascii="Times New Roman" w:hAnsi="Times New Roman" w:eastAsia="方正小标宋_GBK"/>
          <w:sz w:val="32"/>
          <w:szCs w:val="24"/>
        </w:rPr>
        <w:t>机构设置情况</w:t>
      </w:r>
    </w:p>
    <w:tbl>
      <w:tblPr>
        <w:tblStyle w:val="8"/>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6"/>
        <w:gridCol w:w="1395"/>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00" w:hRule="atLeast"/>
          <w:tblHeader/>
          <w:jc w:val="center"/>
        </w:trPr>
        <w:tc>
          <w:tcPr>
            <w:tcW w:w="4156" w:type="dxa"/>
            <w:vMerge w:val="restart"/>
            <w:noWrap w:val="0"/>
            <w:vAlign w:val="center"/>
          </w:tcPr>
          <w:p>
            <w:pPr>
              <w:spacing w:line="300" w:lineRule="exact"/>
              <w:jc w:val="center"/>
              <w:rPr>
                <w:rFonts w:ascii="仿宋" w:hAnsi="仿宋" w:eastAsia="仿宋"/>
                <w:b/>
                <w:sz w:val="24"/>
                <w:szCs w:val="24"/>
              </w:rPr>
            </w:pPr>
            <w:r>
              <w:rPr>
                <w:rFonts w:ascii="仿宋" w:hAnsi="仿宋" w:eastAsia="仿宋"/>
                <w:b/>
                <w:sz w:val="24"/>
                <w:szCs w:val="24"/>
              </w:rPr>
              <w:t>单位名称</w:t>
            </w:r>
          </w:p>
        </w:tc>
        <w:tc>
          <w:tcPr>
            <w:tcW w:w="1395" w:type="dxa"/>
            <w:vMerge w:val="restart"/>
            <w:noWrap w:val="0"/>
            <w:vAlign w:val="center"/>
          </w:tcPr>
          <w:p>
            <w:pPr>
              <w:spacing w:line="300" w:lineRule="exact"/>
              <w:jc w:val="center"/>
              <w:rPr>
                <w:rFonts w:ascii="仿宋" w:hAnsi="仿宋" w:eastAsia="仿宋"/>
                <w:b/>
                <w:sz w:val="24"/>
                <w:szCs w:val="24"/>
              </w:rPr>
            </w:pPr>
            <w:r>
              <w:rPr>
                <w:rFonts w:ascii="仿宋" w:hAnsi="仿宋" w:eastAsia="仿宋"/>
                <w:b/>
                <w:sz w:val="24"/>
                <w:szCs w:val="24"/>
              </w:rPr>
              <w:t>单位性质</w:t>
            </w:r>
          </w:p>
        </w:tc>
        <w:tc>
          <w:tcPr>
            <w:tcW w:w="1276" w:type="dxa"/>
            <w:vMerge w:val="restart"/>
            <w:noWrap w:val="0"/>
            <w:vAlign w:val="center"/>
          </w:tcPr>
          <w:p>
            <w:pPr>
              <w:spacing w:line="300" w:lineRule="exact"/>
              <w:jc w:val="center"/>
              <w:rPr>
                <w:rFonts w:ascii="仿宋" w:hAnsi="仿宋" w:eastAsia="仿宋"/>
                <w:b/>
                <w:sz w:val="24"/>
                <w:szCs w:val="24"/>
              </w:rPr>
            </w:pPr>
            <w:r>
              <w:rPr>
                <w:rFonts w:ascii="仿宋" w:hAnsi="仿宋" w:eastAsia="仿宋"/>
                <w:b/>
                <w:sz w:val="24"/>
                <w:szCs w:val="24"/>
              </w:rPr>
              <w:t>单位规格</w:t>
            </w:r>
          </w:p>
        </w:tc>
        <w:tc>
          <w:tcPr>
            <w:tcW w:w="2902" w:type="dxa"/>
            <w:vMerge w:val="restart"/>
            <w:noWrap w:val="0"/>
            <w:vAlign w:val="center"/>
          </w:tcPr>
          <w:p>
            <w:pPr>
              <w:spacing w:line="300" w:lineRule="exact"/>
              <w:jc w:val="center"/>
              <w:rPr>
                <w:rFonts w:ascii="仿宋" w:hAnsi="仿宋" w:eastAsia="仿宋"/>
                <w:b/>
                <w:sz w:val="24"/>
                <w:szCs w:val="24"/>
              </w:rPr>
            </w:pPr>
            <w:r>
              <w:rPr>
                <w:rFonts w:ascii="仿宋" w:hAnsi="仿宋" w:eastAsia="仿宋"/>
                <w:b/>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00" w:hRule="atLeast"/>
          <w:tblHeader/>
          <w:jc w:val="center"/>
        </w:trPr>
        <w:tc>
          <w:tcPr>
            <w:tcW w:w="4156" w:type="dxa"/>
            <w:vMerge w:val="continue"/>
            <w:noWrap w:val="0"/>
            <w:vAlign w:val="center"/>
          </w:tcPr>
          <w:p>
            <w:pPr>
              <w:spacing w:line="300" w:lineRule="exact"/>
              <w:jc w:val="left"/>
              <w:outlineLvl w:val="0"/>
              <w:rPr>
                <w:rFonts w:ascii="仿宋" w:hAnsi="仿宋" w:eastAsia="仿宋"/>
                <w:sz w:val="24"/>
                <w:szCs w:val="24"/>
              </w:rPr>
            </w:pPr>
          </w:p>
        </w:tc>
        <w:tc>
          <w:tcPr>
            <w:tcW w:w="1395" w:type="dxa"/>
            <w:vMerge w:val="continue"/>
            <w:noWrap w:val="0"/>
            <w:vAlign w:val="center"/>
          </w:tcPr>
          <w:p>
            <w:pPr>
              <w:spacing w:line="300" w:lineRule="exact"/>
              <w:jc w:val="left"/>
              <w:outlineLvl w:val="0"/>
              <w:rPr>
                <w:rFonts w:ascii="仿宋" w:hAnsi="仿宋" w:eastAsia="仿宋"/>
                <w:sz w:val="24"/>
                <w:szCs w:val="24"/>
              </w:rPr>
            </w:pPr>
          </w:p>
        </w:tc>
        <w:tc>
          <w:tcPr>
            <w:tcW w:w="1276" w:type="dxa"/>
            <w:vMerge w:val="continue"/>
            <w:noWrap w:val="0"/>
            <w:vAlign w:val="center"/>
          </w:tcPr>
          <w:p>
            <w:pPr>
              <w:spacing w:line="300" w:lineRule="exact"/>
              <w:jc w:val="left"/>
              <w:outlineLvl w:val="0"/>
              <w:rPr>
                <w:rFonts w:ascii="仿宋" w:hAnsi="仿宋" w:eastAsia="仿宋"/>
                <w:sz w:val="24"/>
                <w:szCs w:val="24"/>
              </w:rPr>
            </w:pPr>
          </w:p>
        </w:tc>
        <w:tc>
          <w:tcPr>
            <w:tcW w:w="2902" w:type="dxa"/>
            <w:vMerge w:val="continue"/>
            <w:noWrap w:val="0"/>
            <w:vAlign w:val="center"/>
          </w:tcPr>
          <w:p>
            <w:pPr>
              <w:spacing w:line="300" w:lineRule="exact"/>
              <w:jc w:val="left"/>
              <w:outlineLvl w:val="0"/>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4156" w:type="dxa"/>
            <w:noWrap w:val="0"/>
            <w:vAlign w:val="center"/>
          </w:tcPr>
          <w:p>
            <w:pPr>
              <w:spacing w:line="300" w:lineRule="exact"/>
              <w:jc w:val="left"/>
              <w:rPr>
                <w:rFonts w:ascii="仿宋" w:hAnsi="仿宋" w:eastAsia="仿宋"/>
                <w:sz w:val="24"/>
                <w:szCs w:val="24"/>
              </w:rPr>
            </w:pPr>
            <w:r>
              <w:rPr>
                <w:rFonts w:hint="eastAsia" w:ascii="仿宋" w:hAnsi="仿宋" w:eastAsia="仿宋" w:cs="宋体"/>
                <w:color w:val="000000"/>
                <w:kern w:val="0"/>
                <w:sz w:val="24"/>
                <w:szCs w:val="24"/>
              </w:rPr>
              <w:t>保定市徐水区妇女联合会</w:t>
            </w:r>
          </w:p>
        </w:tc>
        <w:tc>
          <w:tcPr>
            <w:tcW w:w="1395" w:type="dxa"/>
            <w:noWrap w:val="0"/>
            <w:vAlign w:val="center"/>
          </w:tcPr>
          <w:p>
            <w:pPr>
              <w:spacing w:line="300" w:lineRule="exact"/>
              <w:jc w:val="center"/>
              <w:rPr>
                <w:rFonts w:ascii="仿宋" w:hAnsi="仿宋" w:eastAsia="仿宋"/>
                <w:sz w:val="24"/>
                <w:szCs w:val="24"/>
              </w:rPr>
            </w:pPr>
            <w:r>
              <w:rPr>
                <w:rFonts w:hint="eastAsia" w:ascii="宋体" w:hAnsi="宋体" w:cs="宋体"/>
                <w:color w:val="000000"/>
                <w:kern w:val="0"/>
                <w:sz w:val="20"/>
                <w:szCs w:val="20"/>
              </w:rPr>
              <w:t>党政群机关</w:t>
            </w:r>
          </w:p>
        </w:tc>
        <w:tc>
          <w:tcPr>
            <w:tcW w:w="1276" w:type="dxa"/>
            <w:noWrap w:val="0"/>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正科级</w:t>
            </w:r>
          </w:p>
        </w:tc>
        <w:tc>
          <w:tcPr>
            <w:tcW w:w="2902" w:type="dxa"/>
            <w:noWrap w:val="0"/>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财政拨款</w:t>
            </w:r>
          </w:p>
        </w:tc>
      </w:tr>
    </w:tbl>
    <w:p/>
    <w:p>
      <w:pPr>
        <w:spacing w:line="520" w:lineRule="exact"/>
        <w:ind w:left="1713" w:firstLine="320" w:firstLineChars="100"/>
        <w:rPr>
          <w:rFonts w:ascii="黑体" w:hAnsi="黑体" w:eastAsia="黑体"/>
          <w:sz w:val="32"/>
          <w:szCs w:val="32"/>
        </w:rPr>
      </w:pPr>
    </w:p>
    <w:p>
      <w:pPr>
        <w:spacing w:line="520" w:lineRule="exact"/>
        <w:ind w:left="1713" w:firstLine="320" w:firstLineChars="100"/>
        <w:rPr>
          <w:rFonts w:hint="eastAsia" w:ascii="黑体" w:hAnsi="黑体" w:eastAsia="黑体"/>
          <w:sz w:val="32"/>
          <w:szCs w:val="32"/>
        </w:rPr>
      </w:pPr>
      <w:r>
        <w:rPr>
          <w:rFonts w:hint="eastAsia" w:ascii="黑体" w:hAnsi="黑体" w:eastAsia="黑体"/>
          <w:sz w:val="32"/>
          <w:szCs w:val="32"/>
        </w:rPr>
        <w:t>第二部分：部门预算安排的总体情况</w:t>
      </w:r>
    </w:p>
    <w:p>
      <w:pPr>
        <w:spacing w:line="52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1、收入说明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2018年年初部门收入预算总额为131.4万元。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其中：一般公共预算收入131.4万元。</w:t>
      </w:r>
    </w:p>
    <w:p>
      <w:pPr>
        <w:spacing w:line="52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2、支出说明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2018年部门支出安排预算总额131.4万元。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基本支出 114.4万元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其中：人员经费 99.99万元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日常公用经费14.41万元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项目支出17万元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其中：本级支出17万元</w:t>
      </w:r>
    </w:p>
    <w:p>
      <w:pPr>
        <w:tabs>
          <w:tab w:val="left" w:pos="916"/>
        </w:tabs>
        <w:spacing w:line="560" w:lineRule="exact"/>
        <w:ind w:firstLine="480" w:firstLineChars="150"/>
        <w:jc w:val="left"/>
        <w:rPr>
          <w:rFonts w:hint="eastAsia" w:ascii="仿宋_GB2312" w:hAnsi="黑体" w:eastAsia="仿宋_GB2312"/>
          <w:sz w:val="32"/>
          <w:szCs w:val="32"/>
        </w:rPr>
      </w:pPr>
      <w:r>
        <w:rPr>
          <w:rFonts w:hint="eastAsia" w:ascii="仿宋_GB2312" w:hAnsi="黑体" w:eastAsia="仿宋_GB2312"/>
          <w:sz w:val="32"/>
          <w:szCs w:val="32"/>
        </w:rPr>
        <w:t>3、比上年增减情况</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本年度预算收支安排131.4万元，较上年增加9.31万元。其中:基本支出增加19.3万元，主要是</w:t>
      </w:r>
      <w:r>
        <w:rPr>
          <w:rFonts w:hint="eastAsia" w:ascii="仿宋" w:hAnsi="仿宋" w:eastAsia="仿宋"/>
          <w:sz w:val="32"/>
          <w:szCs w:val="32"/>
        </w:rPr>
        <w:t>人员经费及公用经费比去年增加；</w:t>
      </w:r>
      <w:r>
        <w:rPr>
          <w:rFonts w:hint="eastAsia" w:ascii="仿宋" w:hAnsi="仿宋" w:eastAsia="仿宋" w:cs="仿宋"/>
          <w:sz w:val="32"/>
          <w:szCs w:val="32"/>
        </w:rPr>
        <w:t>项目支出17万元，较去年减少1.8万元，主要是妇女儿童工作委员会项目活动减少。</w:t>
      </w:r>
    </w:p>
    <w:p>
      <w:pPr>
        <w:spacing w:line="520" w:lineRule="exact"/>
        <w:ind w:firstLine="2240" w:firstLineChars="700"/>
        <w:outlineLvl w:val="0"/>
        <w:rPr>
          <w:rFonts w:ascii="黑体" w:hAnsi="黑体" w:eastAsia="黑体"/>
          <w:sz w:val="32"/>
          <w:szCs w:val="32"/>
        </w:rPr>
      </w:pPr>
    </w:p>
    <w:p>
      <w:pPr>
        <w:spacing w:line="520" w:lineRule="exact"/>
        <w:ind w:firstLine="2240" w:firstLineChars="700"/>
        <w:outlineLvl w:val="0"/>
        <w:rPr>
          <w:rFonts w:hint="eastAsia" w:ascii="黑体" w:hAnsi="黑体" w:eastAsia="黑体"/>
          <w:sz w:val="32"/>
          <w:szCs w:val="32"/>
        </w:rPr>
      </w:pPr>
      <w:r>
        <w:rPr>
          <w:rFonts w:hint="eastAsia" w:ascii="黑体" w:hAnsi="黑体" w:eastAsia="黑体"/>
          <w:sz w:val="32"/>
          <w:szCs w:val="32"/>
        </w:rPr>
        <w:t>第三部分：机关运行经费安排情况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018</w:t>
      </w:r>
      <w:r>
        <w:rPr>
          <w:rFonts w:hint="eastAsia" w:ascii="仿宋" w:hAnsi="仿宋" w:eastAsia="仿宋" w:cs="仿宋"/>
          <w:sz w:val="32"/>
          <w:szCs w:val="32"/>
        </w:rPr>
        <w:t>年</w:t>
      </w:r>
      <w:r>
        <w:rPr>
          <w:rFonts w:ascii="仿宋" w:hAnsi="仿宋" w:eastAsia="仿宋" w:cs="仿宋"/>
          <w:sz w:val="32"/>
          <w:szCs w:val="32"/>
        </w:rPr>
        <w:t>我部门</w:t>
      </w:r>
      <w:r>
        <w:rPr>
          <w:rFonts w:hint="eastAsia" w:ascii="仿宋" w:hAnsi="仿宋" w:eastAsia="仿宋" w:cs="仿宋"/>
          <w:sz w:val="32"/>
          <w:szCs w:val="32"/>
        </w:rPr>
        <w:t>机关运行经费安排9.64万元，其中办公费2.4万元，邮电费3.78万元，工会经费、福利费1.75万元，公务用车运行维护费0.9万元、离退休干部经费0.81。</w:t>
      </w:r>
    </w:p>
    <w:p>
      <w:pPr>
        <w:spacing w:line="520" w:lineRule="exact"/>
        <w:ind w:firstLine="640" w:firstLineChars="200"/>
        <w:jc w:val="left"/>
        <w:outlineLvl w:val="0"/>
        <w:rPr>
          <w:rFonts w:hint="eastAsia" w:ascii="仿宋_GB2312" w:hAnsi="仿宋" w:eastAsia="仿宋_GB2312"/>
          <w:sz w:val="32"/>
          <w:szCs w:val="32"/>
        </w:rPr>
      </w:pPr>
    </w:p>
    <w:p>
      <w:pPr>
        <w:spacing w:line="520" w:lineRule="exact"/>
        <w:ind w:firstLine="800" w:firstLineChars="250"/>
        <w:outlineLvl w:val="0"/>
        <w:rPr>
          <w:rFonts w:ascii="黑体" w:hAnsi="黑体" w:eastAsia="黑体"/>
          <w:sz w:val="32"/>
          <w:szCs w:val="32"/>
        </w:rPr>
      </w:pPr>
      <w:r>
        <w:rPr>
          <w:rFonts w:hint="eastAsia" w:ascii="黑体" w:hAnsi="黑体" w:eastAsia="黑体"/>
          <w:sz w:val="32"/>
          <w:szCs w:val="32"/>
        </w:rPr>
        <w:t>第四部分：财政拨款“三公”经费预算情况及增减变化原因</w:t>
      </w:r>
    </w:p>
    <w:p>
      <w:pPr>
        <w:spacing w:line="520" w:lineRule="exact"/>
        <w:ind w:firstLine="800" w:firstLineChars="250"/>
        <w:outlineLvl w:val="0"/>
        <w:rPr>
          <w:rFonts w:hint="eastAsia" w:ascii="黑体" w:hAnsi="黑体" w:eastAsia="黑体"/>
          <w:sz w:val="32"/>
          <w:szCs w:val="32"/>
        </w:rPr>
      </w:pPr>
    </w:p>
    <w:tbl>
      <w:tblPr>
        <w:tblStyle w:val="8"/>
        <w:tblW w:w="0" w:type="auto"/>
        <w:tblInd w:w="0" w:type="dxa"/>
        <w:tblLayout w:type="fixed"/>
        <w:tblCellMar>
          <w:top w:w="0" w:type="dxa"/>
          <w:left w:w="108" w:type="dxa"/>
          <w:bottom w:w="0" w:type="dxa"/>
          <w:right w:w="108" w:type="dxa"/>
        </w:tblCellMar>
      </w:tblPr>
      <w:tblGrid>
        <w:gridCol w:w="2136"/>
        <w:gridCol w:w="1717"/>
        <w:gridCol w:w="1717"/>
        <w:gridCol w:w="1342"/>
        <w:gridCol w:w="2943"/>
      </w:tblGrid>
      <w:tr>
        <w:tblPrEx>
          <w:tblCellMar>
            <w:top w:w="0" w:type="dxa"/>
            <w:left w:w="108" w:type="dxa"/>
            <w:bottom w:w="0" w:type="dxa"/>
            <w:right w:w="108" w:type="dxa"/>
          </w:tblCellMar>
        </w:tblPrEx>
        <w:trPr>
          <w:wBefore w:w="0" w:type="dxa"/>
          <w:wAfter w:w="0" w:type="dxa"/>
          <w:trHeight w:val="405" w:hRule="atLeast"/>
        </w:trPr>
        <w:tc>
          <w:tcPr>
            <w:tcW w:w="9855" w:type="dxa"/>
            <w:gridSpan w:val="5"/>
            <w:tcBorders>
              <w:top w:val="nil"/>
              <w:left w:val="nil"/>
              <w:bottom w:val="nil"/>
              <w:right w:val="nil"/>
            </w:tcBorders>
            <w:noWrap w:val="0"/>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wBefore w:w="0" w:type="dxa"/>
          <w:wAfter w:w="0" w:type="dxa"/>
          <w:trHeight w:val="221" w:hRule="atLeast"/>
        </w:trPr>
        <w:tc>
          <w:tcPr>
            <w:tcW w:w="213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342"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2943" w:type="dxa"/>
            <w:tcBorders>
              <w:top w:val="nil"/>
              <w:left w:val="nil"/>
              <w:bottom w:val="nil"/>
              <w:right w:val="nil"/>
            </w:tcBorders>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wBefore w:w="0" w:type="dxa"/>
          <w:wAfter w:w="0" w:type="dxa"/>
          <w:trHeight w:val="285" w:hRule="atLeast"/>
        </w:trPr>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7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2017年度预算</w:t>
            </w:r>
          </w:p>
        </w:tc>
        <w:tc>
          <w:tcPr>
            <w:tcW w:w="17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9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wBefore w:w="0" w:type="dxa"/>
          <w:wAfter w:w="0" w:type="dxa"/>
          <w:trHeight w:val="285"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wBefore w:w="0" w:type="dxa"/>
          <w:wAfter w:w="0" w:type="dxa"/>
          <w:trHeight w:val="285"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wBefore w:w="0" w:type="dxa"/>
          <w:wAfter w:w="0" w:type="dxa"/>
          <w:trHeight w:val="570"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0.95</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0.95</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wBefore w:w="0" w:type="dxa"/>
          <w:wAfter w:w="0" w:type="dxa"/>
          <w:trHeight w:val="524"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wBefore w:w="0" w:type="dxa"/>
          <w:wAfter w:w="0" w:type="dxa"/>
          <w:trHeight w:val="546"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1.55</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1.55</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wBefore w:w="0" w:type="dxa"/>
          <w:wAfter w:w="0" w:type="dxa"/>
          <w:trHeight w:val="285" w:hRule="atLeast"/>
        </w:trPr>
        <w:tc>
          <w:tcPr>
            <w:tcW w:w="213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342"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2943" w:type="dxa"/>
            <w:tcBorders>
              <w:top w:val="nil"/>
              <w:left w:val="nil"/>
              <w:bottom w:val="nil"/>
              <w:right w:val="nil"/>
            </w:tcBorders>
            <w:noWrap w:val="0"/>
            <w:vAlign w:val="center"/>
          </w:tcPr>
          <w:p>
            <w:pPr>
              <w:widowControl/>
              <w:jc w:val="left"/>
              <w:rPr>
                <w:rFonts w:ascii="宋体" w:hAnsi="宋体" w:cs="宋体"/>
                <w:kern w:val="0"/>
                <w:sz w:val="24"/>
                <w:szCs w:val="24"/>
              </w:rPr>
            </w:pPr>
          </w:p>
        </w:tc>
      </w:tr>
    </w:tbl>
    <w:p>
      <w:pPr>
        <w:ind w:firstLine="3200" w:firstLineChars="1000"/>
        <w:outlineLvl w:val="0"/>
        <w:rPr>
          <w:rFonts w:ascii="黑体" w:hAnsi="黑体" w:eastAsia="黑体"/>
          <w:sz w:val="32"/>
          <w:szCs w:val="32"/>
        </w:rPr>
      </w:pPr>
    </w:p>
    <w:p>
      <w:pPr>
        <w:ind w:firstLine="3200" w:firstLineChars="1000"/>
        <w:outlineLvl w:val="0"/>
        <w:rPr>
          <w:rFonts w:ascii="黑体" w:hAnsi="黑体" w:eastAsia="黑体"/>
          <w:sz w:val="32"/>
          <w:szCs w:val="32"/>
        </w:rPr>
      </w:pPr>
      <w:r>
        <w:rPr>
          <w:rFonts w:hint="eastAsia" w:ascii="黑体" w:hAnsi="黑体" w:eastAsia="黑体"/>
          <w:sz w:val="32"/>
          <w:szCs w:val="32"/>
        </w:rPr>
        <w:t>第五部分：绩效预算信息</w:t>
      </w:r>
      <w:r>
        <w:rPr>
          <w:rFonts w:ascii="宋体" w:hAnsi="宋体"/>
        </w:rPr>
        <w:t xml:space="preserve"> </w:t>
      </w:r>
    </w:p>
    <w:p>
      <w:pPr>
        <w:spacing w:line="800" w:lineRule="exact"/>
        <w:ind w:firstLine="482" w:firstLineChars="150"/>
        <w:jc w:val="left"/>
        <w:rPr>
          <w:rFonts w:hint="eastAsia" w:ascii="黑体" w:hAnsi="黑体" w:eastAsia="黑体"/>
          <w:b/>
          <w:sz w:val="32"/>
          <w:szCs w:val="32"/>
        </w:rPr>
      </w:pPr>
      <w:r>
        <w:rPr>
          <w:rFonts w:hint="eastAsia" w:ascii="黑体" w:hAnsi="黑体" w:eastAsia="黑体"/>
          <w:b/>
          <w:sz w:val="32"/>
          <w:szCs w:val="32"/>
        </w:rPr>
        <w:t>一、</w:t>
      </w:r>
      <w:r>
        <w:rPr>
          <w:rFonts w:hint="eastAsia" w:ascii="黑体" w:hAnsi="黑体" w:eastAsia="黑体"/>
          <w:sz w:val="32"/>
          <w:szCs w:val="32"/>
        </w:rPr>
        <w:t>总体绩效目标</w:t>
      </w:r>
      <w:r>
        <w:rPr>
          <w:rFonts w:hint="eastAsia" w:ascii="黑体" w:hAnsi="黑体" w:eastAsia="黑体"/>
          <w:b/>
          <w:sz w:val="32"/>
          <w:szCs w:val="32"/>
        </w:rPr>
        <w:t>：</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区妇联紧紧围绕区委、区政府的中心任务开展工作，</w:t>
      </w:r>
      <w:r>
        <w:rPr>
          <w:rFonts w:ascii="仿宋" w:hAnsi="仿宋" w:eastAsia="仿宋" w:cs="仿宋"/>
          <w:sz w:val="32"/>
          <w:szCs w:val="32"/>
        </w:rPr>
        <w:t xml:space="preserve"> </w:t>
      </w:r>
      <w:r>
        <w:rPr>
          <w:rFonts w:hint="eastAsia" w:ascii="仿宋" w:hAnsi="仿宋" w:eastAsia="仿宋" w:cs="仿宋"/>
          <w:sz w:val="32"/>
          <w:szCs w:val="32"/>
        </w:rPr>
        <w:t>团结、动员和组织妇女群众投身改革开放和社会主义物质文明、精神文明建设，基金促进我区经济发展和社会进步，为维护改革、稳定、发展的大局服务。宣传马克思主义妇女观和男女平等基本国策，教育引导妇女树立正确的世界观、人生观和价值观，弘扬“自尊、自信、自立、自强”的精神，积极推动和开展对妇女的科技文化及生产劳动技能教育，全面提高妇女素质。</w:t>
      </w:r>
    </w:p>
    <w:p>
      <w:pPr>
        <w:spacing w:line="520" w:lineRule="exact"/>
        <w:ind w:firstLine="560"/>
        <w:rPr>
          <w:rFonts w:ascii="仿宋_GB2312" w:hAnsi="仿宋" w:eastAsia="仿宋_GB2312"/>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7" w:h="16839"/>
          <w:pgMar w:top="1531" w:right="1134" w:bottom="1474" w:left="1134" w:header="851" w:footer="992" w:gutter="0"/>
          <w:cols w:space="720" w:num="1"/>
          <w:docGrid w:linePitch="312" w:charSpace="0"/>
        </w:sectPr>
      </w:pPr>
    </w:p>
    <w:p>
      <w:pPr>
        <w:jc w:val="center"/>
        <w:outlineLvl w:val="0"/>
        <w:rPr>
          <w:rFonts w:ascii="黑体" w:hAnsi="黑体" w:eastAsia="黑体"/>
          <w:b/>
          <w:sz w:val="32"/>
        </w:rPr>
      </w:pPr>
      <w:bookmarkStart w:id="0" w:name="_Toc441150763"/>
      <w:r>
        <w:rPr>
          <w:rFonts w:hint="eastAsia" w:ascii="黑体" w:hAnsi="黑体" w:eastAsia="黑体"/>
          <w:kern w:val="0"/>
          <w:sz w:val="32"/>
          <w:szCs w:val="32"/>
        </w:rPr>
        <w:t>二、</w:t>
      </w:r>
      <w:r>
        <w:rPr>
          <w:rFonts w:hint="eastAsia" w:ascii="黑体" w:hAnsi="黑体" w:eastAsia="黑体"/>
          <w:b/>
          <w:sz w:val="32"/>
        </w:rPr>
        <w:t>部门职责-工作活动绩效目标</w:t>
      </w:r>
    </w:p>
    <w:p>
      <w:pPr>
        <w:jc w:val="center"/>
        <w:outlineLvl w:val="0"/>
        <w:rPr>
          <w:rFonts w:ascii="黑体" w:hAnsi="黑体" w:eastAsia="黑体"/>
          <w:b/>
          <w:sz w:val="32"/>
        </w:rPr>
      </w:pPr>
    </w:p>
    <w:bookmarkEnd w:id="0"/>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713</w:t>
            </w:r>
            <w:r>
              <w:rPr>
                <w:rFonts w:hint="eastAsia" w:ascii="方正小标宋_GBK" w:eastAsia="方正小标宋_GBK"/>
                <w:sz w:val="24"/>
              </w:rPr>
              <w:t>保定市徐水区妇女联合会</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团结动员妇女参加经济社会建设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引导全区妇女听党话、跟党走，发扬</w:t>
            </w:r>
            <w:r>
              <w:rPr>
                <w:rFonts w:hint="cs" w:ascii="方正书宋_GBK" w:eastAsia="方正书宋_GBK"/>
                <w:cs/>
              </w:rPr>
              <w:t>“</w:t>
            </w:r>
            <w:r>
              <w:rPr>
                <w:rFonts w:hint="eastAsia" w:ascii="方正书宋_GBK" w:eastAsia="方正书宋_GBK"/>
              </w:rPr>
              <w:t>四自</w:t>
            </w:r>
            <w:r>
              <w:rPr>
                <w:rFonts w:hint="cs" w:ascii="方正书宋_GBK" w:eastAsia="方正书宋_GBK"/>
                <w:cs/>
              </w:rPr>
              <w:t>”</w:t>
            </w:r>
            <w:r>
              <w:rPr>
                <w:rFonts w:hint="eastAsia" w:ascii="方正书宋_GBK" w:eastAsia="方正书宋_GBK"/>
              </w:rPr>
              <w:t>精神，积极投身改革开放和社会主义经济、政治、文化、社会和生态文明建设，全面提高妇女素质，为建设经济区作贡献。</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围绕中心，服务大局，完成区委区政府交办的工作任务，全区妇女精神面貌有较大改观，创业就业能力逐步增强，素质得到有效提升。</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团结动员妇女参加经济社会建设</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12.00</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团结动员广大妇女积极投身五大建设，弘扬社会主义核心价值观，发扬</w:t>
            </w:r>
            <w:r>
              <w:rPr>
                <w:rFonts w:hint="cs" w:ascii="方正书宋_GBK" w:eastAsia="方正书宋_GBK"/>
                <w:cs/>
              </w:rPr>
              <w:t>“</w:t>
            </w:r>
            <w:r>
              <w:rPr>
                <w:rFonts w:hint="eastAsia" w:ascii="方正书宋_GBK" w:eastAsia="方正书宋_GBK"/>
              </w:rPr>
              <w:t>四自</w:t>
            </w:r>
            <w:r>
              <w:rPr>
                <w:rFonts w:hint="cs" w:ascii="方正书宋_GBK" w:eastAsia="方正书宋_GBK"/>
                <w:cs/>
              </w:rPr>
              <w:t>”</w:t>
            </w:r>
            <w:r>
              <w:rPr>
                <w:rFonts w:hint="eastAsia" w:ascii="方正书宋_GBK" w:eastAsia="方正书宋_GBK"/>
              </w:rPr>
              <w:t>精神，为全区经济社会发展作贡献。</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妇女积极参与妇联组织围绕区委区政府中心工作开展的各项活动，精神面貌有较大改观，创业就业能力逐步增强，素质得到有效提升。</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注册巾帼志愿者人数（人）</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2500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帮扶妇女创业人数（人）</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扶助对象满意率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维护妇女儿童合法权益促进妇女儿童发展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关注涉及妇女切身利益的热点、难点问题，及时向区委区政府提出对策建议；强化维权工作，帮扶困境群体。积极开展对妇女的科技文化及生产劳动技能等各类教育培训。</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妇女综合素质和发展能力有较大提升。妇女儿童合法权益得到有效维护，男女平等基本国策宣传进一步深入人心。</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维权服务</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关注和研究涉及妇女切身利益的热点难点问题，向区委区政府提出对策建议；参与有关妇女儿童政策和法律、法规草案的拟定，教育引导妇女依法维权，对权益受到侵害的妇女儿童和困境妇女儿童提供帮助。</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帮助权益受到侵害和困难的妇女儿童解决困难和问题，开展普法宣传教育，提高广大妇女儿童的维权意识和维权能力，维护妇女儿童合法权益。</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妇女信访代理工作覆盖率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法律援助妇女侵权案件率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维权服务对象满意度</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教育培训与事业发展</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开展对妇女的科技文化、生产劳动技能和家庭、家教、家风教育。</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提高妇女科技素质、经营管理能力、家庭教育水平。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培训达标率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培养妇女致富带头人人数</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培训对象满意度</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妇联综合业务管理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加强妇联基层组织建设和机关党建，做好机关基础设施建设与维护，推进机关信息化建设，做好区政府妇儿工委办公室工作，指导所属事业单位发展，为妇女儿童事业发展提供有力保障。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不断加强妇联组织自身建设，提升妇联干部服务妇女的能力和水平，保障妇女维权、妇女发展工作正常有序开展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4.00</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开展</w:t>
            </w:r>
            <w:r>
              <w:rPr>
                <w:rFonts w:hint="cs" w:ascii="方正书宋_GBK" w:eastAsia="方正书宋_GBK"/>
                <w:cs/>
              </w:rPr>
              <w:t>”</w:t>
            </w:r>
            <w:r>
              <w:rPr>
                <w:rFonts w:hint="eastAsia" w:ascii="方正书宋_GBK" w:eastAsia="方正书宋_GBK"/>
              </w:rPr>
              <w:t>三有两突出</w:t>
            </w:r>
            <w:r>
              <w:rPr>
                <w:rFonts w:hint="cs" w:ascii="方正书宋_GBK" w:eastAsia="方正书宋_GBK"/>
                <w:cs/>
              </w:rPr>
              <w:t>“</w:t>
            </w:r>
            <w:r>
              <w:rPr>
                <w:rFonts w:hint="eastAsia" w:ascii="方正书宋_GBK" w:eastAsia="方正书宋_GBK"/>
              </w:rPr>
              <w:t>基层组织示范创建，加强妇联组织自身建设。加强与社会各界的联系，推动全社会为妇女儿童办实事。指导所属单位及各类协会工作。承办区委、区政府交办的有关工作。</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妇联基层组织的组织、阵地、队伍建设等得到加强，妇联干部工作能力和服务水平提高。</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建设区级示范儿童之家数量</w:t>
            </w:r>
            <w:r>
              <w:rPr>
                <w:rFonts w:ascii="方正书宋_GBK" w:eastAsia="方正书宋_GBK"/>
              </w:rPr>
              <w:t>(</w:t>
            </w:r>
            <w:r>
              <w:rPr>
                <w:rFonts w:hint="eastAsia" w:ascii="方正书宋_GBK" w:eastAsia="方正书宋_GBK"/>
              </w:rPr>
              <w:t>个）</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创建区级示范妇女之家数（家）</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创建示范基层组织数</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bl>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我部门</w:t>
      </w:r>
      <w:r>
        <w:rPr>
          <w:rFonts w:ascii="仿宋" w:hAnsi="仿宋" w:eastAsia="仿宋" w:cs="仿宋"/>
          <w:sz w:val="32"/>
          <w:szCs w:val="32"/>
        </w:rPr>
        <w:t>201</w:t>
      </w:r>
      <w:r>
        <w:rPr>
          <w:rFonts w:hint="eastAsia" w:ascii="仿宋" w:hAnsi="仿宋" w:eastAsia="仿宋" w:cs="仿宋"/>
          <w:sz w:val="32"/>
          <w:szCs w:val="32"/>
        </w:rPr>
        <w:t>8无政府采购预算。</w:t>
      </w:r>
    </w:p>
    <w:p>
      <w:pPr>
        <w:outlineLvl w:val="0"/>
        <w:rPr>
          <w:rFonts w:ascii="黑体" w:hAnsi="黑体" w:eastAsia="黑体"/>
          <w:sz w:val="32"/>
          <w:szCs w:val="32"/>
        </w:rPr>
        <w:sectPr>
          <w:pgSz w:w="16839" w:h="11907" w:orient="landscape"/>
          <w:pgMar w:top="1361" w:right="1020" w:bottom="1361" w:left="1020" w:header="851" w:footer="992" w:gutter="0"/>
          <w:cols w:space="720" w:num="1"/>
          <w:docGrid w:type="lines" w:linePitch="312" w:charSpace="0"/>
        </w:sectPr>
      </w:pPr>
    </w:p>
    <w:p>
      <w:pPr>
        <w:jc w:val="center"/>
        <w:rPr>
          <w:rFonts w:hint="eastAsia" w:ascii="黑体" w:hAnsi="黑体" w:eastAsia="黑体"/>
          <w:sz w:val="32"/>
          <w:szCs w:val="32"/>
        </w:rPr>
      </w:pPr>
      <w:r>
        <w:rPr>
          <w:rFonts w:hint="eastAsia" w:ascii="黑体" w:hAnsi="黑体" w:eastAsia="黑体"/>
          <w:sz w:val="32"/>
          <w:szCs w:val="32"/>
        </w:rPr>
        <w:t>第七部分：国有资产信息情况说明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上年末我</w:t>
      </w:r>
      <w:r>
        <w:rPr>
          <w:rFonts w:ascii="仿宋" w:hAnsi="仿宋" w:eastAsia="仿宋" w:cs="仿宋"/>
          <w:sz w:val="32"/>
          <w:szCs w:val="32"/>
        </w:rPr>
        <w:t>部门</w:t>
      </w:r>
      <w:r>
        <w:rPr>
          <w:rFonts w:hint="eastAsia" w:ascii="仿宋" w:hAnsi="仿宋" w:eastAsia="仿宋" w:cs="仿宋"/>
          <w:sz w:val="32"/>
          <w:szCs w:val="32"/>
        </w:rPr>
        <w:t>固定资产总金额28.51</w:t>
      </w:r>
      <w:r>
        <w:rPr>
          <w:rFonts w:hint="eastAsia" w:ascii="仿宋_GB2312" w:hAnsi="仿宋" w:eastAsia="仿宋_GB2312"/>
          <w:sz w:val="32"/>
          <w:szCs w:val="32"/>
        </w:rPr>
        <w:t>（详见下表）</w:t>
      </w:r>
      <w:r>
        <w:rPr>
          <w:rFonts w:hint="eastAsia" w:ascii="仿宋" w:hAnsi="仿宋" w:eastAsia="仿宋" w:cs="仿宋"/>
          <w:sz w:val="32"/>
          <w:szCs w:val="32"/>
        </w:rPr>
        <w:t>。</w:t>
      </w:r>
      <w:r>
        <w:rPr>
          <w:rFonts w:hint="eastAsia" w:ascii="仿宋" w:hAnsi="仿宋" w:eastAsia="仿宋"/>
          <w:sz w:val="32"/>
          <w:szCs w:val="32"/>
        </w:rPr>
        <w:t>2018年度我单位无拟购置新增资产。</w:t>
      </w:r>
      <w:r>
        <w:rPr>
          <w:rFonts w:hint="eastAsia" w:ascii="仿宋" w:hAnsi="仿宋" w:eastAsia="仿宋" w:cs="仿宋"/>
          <w:sz w:val="32"/>
          <w:szCs w:val="32"/>
        </w:rPr>
        <w:t xml:space="preserve"> </w:t>
      </w:r>
    </w:p>
    <w:tbl>
      <w:tblPr>
        <w:tblStyle w:val="8"/>
        <w:tblW w:w="0" w:type="auto"/>
        <w:tblInd w:w="93" w:type="dxa"/>
        <w:tblLayout w:type="fixed"/>
        <w:tblCellMar>
          <w:top w:w="0" w:type="dxa"/>
          <w:left w:w="108" w:type="dxa"/>
          <w:bottom w:w="0" w:type="dxa"/>
          <w:right w:w="108" w:type="dxa"/>
        </w:tblCellMar>
      </w:tblPr>
      <w:tblGrid>
        <w:gridCol w:w="8804"/>
      </w:tblGrid>
      <w:tr>
        <w:tblPrEx>
          <w:tblCellMar>
            <w:top w:w="0" w:type="dxa"/>
            <w:left w:w="108" w:type="dxa"/>
            <w:bottom w:w="0" w:type="dxa"/>
            <w:right w:w="108" w:type="dxa"/>
          </w:tblCellMar>
        </w:tblPrEx>
        <w:trPr>
          <w:wBefore w:w="0" w:type="dxa"/>
          <w:wAfter w:w="0" w:type="dxa"/>
          <w:trHeight w:val="675" w:hRule="atLeast"/>
        </w:trPr>
        <w:tc>
          <w:tcPr>
            <w:tcW w:w="8804" w:type="dxa"/>
            <w:tcBorders>
              <w:top w:val="nil"/>
              <w:left w:val="nil"/>
              <w:bottom w:val="nil"/>
              <w:right w:val="nil"/>
            </w:tcBorders>
            <w:noWrap w:val="0"/>
            <w:vAlign w:val="center"/>
          </w:tcPr>
          <w:tbl>
            <w:tblPr>
              <w:tblStyle w:val="8"/>
              <w:tblW w:w="0" w:type="auto"/>
              <w:tblInd w:w="93"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wBefore w:w="0" w:type="dxa"/>
                <w:wAfter w:w="0" w:type="dxa"/>
                <w:trHeight w:val="465" w:hRule="atLeast"/>
              </w:trPr>
              <w:tc>
                <w:tcPr>
                  <w:tcW w:w="8804" w:type="dxa"/>
                  <w:gridSpan w:val="3"/>
                  <w:tcBorders>
                    <w:top w:val="nil"/>
                    <w:left w:val="nil"/>
                    <w:bottom w:val="single" w:color="auto" w:sz="4" w:space="0"/>
                    <w:right w:val="nil"/>
                  </w:tcBorders>
                  <w:noWrap w:val="0"/>
                  <w:vAlign w:val="center"/>
                </w:tcPr>
                <w:p>
                  <w:pPr>
                    <w:widowControl/>
                    <w:jc w:val="center"/>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 xml:space="preserve">                           截止时间：2017年12月31日</w:t>
                  </w:r>
                </w:p>
              </w:tc>
            </w:tr>
            <w:tr>
              <w:tblPrEx>
                <w:tblCellMar>
                  <w:top w:w="0" w:type="dxa"/>
                  <w:left w:w="108" w:type="dxa"/>
                  <w:bottom w:w="0" w:type="dxa"/>
                  <w:right w:w="108" w:type="dxa"/>
                </w:tblCellMar>
              </w:tblPrEx>
              <w:trPr>
                <w:wBefore w:w="0" w:type="dxa"/>
                <w:wAfter w:w="0" w:type="dxa"/>
                <w:trHeight w:val="750"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价值（单位：万元）</w:t>
                  </w:r>
                </w:p>
              </w:tc>
            </w:tr>
            <w:tr>
              <w:tblPrEx>
                <w:tblCellMar>
                  <w:top w:w="0" w:type="dxa"/>
                  <w:left w:w="108" w:type="dxa"/>
                  <w:bottom w:w="0" w:type="dxa"/>
                  <w:right w:w="108" w:type="dxa"/>
                </w:tblCellMar>
              </w:tblPrEx>
              <w:trPr>
                <w:wBefore w:w="0" w:type="dxa"/>
                <w:wAfter w:w="0" w:type="dxa"/>
                <w:trHeight w:val="495"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28.51</w:t>
                  </w:r>
                </w:p>
              </w:tc>
            </w:tr>
            <w:tr>
              <w:tblPrEx>
                <w:tblCellMar>
                  <w:top w:w="0" w:type="dxa"/>
                  <w:left w:w="108" w:type="dxa"/>
                  <w:bottom w:w="0" w:type="dxa"/>
                  <w:right w:w="108" w:type="dxa"/>
                </w:tblCellMar>
              </w:tblPrEx>
              <w:trPr>
                <w:wBefore w:w="0" w:type="dxa"/>
                <w:wAfter w:w="0" w:type="dxa"/>
                <w:trHeight w:val="483"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1、房屋（平方米）</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w:t>
                  </w:r>
                </w:p>
              </w:tc>
            </w:tr>
            <w:tr>
              <w:tblPrEx>
                <w:tblCellMar>
                  <w:top w:w="0" w:type="dxa"/>
                  <w:left w:w="108" w:type="dxa"/>
                  <w:bottom w:w="0" w:type="dxa"/>
                  <w:right w:w="108" w:type="dxa"/>
                </w:tblCellMar>
              </w:tblPrEx>
              <w:trPr>
                <w:wBefore w:w="0" w:type="dxa"/>
                <w:wAfter w:w="0" w:type="dxa"/>
                <w:trHeight w:val="419" w:hRule="atLeast"/>
              </w:trPr>
              <w:tc>
                <w:tcPr>
                  <w:tcW w:w="381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其中：办公用房（平方米）</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0</w:t>
                  </w:r>
                </w:p>
              </w:tc>
            </w:tr>
            <w:tr>
              <w:tblPrEx>
                <w:tblCellMar>
                  <w:top w:w="0" w:type="dxa"/>
                  <w:left w:w="108" w:type="dxa"/>
                  <w:bottom w:w="0" w:type="dxa"/>
                  <w:right w:w="108" w:type="dxa"/>
                </w:tblCellMar>
              </w:tblPrEx>
              <w:trPr>
                <w:wBefore w:w="0" w:type="dxa"/>
                <w:wAfter w:w="0" w:type="dxa"/>
                <w:trHeight w:val="495"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2、车辆（台、辆）</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15.9</w:t>
                  </w:r>
                </w:p>
              </w:tc>
            </w:tr>
            <w:tr>
              <w:tblPrEx>
                <w:tblCellMar>
                  <w:top w:w="0" w:type="dxa"/>
                  <w:left w:w="108" w:type="dxa"/>
                  <w:bottom w:w="0" w:type="dxa"/>
                  <w:right w:w="108" w:type="dxa"/>
                </w:tblCellMar>
              </w:tblPrEx>
              <w:trPr>
                <w:wBefore w:w="0" w:type="dxa"/>
                <w:wAfter w:w="0" w:type="dxa"/>
                <w:trHeight w:val="611"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3、单价在20万元以上的设备</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0.00</w:t>
                  </w:r>
                </w:p>
              </w:tc>
            </w:tr>
            <w:tr>
              <w:tblPrEx>
                <w:tblCellMar>
                  <w:top w:w="0" w:type="dxa"/>
                  <w:left w:w="108" w:type="dxa"/>
                  <w:bottom w:w="0" w:type="dxa"/>
                  <w:right w:w="108" w:type="dxa"/>
                </w:tblCellMar>
              </w:tblPrEx>
              <w:trPr>
                <w:wBefore w:w="0" w:type="dxa"/>
                <w:wAfter w:w="0" w:type="dxa"/>
                <w:trHeight w:val="432" w:hRule="atLeast"/>
              </w:trPr>
              <w:tc>
                <w:tcPr>
                  <w:tcW w:w="381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4、其他固定资产</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12.61</w:t>
                  </w:r>
                </w:p>
              </w:tc>
            </w:tr>
          </w:tbl>
          <w:p>
            <w:pPr>
              <w:widowControl/>
              <w:rPr>
                <w:rFonts w:hint="eastAsia" w:ascii="宋体" w:hAnsi="宋体" w:cs="宋体"/>
                <w:color w:val="000000"/>
                <w:kern w:val="0"/>
                <w:sz w:val="28"/>
                <w:szCs w:val="28"/>
              </w:rPr>
            </w:pPr>
          </w:p>
        </w:tc>
      </w:tr>
    </w:tbl>
    <w:p>
      <w:pPr>
        <w:spacing w:line="520" w:lineRule="exact"/>
        <w:rPr>
          <w:rFonts w:hint="eastAsia" w:ascii="黑体" w:hAnsi="黑体" w:eastAsia="黑体"/>
          <w:sz w:val="32"/>
          <w:szCs w:val="32"/>
        </w:rPr>
      </w:pPr>
    </w:p>
    <w:p>
      <w:pPr>
        <w:spacing w:line="500" w:lineRule="exact"/>
        <w:ind w:firstLine="2400" w:firstLineChars="750"/>
        <w:outlineLvl w:val="0"/>
        <w:rPr>
          <w:rFonts w:hint="eastAsia" w:ascii="黑体" w:hAnsi="黑体" w:eastAsia="黑体"/>
          <w:sz w:val="32"/>
          <w:szCs w:val="32"/>
        </w:rPr>
      </w:pPr>
      <w:r>
        <w:rPr>
          <w:rFonts w:hint="eastAsia" w:ascii="黑体" w:hAnsi="黑体" w:eastAsia="黑体"/>
          <w:sz w:val="32"/>
          <w:szCs w:val="32"/>
        </w:rPr>
        <w:t>第八部分：名词解释</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1、一般公共预算财政拨款收入：</w:t>
      </w:r>
      <w:r>
        <w:rPr>
          <w:rFonts w:hint="eastAsia" w:ascii="仿宋_GB2312" w:hAnsi="仿宋" w:eastAsia="仿宋_GB2312"/>
          <w:sz w:val="32"/>
          <w:szCs w:val="32"/>
        </w:rPr>
        <w:t>指区级财政当年拨付的资金。</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2、其他收入：</w:t>
      </w:r>
      <w:r>
        <w:rPr>
          <w:rFonts w:hint="eastAsia" w:ascii="仿宋_GB2312" w:hAnsi="仿宋" w:eastAsia="仿宋_GB2312"/>
          <w:sz w:val="32"/>
          <w:szCs w:val="32"/>
        </w:rPr>
        <w:t>指除上述“财政拨款收入”、“事业收入”等以外的收入。</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3、基本支出：</w:t>
      </w:r>
      <w:r>
        <w:rPr>
          <w:rFonts w:hint="eastAsia" w:ascii="仿宋_GB2312" w:hAnsi="仿宋" w:eastAsia="仿宋_GB2312"/>
          <w:sz w:val="32"/>
          <w:szCs w:val="32"/>
        </w:rPr>
        <w:t>指为保障机构正常运转、完成日常工作任务而发生的人员支出和公用支出。</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4、项目支出：</w:t>
      </w:r>
      <w:r>
        <w:rPr>
          <w:rFonts w:hint="eastAsia" w:ascii="仿宋_GB2312" w:hAnsi="仿宋" w:eastAsia="仿宋_GB2312"/>
          <w:sz w:val="32"/>
          <w:szCs w:val="32"/>
        </w:rPr>
        <w:t>指在基本支出之外为完成特定行政任务和事业发展目标所发生的支出。</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5、“三公”经费：</w:t>
      </w:r>
      <w:r>
        <w:rPr>
          <w:rFonts w:hint="eastAsia" w:ascii="仿宋_GB2312" w:hAnsi="仿宋" w:eastAsia="仿宋_GB2312"/>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hint="eastAsia" w:ascii="仿宋_GB2312" w:hAnsi="仿宋" w:eastAsia="仿宋_GB2312"/>
          <w:sz w:val="32"/>
          <w:szCs w:val="32"/>
        </w:rPr>
      </w:pPr>
      <w:r>
        <w:rPr>
          <w:rFonts w:hint="eastAsia" w:ascii="仿宋_GB2312" w:hAnsi="仿宋" w:eastAsia="仿宋_GB2312"/>
          <w:b/>
          <w:sz w:val="32"/>
          <w:szCs w:val="32"/>
        </w:rPr>
        <w:t>6、机关运行费：</w:t>
      </w:r>
      <w:r>
        <w:rPr>
          <w:rFonts w:hint="eastAsia" w:ascii="仿宋_GB2312" w:hAnsi="仿宋"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27" w:firstLineChars="196"/>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r>
        <w:rPr>
          <w:rFonts w:hint="eastAsia" w:ascii="黑体" w:hAnsi="黑体" w:eastAsia="黑体"/>
          <w:sz w:val="32"/>
          <w:szCs w:val="32"/>
        </w:rPr>
        <w:t>第九部分：其他需说明的事项</w:t>
      </w:r>
    </w:p>
    <w:p>
      <w:pPr>
        <w:spacing w:line="500" w:lineRule="exact"/>
        <w:ind w:firstLine="640" w:firstLineChars="200"/>
        <w:jc w:val="left"/>
        <w:outlineLvl w:val="0"/>
        <w:rPr>
          <w:rFonts w:hint="eastAsia" w:ascii="仿宋_GB2312" w:hAnsi="黑体" w:eastAsia="仿宋_GB2312"/>
          <w:sz w:val="32"/>
          <w:szCs w:val="32"/>
        </w:rPr>
      </w:pPr>
      <w:r>
        <w:rPr>
          <w:rFonts w:hint="eastAsia" w:ascii="仿宋_GB2312" w:hAnsi="仿宋" w:eastAsia="仿宋_GB2312"/>
          <w:sz w:val="32"/>
          <w:szCs w:val="32"/>
        </w:rPr>
        <w:t>我部门无其他需说明的事项。</w:t>
      </w:r>
    </w:p>
    <w:p>
      <w:pPr>
        <w:ind w:firstLine="800" w:firstLineChars="250"/>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w:t>
      </w:r>
    </w:p>
    <w:sectPr>
      <w:pgSz w:w="11907" w:h="16839"/>
      <w:pgMar w:top="1531" w:right="1134" w:bottom="147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1" w:usb1="080E0000" w:usb2="00000010" w:usb3="00000000" w:csb0="00040000" w:csb1="00000000"/>
  </w:font>
  <w:font w:name="方正书宋_GBK">
    <w:altName w:val="微软雅黑"/>
    <w:panose1 w:val="03000509000000000000"/>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A0"/>
    <w:rsid w:val="00000211"/>
    <w:rsid w:val="00010645"/>
    <w:rsid w:val="00012B0F"/>
    <w:rsid w:val="00020B6B"/>
    <w:rsid w:val="00027501"/>
    <w:rsid w:val="00041562"/>
    <w:rsid w:val="000509C6"/>
    <w:rsid w:val="00055D38"/>
    <w:rsid w:val="00060E04"/>
    <w:rsid w:val="00064D18"/>
    <w:rsid w:val="00066660"/>
    <w:rsid w:val="00067F46"/>
    <w:rsid w:val="0007278A"/>
    <w:rsid w:val="00073000"/>
    <w:rsid w:val="000A0129"/>
    <w:rsid w:val="000B34B9"/>
    <w:rsid w:val="000C1F05"/>
    <w:rsid w:val="000C7EDF"/>
    <w:rsid w:val="000D7B39"/>
    <w:rsid w:val="000E0ED8"/>
    <w:rsid w:val="000E5258"/>
    <w:rsid w:val="000E70BD"/>
    <w:rsid w:val="000F2552"/>
    <w:rsid w:val="000F517B"/>
    <w:rsid w:val="00101A80"/>
    <w:rsid w:val="00103B47"/>
    <w:rsid w:val="00107BFB"/>
    <w:rsid w:val="001157C4"/>
    <w:rsid w:val="001236B3"/>
    <w:rsid w:val="00123AFD"/>
    <w:rsid w:val="0013407A"/>
    <w:rsid w:val="00153E57"/>
    <w:rsid w:val="0015667A"/>
    <w:rsid w:val="0015695A"/>
    <w:rsid w:val="00165822"/>
    <w:rsid w:val="00167FAF"/>
    <w:rsid w:val="001805A2"/>
    <w:rsid w:val="00180FA0"/>
    <w:rsid w:val="001859C6"/>
    <w:rsid w:val="00197010"/>
    <w:rsid w:val="001B23DF"/>
    <w:rsid w:val="001C2686"/>
    <w:rsid w:val="001E23C1"/>
    <w:rsid w:val="001E42EC"/>
    <w:rsid w:val="002042DF"/>
    <w:rsid w:val="00204EEC"/>
    <w:rsid w:val="002064A6"/>
    <w:rsid w:val="00213ACB"/>
    <w:rsid w:val="00230F1A"/>
    <w:rsid w:val="00245F9B"/>
    <w:rsid w:val="00276CFD"/>
    <w:rsid w:val="002773AE"/>
    <w:rsid w:val="00277861"/>
    <w:rsid w:val="00280335"/>
    <w:rsid w:val="00280E47"/>
    <w:rsid w:val="00290E1C"/>
    <w:rsid w:val="002A572A"/>
    <w:rsid w:val="002B5880"/>
    <w:rsid w:val="002C6748"/>
    <w:rsid w:val="002D4820"/>
    <w:rsid w:val="002D4851"/>
    <w:rsid w:val="002E7948"/>
    <w:rsid w:val="002F28EA"/>
    <w:rsid w:val="003064BF"/>
    <w:rsid w:val="00326863"/>
    <w:rsid w:val="00326CE0"/>
    <w:rsid w:val="00332EED"/>
    <w:rsid w:val="0033753B"/>
    <w:rsid w:val="0034678A"/>
    <w:rsid w:val="00364B26"/>
    <w:rsid w:val="0037153C"/>
    <w:rsid w:val="0037794C"/>
    <w:rsid w:val="003923FF"/>
    <w:rsid w:val="003B1792"/>
    <w:rsid w:val="003B41AB"/>
    <w:rsid w:val="003C3FF3"/>
    <w:rsid w:val="003C6235"/>
    <w:rsid w:val="003C7B36"/>
    <w:rsid w:val="003D524A"/>
    <w:rsid w:val="003F0479"/>
    <w:rsid w:val="0041152C"/>
    <w:rsid w:val="004152E7"/>
    <w:rsid w:val="0041797A"/>
    <w:rsid w:val="004226CB"/>
    <w:rsid w:val="004259CD"/>
    <w:rsid w:val="00432126"/>
    <w:rsid w:val="00450606"/>
    <w:rsid w:val="00453B31"/>
    <w:rsid w:val="00462BFF"/>
    <w:rsid w:val="00474A00"/>
    <w:rsid w:val="00475055"/>
    <w:rsid w:val="004755DD"/>
    <w:rsid w:val="00485D64"/>
    <w:rsid w:val="00490E3C"/>
    <w:rsid w:val="0049258C"/>
    <w:rsid w:val="00493109"/>
    <w:rsid w:val="004A5E26"/>
    <w:rsid w:val="004B65CB"/>
    <w:rsid w:val="004C493C"/>
    <w:rsid w:val="004D0FA7"/>
    <w:rsid w:val="004D7BFB"/>
    <w:rsid w:val="004D7FBB"/>
    <w:rsid w:val="004F0372"/>
    <w:rsid w:val="004F7499"/>
    <w:rsid w:val="00505FC0"/>
    <w:rsid w:val="00506EF7"/>
    <w:rsid w:val="005078A5"/>
    <w:rsid w:val="005217EF"/>
    <w:rsid w:val="005244FE"/>
    <w:rsid w:val="00546E02"/>
    <w:rsid w:val="005477A5"/>
    <w:rsid w:val="0055110E"/>
    <w:rsid w:val="005620BB"/>
    <w:rsid w:val="00570168"/>
    <w:rsid w:val="005821CD"/>
    <w:rsid w:val="00583A3F"/>
    <w:rsid w:val="005875EB"/>
    <w:rsid w:val="00593ED3"/>
    <w:rsid w:val="00594ED3"/>
    <w:rsid w:val="005A21A5"/>
    <w:rsid w:val="005B36CF"/>
    <w:rsid w:val="005C321B"/>
    <w:rsid w:val="005C668C"/>
    <w:rsid w:val="00620BF9"/>
    <w:rsid w:val="006238F8"/>
    <w:rsid w:val="006267D4"/>
    <w:rsid w:val="0063487B"/>
    <w:rsid w:val="006366FA"/>
    <w:rsid w:val="0063740A"/>
    <w:rsid w:val="00664D70"/>
    <w:rsid w:val="006835FA"/>
    <w:rsid w:val="00691129"/>
    <w:rsid w:val="00695F7C"/>
    <w:rsid w:val="006C251E"/>
    <w:rsid w:val="006C3105"/>
    <w:rsid w:val="006C33D1"/>
    <w:rsid w:val="006D20BD"/>
    <w:rsid w:val="006D232D"/>
    <w:rsid w:val="006D6061"/>
    <w:rsid w:val="006D631B"/>
    <w:rsid w:val="00700AF5"/>
    <w:rsid w:val="00702425"/>
    <w:rsid w:val="007304E6"/>
    <w:rsid w:val="00732BC1"/>
    <w:rsid w:val="00733E67"/>
    <w:rsid w:val="00742AF8"/>
    <w:rsid w:val="0074719C"/>
    <w:rsid w:val="00747EA9"/>
    <w:rsid w:val="00761AA7"/>
    <w:rsid w:val="00761B0E"/>
    <w:rsid w:val="00765B32"/>
    <w:rsid w:val="00774D0C"/>
    <w:rsid w:val="00777CD9"/>
    <w:rsid w:val="007A4911"/>
    <w:rsid w:val="007B0CA5"/>
    <w:rsid w:val="007C3325"/>
    <w:rsid w:val="007C53CF"/>
    <w:rsid w:val="007D0633"/>
    <w:rsid w:val="007D06DD"/>
    <w:rsid w:val="007E09DA"/>
    <w:rsid w:val="007E3316"/>
    <w:rsid w:val="007E3323"/>
    <w:rsid w:val="007F50D2"/>
    <w:rsid w:val="00816DC4"/>
    <w:rsid w:val="00837790"/>
    <w:rsid w:val="00837CC0"/>
    <w:rsid w:val="008472F5"/>
    <w:rsid w:val="00855707"/>
    <w:rsid w:val="00877B58"/>
    <w:rsid w:val="00881D86"/>
    <w:rsid w:val="00883EA2"/>
    <w:rsid w:val="008875A9"/>
    <w:rsid w:val="008A1EBE"/>
    <w:rsid w:val="008A3647"/>
    <w:rsid w:val="008D5125"/>
    <w:rsid w:val="008D5F39"/>
    <w:rsid w:val="008E1733"/>
    <w:rsid w:val="008E42D3"/>
    <w:rsid w:val="008F388F"/>
    <w:rsid w:val="008F54EE"/>
    <w:rsid w:val="008F6FF9"/>
    <w:rsid w:val="00911299"/>
    <w:rsid w:val="00911344"/>
    <w:rsid w:val="0093004D"/>
    <w:rsid w:val="00936ED9"/>
    <w:rsid w:val="00937E48"/>
    <w:rsid w:val="009454AA"/>
    <w:rsid w:val="00952279"/>
    <w:rsid w:val="009546B2"/>
    <w:rsid w:val="00966566"/>
    <w:rsid w:val="00977DA6"/>
    <w:rsid w:val="0098007B"/>
    <w:rsid w:val="00986A49"/>
    <w:rsid w:val="009910E0"/>
    <w:rsid w:val="009A2781"/>
    <w:rsid w:val="009B22E3"/>
    <w:rsid w:val="009B38ED"/>
    <w:rsid w:val="009B6AD0"/>
    <w:rsid w:val="009C0521"/>
    <w:rsid w:val="009C699D"/>
    <w:rsid w:val="009D6ACA"/>
    <w:rsid w:val="009E16AC"/>
    <w:rsid w:val="009E5FAA"/>
    <w:rsid w:val="009F179E"/>
    <w:rsid w:val="009F39F2"/>
    <w:rsid w:val="009F4E7B"/>
    <w:rsid w:val="00A01330"/>
    <w:rsid w:val="00A03B9F"/>
    <w:rsid w:val="00A06E3B"/>
    <w:rsid w:val="00A3694D"/>
    <w:rsid w:val="00A65835"/>
    <w:rsid w:val="00A66840"/>
    <w:rsid w:val="00A7420E"/>
    <w:rsid w:val="00A81EEB"/>
    <w:rsid w:val="00A94AC4"/>
    <w:rsid w:val="00AA6493"/>
    <w:rsid w:val="00AA68B8"/>
    <w:rsid w:val="00AC290A"/>
    <w:rsid w:val="00AC48E3"/>
    <w:rsid w:val="00AD2902"/>
    <w:rsid w:val="00AE6A72"/>
    <w:rsid w:val="00AF71A4"/>
    <w:rsid w:val="00AF71CF"/>
    <w:rsid w:val="00B14EFC"/>
    <w:rsid w:val="00B15DE9"/>
    <w:rsid w:val="00B16276"/>
    <w:rsid w:val="00B22505"/>
    <w:rsid w:val="00B320A0"/>
    <w:rsid w:val="00B439DD"/>
    <w:rsid w:val="00B44AFA"/>
    <w:rsid w:val="00B45B2D"/>
    <w:rsid w:val="00B46537"/>
    <w:rsid w:val="00B50965"/>
    <w:rsid w:val="00B53ADE"/>
    <w:rsid w:val="00B7328C"/>
    <w:rsid w:val="00B745D4"/>
    <w:rsid w:val="00B84A64"/>
    <w:rsid w:val="00B8632B"/>
    <w:rsid w:val="00BA079F"/>
    <w:rsid w:val="00BA4AE4"/>
    <w:rsid w:val="00BD1E62"/>
    <w:rsid w:val="00BD48FA"/>
    <w:rsid w:val="00BD641C"/>
    <w:rsid w:val="00BD77F4"/>
    <w:rsid w:val="00BE48BA"/>
    <w:rsid w:val="00BF5162"/>
    <w:rsid w:val="00BF61B8"/>
    <w:rsid w:val="00C02023"/>
    <w:rsid w:val="00C02EFB"/>
    <w:rsid w:val="00C072AE"/>
    <w:rsid w:val="00C17DE3"/>
    <w:rsid w:val="00C3689C"/>
    <w:rsid w:val="00C415CC"/>
    <w:rsid w:val="00C43053"/>
    <w:rsid w:val="00C46BD3"/>
    <w:rsid w:val="00C46F7D"/>
    <w:rsid w:val="00C51C06"/>
    <w:rsid w:val="00C67481"/>
    <w:rsid w:val="00C7766E"/>
    <w:rsid w:val="00C803F0"/>
    <w:rsid w:val="00C832A7"/>
    <w:rsid w:val="00C853D3"/>
    <w:rsid w:val="00C86F43"/>
    <w:rsid w:val="00CA742F"/>
    <w:rsid w:val="00CB60A0"/>
    <w:rsid w:val="00CC6EAD"/>
    <w:rsid w:val="00CD4FC9"/>
    <w:rsid w:val="00CD5AAB"/>
    <w:rsid w:val="00CE04AF"/>
    <w:rsid w:val="00CE1D8A"/>
    <w:rsid w:val="00CF0337"/>
    <w:rsid w:val="00CF12F5"/>
    <w:rsid w:val="00CF1C55"/>
    <w:rsid w:val="00D048A8"/>
    <w:rsid w:val="00D155C8"/>
    <w:rsid w:val="00D364CE"/>
    <w:rsid w:val="00D41703"/>
    <w:rsid w:val="00D500CD"/>
    <w:rsid w:val="00D520E9"/>
    <w:rsid w:val="00D55C67"/>
    <w:rsid w:val="00D64A8A"/>
    <w:rsid w:val="00D662D1"/>
    <w:rsid w:val="00D71E44"/>
    <w:rsid w:val="00D82310"/>
    <w:rsid w:val="00D82A1A"/>
    <w:rsid w:val="00D92117"/>
    <w:rsid w:val="00D96038"/>
    <w:rsid w:val="00D97965"/>
    <w:rsid w:val="00DC36BC"/>
    <w:rsid w:val="00DD36BA"/>
    <w:rsid w:val="00DF08F9"/>
    <w:rsid w:val="00E214DE"/>
    <w:rsid w:val="00E263CE"/>
    <w:rsid w:val="00E47E2D"/>
    <w:rsid w:val="00E54661"/>
    <w:rsid w:val="00E5699D"/>
    <w:rsid w:val="00E56CA4"/>
    <w:rsid w:val="00E6451C"/>
    <w:rsid w:val="00E84E2D"/>
    <w:rsid w:val="00E942A2"/>
    <w:rsid w:val="00EB4F74"/>
    <w:rsid w:val="00EC5894"/>
    <w:rsid w:val="00ED1BA8"/>
    <w:rsid w:val="00ED2511"/>
    <w:rsid w:val="00ED3A41"/>
    <w:rsid w:val="00ED78F4"/>
    <w:rsid w:val="00EE4170"/>
    <w:rsid w:val="00EF1347"/>
    <w:rsid w:val="00F02138"/>
    <w:rsid w:val="00F3457F"/>
    <w:rsid w:val="00F529D8"/>
    <w:rsid w:val="00F65F33"/>
    <w:rsid w:val="00F66C9F"/>
    <w:rsid w:val="00F742DA"/>
    <w:rsid w:val="00F74519"/>
    <w:rsid w:val="00F77CAC"/>
    <w:rsid w:val="00F828EA"/>
    <w:rsid w:val="00F841A4"/>
    <w:rsid w:val="00F92312"/>
    <w:rsid w:val="00FC6201"/>
    <w:rsid w:val="00FE6C6A"/>
    <w:rsid w:val="09C47621"/>
    <w:rsid w:val="56A933B8"/>
    <w:rsid w:val="6E2659C0"/>
    <w:rsid w:val="7FA763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Indent"/>
    <w:basedOn w:val="1"/>
    <w:link w:val="11"/>
    <w:uiPriority w:val="0"/>
    <w:pPr>
      <w:spacing w:line="420" w:lineRule="exact"/>
      <w:ind w:firstLine="630"/>
    </w:pPr>
    <w:rPr>
      <w:rFonts w:ascii="Times New Roman" w:hAnsi="Times New Roman" w:eastAsia="仿宋_GB2312"/>
      <w:sz w:val="32"/>
      <w:szCs w:val="24"/>
    </w:r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kern w:val="0"/>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unhideWhenUsed/>
    <w:uiPriority w:val="39"/>
  </w:style>
  <w:style w:type="paragraph" w:styleId="7">
    <w:name w:val="toc 2"/>
    <w:basedOn w:val="1"/>
    <w:next w:val="1"/>
    <w:unhideWhenUsed/>
    <w:uiPriority w:val="39"/>
    <w:pPr>
      <w:ind w:left="420" w:leftChars="200"/>
    </w:pPr>
  </w:style>
  <w:style w:type="character" w:styleId="10">
    <w:name w:val="Strong"/>
    <w:qFormat/>
    <w:uiPriority w:val="0"/>
    <w:rPr>
      <w:rFonts w:cs="Times New Roman"/>
      <w:b/>
    </w:rPr>
  </w:style>
  <w:style w:type="character" w:customStyle="1" w:styleId="11">
    <w:name w:val=" Char Char3"/>
    <w:link w:val="2"/>
    <w:uiPriority w:val="0"/>
    <w:rPr>
      <w:rFonts w:ascii="Times New Roman" w:hAnsi="Times New Roman" w:eastAsia="仿宋_GB2312"/>
      <w:kern w:val="2"/>
      <w:sz w:val="32"/>
      <w:szCs w:val="24"/>
    </w:rPr>
  </w:style>
  <w:style w:type="character" w:customStyle="1" w:styleId="12">
    <w:name w:val=" Char Char1"/>
    <w:link w:val="3"/>
    <w:semiHidden/>
    <w:uiPriority w:val="99"/>
    <w:rPr>
      <w:kern w:val="2"/>
      <w:sz w:val="18"/>
      <w:szCs w:val="18"/>
    </w:rPr>
  </w:style>
  <w:style w:type="character" w:customStyle="1" w:styleId="13">
    <w:name w:val=" Char Char2"/>
    <w:link w:val="4"/>
    <w:uiPriority w:val="99"/>
    <w:rPr>
      <w:sz w:val="18"/>
      <w:szCs w:val="18"/>
    </w:rPr>
  </w:style>
  <w:style w:type="character" w:customStyle="1" w:styleId="14">
    <w:name w:val=" Char Char"/>
    <w:link w:val="5"/>
    <w:uiPriority w:val="99"/>
    <w:rPr>
      <w:sz w:val="18"/>
      <w:szCs w:val="18"/>
    </w:rPr>
  </w:style>
  <w:style w:type="paragraph" w:customStyle="1" w:styleId="15">
    <w:name w:val="[Normal]"/>
    <w:uiPriority w:val="99"/>
    <w:pPr>
      <w:widowControl w:val="0"/>
      <w:autoSpaceDE w:val="0"/>
      <w:autoSpaceDN w:val="0"/>
      <w:adjustRightInd w:val="0"/>
    </w:pPr>
    <w:rPr>
      <w:rFonts w:ascii="宋体" w:hAnsi="Times New Roman" w:cs="宋体"/>
      <w:sz w:val="24"/>
      <w:szCs w:val="24"/>
      <w:lang w:val="en-US" w:eastAsia="zh-CN" w:bidi="ar-SA"/>
    </w:rPr>
  </w:style>
  <w:style w:type="paragraph" w:customStyle="1" w:styleId="16">
    <w:name w:val="列出段落"/>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535</Words>
  <Characters>3053</Characters>
  <Lines>25</Lines>
  <Paragraphs>7</Paragraphs>
  <TotalTime>0</TotalTime>
  <ScaleCrop>false</ScaleCrop>
  <LinksUpToDate>false</LinksUpToDate>
  <CharactersWithSpaces>3581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2016-12-01T07:28:00Z</dcterms:created>
  <dc:creator>suix</dc:creator>
  <cp:lastModifiedBy>Administrator</cp:lastModifiedBy>
  <cp:lastPrinted>2017-06-21T08:26:00Z</cp:lastPrinted>
  <dcterms:modified xsi:type="dcterms:W3CDTF">2024-01-11T05:57:43Z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AC6C2B9505824F07A1CCABC6CDF6BABA</vt:lpwstr>
  </property>
</Properties>
</file>