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9"/>
        <w:rPr>
          <w:rFonts w:hint="eastAsia"/>
          <w:b/>
          <w:bCs/>
          <w:sz w:val="44"/>
          <w:szCs w:val="44"/>
          <w:lang w:val="en-US" w:eastAsia="zh-CN"/>
        </w:rPr>
      </w:pPr>
      <w:bookmarkStart w:id="25" w:name="_GoBack"/>
      <w:r>
        <w:rPr>
          <w:rFonts w:hint="eastAsia"/>
          <w:b/>
          <w:bCs/>
          <w:sz w:val="44"/>
          <w:szCs w:val="44"/>
          <w:lang w:val="en-US" w:eastAsia="zh-CN"/>
        </w:rPr>
        <w:t>保定市徐水区东史端镇南胡渠村道路改造工程重点绩效评价报告</w:t>
      </w:r>
    </w:p>
    <w:bookmarkEnd w:id="25"/>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left"/>
        <w:rPr>
          <w:rFonts w:hint="eastAsia"/>
          <w:b/>
          <w:bCs/>
          <w:lang w:val="en-US" w:eastAsia="zh-CN"/>
        </w:rPr>
      </w:pPr>
      <w:r>
        <w:rPr>
          <w:rFonts w:hint="eastAsia"/>
          <w:b/>
          <w:bCs/>
          <w:lang w:val="en-US" w:eastAsia="zh-CN"/>
        </w:rPr>
        <w:t>评价机构：上海闻政管理咨询有限公司河北分公司</w:t>
      </w:r>
    </w:p>
    <w:p>
      <w:pPr>
        <w:jc w:val="left"/>
        <w:rPr>
          <w:rFonts w:hint="eastAsia"/>
          <w:b/>
          <w:bCs/>
          <w:lang w:val="en-US" w:eastAsia="zh-CN"/>
        </w:rPr>
      </w:pPr>
      <w:r>
        <w:rPr>
          <w:rFonts w:hint="eastAsia"/>
          <w:b/>
          <w:bCs/>
          <w:lang w:val="en-US" w:eastAsia="zh-CN"/>
        </w:rPr>
        <w:t>委托单位：保定市徐水区财政局</w:t>
      </w:r>
    </w:p>
    <w:p>
      <w:pPr>
        <w:jc w:val="left"/>
        <w:rPr>
          <w:rFonts w:hint="default"/>
          <w:b/>
          <w:bCs/>
          <w:lang w:val="en-US" w:eastAsia="zh-CN"/>
        </w:rPr>
      </w:pPr>
      <w:r>
        <w:rPr>
          <w:rFonts w:hint="eastAsia"/>
          <w:b/>
          <w:bCs/>
          <w:lang w:val="en-US" w:eastAsia="zh-CN"/>
        </w:rPr>
        <w:t>被评价单位：保定市徐水区东史端镇人民政府</w:t>
      </w:r>
    </w:p>
    <w:p>
      <w:pPr>
        <w:jc w:val="left"/>
        <w:rPr>
          <w:rFonts w:hint="default"/>
          <w:b/>
          <w:bCs/>
          <w:lang w:val="en-US" w:eastAsia="zh-CN"/>
        </w:rPr>
      </w:pPr>
      <w:r>
        <w:rPr>
          <w:rFonts w:hint="eastAsia"/>
          <w:b/>
          <w:bCs/>
          <w:lang w:val="en-US" w:eastAsia="zh-CN"/>
        </w:rPr>
        <w:t>报告时间：2023年6月</w:t>
      </w:r>
    </w:p>
    <w:p>
      <w:pPr>
        <w:rPr>
          <w:rFonts w:hint="eastAsia"/>
          <w:lang w:val="en-US" w:eastAsia="zh-CN"/>
        </w:rPr>
      </w:pPr>
    </w:p>
    <w:sdt>
      <w:sdtPr>
        <w:rPr>
          <w:rFonts w:ascii="宋体" w:hAnsi="宋体" w:eastAsia="宋体" w:cstheme="minorBidi"/>
          <w:kern w:val="2"/>
          <w:sz w:val="21"/>
          <w:szCs w:val="24"/>
          <w:lang w:val="en-US" w:eastAsia="zh-CN" w:bidi="ar-SA"/>
        </w:rPr>
        <w:id w:val="147456272"/>
        <w15:color w:val="DBDBDB"/>
        <w:docPartObj>
          <w:docPartGallery w:val="Table of Contents"/>
          <w:docPartUnique/>
        </w:docPartObj>
      </w:sdtPr>
      <w:sdtEndPr>
        <w:rPr>
          <w:rFonts w:hint="eastAsia" w:ascii="Times New Roman" w:hAnsi="Times New Roman" w:eastAsia="仿宋_GB2312" w:cstheme="minorBidi"/>
          <w:b/>
          <w:kern w:val="2"/>
          <w:sz w:val="32"/>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10"/>
            <w:tabs>
              <w:tab w:val="right" w:leader="dot" w:pos="8306"/>
            </w:tabs>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lang w:val="en-US" w:eastAsia="zh-CN"/>
            </w:rPr>
            <w:fldChar w:fldCharType="begin"/>
          </w:r>
          <w:r>
            <w:rPr>
              <w:rFonts w:hint="eastAsia"/>
              <w:lang w:val="en-US" w:eastAsia="zh-CN"/>
            </w:rPr>
            <w:instrText xml:space="preserve"> HYPERLINK \l _Toc5323 </w:instrText>
          </w:r>
          <w:r>
            <w:rPr>
              <w:rFonts w:hint="eastAsia"/>
              <w:lang w:val="en-US" w:eastAsia="zh-CN"/>
            </w:rPr>
            <w:fldChar w:fldCharType="separate"/>
          </w:r>
          <w:r>
            <w:rPr>
              <w:rFonts w:hint="eastAsia"/>
              <w:lang w:val="en-US" w:eastAsia="zh-CN"/>
            </w:rPr>
            <w:t>摘 要</w:t>
          </w:r>
          <w:r>
            <w:tab/>
          </w:r>
          <w:r>
            <w:fldChar w:fldCharType="begin"/>
          </w:r>
          <w:r>
            <w:instrText xml:space="preserve"> PAGEREF _Toc5323 \h </w:instrText>
          </w:r>
          <w:r>
            <w:fldChar w:fldCharType="separate"/>
          </w:r>
          <w:r>
            <w:t>1</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_Toc18840 </w:instrText>
          </w:r>
          <w:r>
            <w:rPr>
              <w:rFonts w:hint="eastAsia"/>
              <w:lang w:val="en-US" w:eastAsia="zh-CN"/>
            </w:rPr>
            <w:fldChar w:fldCharType="separate"/>
          </w:r>
          <w:r>
            <w:rPr>
              <w:rFonts w:hint="eastAsia"/>
              <w:lang w:val="en-US" w:eastAsia="zh-CN"/>
            </w:rPr>
            <w:t>一、基本情况</w:t>
          </w:r>
          <w:r>
            <w:tab/>
          </w:r>
          <w:r>
            <w:fldChar w:fldCharType="begin"/>
          </w:r>
          <w:r>
            <w:instrText xml:space="preserve"> PAGEREF _Toc18840 \h </w:instrText>
          </w:r>
          <w:r>
            <w:fldChar w:fldCharType="separate"/>
          </w:r>
          <w:r>
            <w:t>1</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_Toc31988 </w:instrText>
          </w:r>
          <w:r>
            <w:rPr>
              <w:rFonts w:hint="eastAsia"/>
              <w:lang w:val="en-US" w:eastAsia="zh-CN"/>
            </w:rPr>
            <w:fldChar w:fldCharType="separate"/>
          </w:r>
          <w:r>
            <w:rPr>
              <w:rFonts w:hint="eastAsia"/>
              <w:lang w:val="en-US" w:eastAsia="zh-CN"/>
            </w:rPr>
            <w:t>（一）项目概况</w:t>
          </w:r>
          <w:r>
            <w:tab/>
          </w:r>
          <w:r>
            <w:fldChar w:fldCharType="begin"/>
          </w:r>
          <w:r>
            <w:instrText xml:space="preserve"> PAGEREF _Toc31988 \h </w:instrText>
          </w:r>
          <w:r>
            <w:fldChar w:fldCharType="separate"/>
          </w:r>
          <w:r>
            <w:t>1</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_Toc3396 </w:instrText>
          </w:r>
          <w:r>
            <w:rPr>
              <w:rFonts w:hint="eastAsia"/>
              <w:lang w:val="en-US" w:eastAsia="zh-CN"/>
            </w:rPr>
            <w:fldChar w:fldCharType="separate"/>
          </w:r>
          <w:r>
            <w:rPr>
              <w:rFonts w:hint="eastAsia"/>
              <w:lang w:val="en-US" w:eastAsia="zh-CN"/>
            </w:rPr>
            <w:t>（二）项目绩效目标</w:t>
          </w:r>
          <w:r>
            <w:tab/>
          </w:r>
          <w:r>
            <w:fldChar w:fldCharType="begin"/>
          </w:r>
          <w:r>
            <w:instrText xml:space="preserve"> PAGEREF _Toc3396 \h </w:instrText>
          </w:r>
          <w:r>
            <w:fldChar w:fldCharType="separate"/>
          </w:r>
          <w:r>
            <w:t>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_Toc15898 </w:instrText>
          </w:r>
          <w:r>
            <w:rPr>
              <w:rFonts w:hint="eastAsia"/>
              <w:lang w:val="en-US" w:eastAsia="zh-CN"/>
            </w:rPr>
            <w:fldChar w:fldCharType="separate"/>
          </w:r>
          <w:r>
            <w:rPr>
              <w:rFonts w:hint="eastAsia"/>
              <w:lang w:val="en-US" w:eastAsia="zh-CN"/>
            </w:rPr>
            <w:t>二、绩效评价工作开展情况</w:t>
          </w:r>
          <w:r>
            <w:tab/>
          </w:r>
          <w:r>
            <w:fldChar w:fldCharType="begin"/>
          </w:r>
          <w:r>
            <w:instrText xml:space="preserve"> PAGEREF _Toc15898 \h </w:instrText>
          </w:r>
          <w:r>
            <w:fldChar w:fldCharType="separate"/>
          </w:r>
          <w:r>
            <w:t>4</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_Toc9079 </w:instrText>
          </w:r>
          <w:r>
            <w:rPr>
              <w:rFonts w:hint="eastAsia"/>
              <w:lang w:val="en-US" w:eastAsia="zh-CN"/>
            </w:rPr>
            <w:fldChar w:fldCharType="separate"/>
          </w:r>
          <w:r>
            <w:rPr>
              <w:rFonts w:hint="eastAsia"/>
              <w:lang w:val="en-US" w:eastAsia="zh-CN"/>
            </w:rPr>
            <w:t>（一）绩效评价目的、对象和范围</w:t>
          </w:r>
          <w:r>
            <w:tab/>
          </w:r>
          <w:r>
            <w:fldChar w:fldCharType="begin"/>
          </w:r>
          <w:r>
            <w:instrText xml:space="preserve"> PAGEREF _Toc9079 \h </w:instrText>
          </w:r>
          <w:r>
            <w:fldChar w:fldCharType="separate"/>
          </w:r>
          <w:r>
            <w:t>4</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_Toc29748 </w:instrText>
          </w:r>
          <w:r>
            <w:rPr>
              <w:rFonts w:hint="eastAsia"/>
              <w:lang w:val="en-US" w:eastAsia="zh-CN"/>
            </w:rPr>
            <w:fldChar w:fldCharType="separate"/>
          </w:r>
          <w:r>
            <w:rPr>
              <w:rFonts w:hint="eastAsia"/>
              <w:lang w:val="en-US" w:eastAsia="zh-CN"/>
            </w:rPr>
            <w:t>（二）绩效评价原则、评价指标体系、评价方法、评价标准</w:t>
          </w:r>
          <w:r>
            <w:tab/>
          </w:r>
          <w:r>
            <w:fldChar w:fldCharType="begin"/>
          </w:r>
          <w:r>
            <w:instrText xml:space="preserve"> PAGEREF _Toc29748 \h </w:instrText>
          </w:r>
          <w:r>
            <w:fldChar w:fldCharType="separate"/>
          </w:r>
          <w:r>
            <w:t>5</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_Toc1591 </w:instrText>
          </w:r>
          <w:r>
            <w:rPr>
              <w:rFonts w:hint="eastAsia"/>
              <w:lang w:val="en-US" w:eastAsia="zh-CN"/>
            </w:rPr>
            <w:fldChar w:fldCharType="separate"/>
          </w:r>
          <w:r>
            <w:rPr>
              <w:rFonts w:hint="eastAsia"/>
              <w:lang w:val="en-US" w:eastAsia="zh-CN"/>
            </w:rPr>
            <w:t>（三）绩效评价工作过程</w:t>
          </w:r>
          <w:r>
            <w:tab/>
          </w:r>
          <w:r>
            <w:fldChar w:fldCharType="begin"/>
          </w:r>
          <w:r>
            <w:instrText xml:space="preserve"> PAGEREF _Toc1591 \h </w:instrText>
          </w:r>
          <w:r>
            <w:fldChar w:fldCharType="separate"/>
          </w:r>
          <w:r>
            <w:t>8</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_Toc28526 </w:instrText>
          </w:r>
          <w:r>
            <w:rPr>
              <w:rFonts w:hint="eastAsia"/>
              <w:lang w:val="en-US" w:eastAsia="zh-CN"/>
            </w:rPr>
            <w:fldChar w:fldCharType="separate"/>
          </w:r>
          <w:r>
            <w:rPr>
              <w:rFonts w:hint="eastAsia"/>
              <w:lang w:val="en-US" w:eastAsia="zh-CN"/>
            </w:rPr>
            <w:t>三、综合评价情况及评价结论</w:t>
          </w:r>
          <w:r>
            <w:tab/>
          </w:r>
          <w:r>
            <w:fldChar w:fldCharType="begin"/>
          </w:r>
          <w:r>
            <w:instrText xml:space="preserve"> PAGEREF _Toc28526 \h </w:instrText>
          </w:r>
          <w:r>
            <w:fldChar w:fldCharType="separate"/>
          </w:r>
          <w:r>
            <w:t>10</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_Toc4661 </w:instrText>
          </w:r>
          <w:r>
            <w:rPr>
              <w:rFonts w:hint="eastAsia"/>
              <w:lang w:val="en-US" w:eastAsia="zh-CN"/>
            </w:rPr>
            <w:fldChar w:fldCharType="separate"/>
          </w:r>
          <w:r>
            <w:rPr>
              <w:rFonts w:hint="eastAsia"/>
              <w:lang w:val="en-US" w:eastAsia="zh-CN"/>
            </w:rPr>
            <w:t>（一）总评价得分及评价等级</w:t>
          </w:r>
          <w:r>
            <w:tab/>
          </w:r>
          <w:r>
            <w:fldChar w:fldCharType="begin"/>
          </w:r>
          <w:r>
            <w:instrText xml:space="preserve"> PAGEREF _Toc4661 \h </w:instrText>
          </w:r>
          <w:r>
            <w:fldChar w:fldCharType="separate"/>
          </w:r>
          <w:r>
            <w:t>10</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_Toc6668 </w:instrText>
          </w:r>
          <w:r>
            <w:rPr>
              <w:rFonts w:hint="eastAsia"/>
              <w:lang w:val="en-US" w:eastAsia="zh-CN"/>
            </w:rPr>
            <w:fldChar w:fldCharType="separate"/>
          </w:r>
          <w:r>
            <w:rPr>
              <w:rFonts w:hint="eastAsia"/>
              <w:lang w:val="en-US" w:eastAsia="zh-CN"/>
            </w:rPr>
            <w:t>（二）评价结论</w:t>
          </w:r>
          <w:r>
            <w:tab/>
          </w:r>
          <w:r>
            <w:fldChar w:fldCharType="begin"/>
          </w:r>
          <w:r>
            <w:instrText xml:space="preserve"> PAGEREF _Toc6668 \h </w:instrText>
          </w:r>
          <w:r>
            <w:fldChar w:fldCharType="separate"/>
          </w:r>
          <w:r>
            <w:t>10</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_Toc20404 </w:instrText>
          </w:r>
          <w:r>
            <w:rPr>
              <w:rFonts w:hint="eastAsia"/>
              <w:lang w:val="en-US" w:eastAsia="zh-CN"/>
            </w:rPr>
            <w:fldChar w:fldCharType="separate"/>
          </w:r>
          <w:r>
            <w:rPr>
              <w:rFonts w:hint="eastAsia"/>
              <w:lang w:val="en-US" w:eastAsia="zh-CN"/>
            </w:rPr>
            <w:t>四、绩效评价指标分析</w:t>
          </w:r>
          <w:r>
            <w:tab/>
          </w:r>
          <w:r>
            <w:fldChar w:fldCharType="begin"/>
          </w:r>
          <w:r>
            <w:instrText xml:space="preserve"> PAGEREF _Toc20404 \h </w:instrText>
          </w:r>
          <w:r>
            <w:fldChar w:fldCharType="separate"/>
          </w:r>
          <w:r>
            <w:t>11</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_Toc11813 </w:instrText>
          </w:r>
          <w:r>
            <w:rPr>
              <w:rFonts w:hint="eastAsia"/>
              <w:lang w:val="en-US" w:eastAsia="zh-CN"/>
            </w:rPr>
            <w:fldChar w:fldCharType="separate"/>
          </w:r>
          <w:r>
            <w:rPr>
              <w:rFonts w:hint="eastAsia"/>
              <w:lang w:val="en-US" w:eastAsia="zh-CN"/>
            </w:rPr>
            <w:t>（一）项目决策情况</w:t>
          </w:r>
          <w:r>
            <w:tab/>
          </w:r>
          <w:r>
            <w:fldChar w:fldCharType="begin"/>
          </w:r>
          <w:r>
            <w:instrText xml:space="preserve"> PAGEREF _Toc11813 \h </w:instrText>
          </w:r>
          <w:r>
            <w:fldChar w:fldCharType="separate"/>
          </w:r>
          <w:r>
            <w:t>11</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_Toc8133 </w:instrText>
          </w:r>
          <w:r>
            <w:rPr>
              <w:rFonts w:hint="eastAsia"/>
              <w:lang w:val="en-US" w:eastAsia="zh-CN"/>
            </w:rPr>
            <w:fldChar w:fldCharType="separate"/>
          </w:r>
          <w:r>
            <w:rPr>
              <w:rFonts w:hint="eastAsia"/>
              <w:lang w:val="en-US" w:eastAsia="zh-CN"/>
            </w:rPr>
            <w:t>（二）项目过程情况</w:t>
          </w:r>
          <w:r>
            <w:tab/>
          </w:r>
          <w:r>
            <w:fldChar w:fldCharType="begin"/>
          </w:r>
          <w:r>
            <w:instrText xml:space="preserve"> PAGEREF _Toc8133 \h </w:instrText>
          </w:r>
          <w:r>
            <w:fldChar w:fldCharType="separate"/>
          </w:r>
          <w:r>
            <w:t>13</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_Toc17015 </w:instrText>
          </w:r>
          <w:r>
            <w:rPr>
              <w:rFonts w:hint="eastAsia"/>
              <w:lang w:val="en-US" w:eastAsia="zh-CN"/>
            </w:rPr>
            <w:fldChar w:fldCharType="separate"/>
          </w:r>
          <w:r>
            <w:rPr>
              <w:rFonts w:hint="eastAsia"/>
              <w:lang w:val="en-US" w:eastAsia="zh-CN"/>
            </w:rPr>
            <w:t>（三）项目产出情况</w:t>
          </w:r>
          <w:r>
            <w:tab/>
          </w:r>
          <w:r>
            <w:fldChar w:fldCharType="begin"/>
          </w:r>
          <w:r>
            <w:instrText xml:space="preserve"> PAGEREF _Toc17015 \h </w:instrText>
          </w:r>
          <w:r>
            <w:fldChar w:fldCharType="separate"/>
          </w:r>
          <w:r>
            <w:t>16</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_Toc22622 </w:instrText>
          </w:r>
          <w:r>
            <w:rPr>
              <w:rFonts w:hint="eastAsia"/>
              <w:lang w:val="en-US" w:eastAsia="zh-CN"/>
            </w:rPr>
            <w:fldChar w:fldCharType="separate"/>
          </w:r>
          <w:r>
            <w:rPr>
              <w:rFonts w:hint="eastAsia"/>
              <w:lang w:val="en-US" w:eastAsia="zh-CN"/>
            </w:rPr>
            <w:t>（四）项目效益情况</w:t>
          </w:r>
          <w:r>
            <w:tab/>
          </w:r>
          <w:r>
            <w:fldChar w:fldCharType="begin"/>
          </w:r>
          <w:r>
            <w:instrText xml:space="preserve"> PAGEREF _Toc22622 \h </w:instrText>
          </w:r>
          <w:r>
            <w:fldChar w:fldCharType="separate"/>
          </w:r>
          <w:r>
            <w:t>17</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_Toc11941 </w:instrText>
          </w:r>
          <w:r>
            <w:rPr>
              <w:rFonts w:hint="eastAsia"/>
              <w:lang w:val="en-US" w:eastAsia="zh-CN"/>
            </w:rPr>
            <w:fldChar w:fldCharType="separate"/>
          </w:r>
          <w:r>
            <w:rPr>
              <w:rFonts w:hint="eastAsia"/>
              <w:lang w:val="en-US" w:eastAsia="zh-CN"/>
            </w:rPr>
            <w:t>五、存在的问题及原因分析</w:t>
          </w:r>
          <w:r>
            <w:tab/>
          </w:r>
          <w:r>
            <w:fldChar w:fldCharType="begin"/>
          </w:r>
          <w:r>
            <w:instrText xml:space="preserve"> PAGEREF _Toc11941 \h </w:instrText>
          </w:r>
          <w:r>
            <w:fldChar w:fldCharType="separate"/>
          </w:r>
          <w:r>
            <w:t>19</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_Toc28170 </w:instrText>
          </w:r>
          <w:r>
            <w:rPr>
              <w:rFonts w:hint="eastAsia"/>
              <w:lang w:val="en-US" w:eastAsia="zh-CN"/>
            </w:rPr>
            <w:fldChar w:fldCharType="separate"/>
          </w:r>
          <w:r>
            <w:rPr>
              <w:rFonts w:hint="eastAsia"/>
              <w:lang w:val="en-US" w:eastAsia="zh-CN"/>
            </w:rPr>
            <w:t>（一）项目决策阶段立项论证充分性不足</w:t>
          </w:r>
          <w:r>
            <w:tab/>
          </w:r>
          <w:r>
            <w:fldChar w:fldCharType="begin"/>
          </w:r>
          <w:r>
            <w:instrText xml:space="preserve"> PAGEREF _Toc28170 \h </w:instrText>
          </w:r>
          <w:r>
            <w:fldChar w:fldCharType="separate"/>
          </w:r>
          <w:r>
            <w:t>19</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_Toc2717 </w:instrText>
          </w:r>
          <w:r>
            <w:rPr>
              <w:rFonts w:hint="eastAsia"/>
              <w:lang w:val="en-US" w:eastAsia="zh-CN"/>
            </w:rPr>
            <w:fldChar w:fldCharType="separate"/>
          </w:r>
          <w:r>
            <w:rPr>
              <w:rFonts w:hint="eastAsia"/>
              <w:lang w:val="en-US" w:eastAsia="zh-CN"/>
            </w:rPr>
            <w:t>（二）项目产出数量存在偏差</w:t>
          </w:r>
          <w:r>
            <w:tab/>
          </w:r>
          <w:r>
            <w:fldChar w:fldCharType="begin"/>
          </w:r>
          <w:r>
            <w:instrText xml:space="preserve"> PAGEREF _Toc2717 \h </w:instrText>
          </w:r>
          <w:r>
            <w:fldChar w:fldCharType="separate"/>
          </w:r>
          <w:r>
            <w:t>19</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_Toc76 </w:instrText>
          </w:r>
          <w:r>
            <w:rPr>
              <w:rFonts w:hint="eastAsia"/>
              <w:lang w:val="en-US" w:eastAsia="zh-CN"/>
            </w:rPr>
            <w:fldChar w:fldCharType="separate"/>
          </w:r>
          <w:r>
            <w:rPr>
              <w:rFonts w:hint="eastAsia"/>
              <w:lang w:val="en-US" w:eastAsia="zh-CN"/>
            </w:rPr>
            <w:t>六、有关建议</w:t>
          </w:r>
          <w:r>
            <w:tab/>
          </w:r>
          <w:r>
            <w:fldChar w:fldCharType="begin"/>
          </w:r>
          <w:r>
            <w:instrText xml:space="preserve"> PAGEREF _Toc76 \h </w:instrText>
          </w:r>
          <w:r>
            <w:fldChar w:fldCharType="separate"/>
          </w:r>
          <w:r>
            <w:t>19</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_Toc27130 </w:instrText>
          </w:r>
          <w:r>
            <w:rPr>
              <w:rFonts w:hint="eastAsia"/>
              <w:lang w:val="en-US" w:eastAsia="zh-CN"/>
            </w:rPr>
            <w:fldChar w:fldCharType="separate"/>
          </w:r>
          <w:r>
            <w:rPr>
              <w:rFonts w:hint="eastAsia"/>
              <w:lang w:val="en-US" w:eastAsia="zh-CN"/>
            </w:rPr>
            <w:t>（一）加强项目决策立项论证的充分性</w:t>
          </w:r>
          <w:r>
            <w:tab/>
          </w:r>
          <w:r>
            <w:fldChar w:fldCharType="begin"/>
          </w:r>
          <w:r>
            <w:instrText xml:space="preserve"> PAGEREF _Toc27130 \h </w:instrText>
          </w:r>
          <w:r>
            <w:fldChar w:fldCharType="separate"/>
          </w:r>
          <w:r>
            <w:t>19</w:t>
          </w:r>
          <w:r>
            <w:fldChar w:fldCharType="end"/>
          </w:r>
          <w:r>
            <w:rPr>
              <w:rFonts w:hint="eastAsia"/>
              <w:lang w:val="en-US" w:eastAsia="zh-CN"/>
            </w:rPr>
            <w:fldChar w:fldCharType="end"/>
          </w:r>
        </w:p>
        <w:p>
          <w:pPr>
            <w:pStyle w:val="11"/>
            <w:tabs>
              <w:tab w:val="right" w:leader="dot" w:pos="8306"/>
            </w:tabs>
          </w:pPr>
          <w:r>
            <w:rPr>
              <w:rFonts w:hint="eastAsia"/>
              <w:lang w:val="en-US" w:eastAsia="zh-CN"/>
            </w:rPr>
            <w:fldChar w:fldCharType="begin"/>
          </w:r>
          <w:r>
            <w:rPr>
              <w:rFonts w:hint="eastAsia"/>
              <w:lang w:val="en-US" w:eastAsia="zh-CN"/>
            </w:rPr>
            <w:instrText xml:space="preserve"> HYPERLINK \l _Toc1515 </w:instrText>
          </w:r>
          <w:r>
            <w:rPr>
              <w:rFonts w:hint="eastAsia"/>
              <w:lang w:val="en-US" w:eastAsia="zh-CN"/>
            </w:rPr>
            <w:fldChar w:fldCharType="separate"/>
          </w:r>
          <w:r>
            <w:rPr>
              <w:rFonts w:hint="eastAsia"/>
              <w:lang w:val="en-US" w:eastAsia="zh-CN"/>
            </w:rPr>
            <w:t>（二）提高项目工程量测算精准度</w:t>
          </w:r>
          <w:r>
            <w:tab/>
          </w:r>
          <w:r>
            <w:fldChar w:fldCharType="begin"/>
          </w:r>
          <w:r>
            <w:instrText xml:space="preserve"> PAGEREF _Toc1515 \h </w:instrText>
          </w:r>
          <w:r>
            <w:fldChar w:fldCharType="separate"/>
          </w:r>
          <w:r>
            <w:t>20</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_Toc15258 </w:instrText>
          </w:r>
          <w:r>
            <w:rPr>
              <w:rFonts w:hint="eastAsia"/>
              <w:lang w:val="en-US" w:eastAsia="zh-CN"/>
            </w:rPr>
            <w:fldChar w:fldCharType="separate"/>
          </w:r>
          <w:r>
            <w:rPr>
              <w:rFonts w:hint="eastAsia"/>
              <w:lang w:val="en-US" w:eastAsia="zh-CN"/>
            </w:rPr>
            <w:t>七、其他需要说明的问题</w:t>
          </w:r>
          <w:r>
            <w:tab/>
          </w:r>
          <w:r>
            <w:fldChar w:fldCharType="begin"/>
          </w:r>
          <w:r>
            <w:instrText xml:space="preserve"> PAGEREF _Toc15258 \h </w:instrText>
          </w:r>
          <w:r>
            <w:fldChar w:fldCharType="separate"/>
          </w:r>
          <w:r>
            <w:t>20</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_Toc187 </w:instrText>
          </w:r>
          <w:r>
            <w:rPr>
              <w:rFonts w:hint="eastAsia"/>
              <w:lang w:val="en-US" w:eastAsia="zh-CN"/>
            </w:rPr>
            <w:fldChar w:fldCharType="separate"/>
          </w:r>
          <w:r>
            <w:rPr>
              <w:rFonts w:hint="eastAsia"/>
              <w:lang w:val="en-US" w:eastAsia="zh-CN"/>
            </w:rPr>
            <w:t>附件1 评价指标体系及得分表</w:t>
          </w:r>
          <w:r>
            <w:tab/>
          </w:r>
          <w:r>
            <w:fldChar w:fldCharType="begin"/>
          </w:r>
          <w:r>
            <w:instrText xml:space="preserve"> PAGEREF _Toc187 \h </w:instrText>
          </w:r>
          <w:r>
            <w:fldChar w:fldCharType="separate"/>
          </w:r>
          <w:r>
            <w:t>21</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_Toc14016 </w:instrText>
          </w:r>
          <w:r>
            <w:rPr>
              <w:rFonts w:hint="eastAsia"/>
              <w:lang w:val="en-US" w:eastAsia="zh-CN"/>
            </w:rPr>
            <w:fldChar w:fldCharType="separate"/>
          </w:r>
          <w:r>
            <w:rPr>
              <w:rFonts w:hint="eastAsia"/>
              <w:lang w:val="en-US" w:eastAsia="zh-CN"/>
            </w:rPr>
            <w:t>附件2 满意度调查问卷分析报告</w:t>
          </w:r>
          <w:r>
            <w:tab/>
          </w:r>
          <w:r>
            <w:fldChar w:fldCharType="begin"/>
          </w:r>
          <w:r>
            <w:instrText xml:space="preserve"> PAGEREF _Toc14016 \h </w:instrText>
          </w:r>
          <w:r>
            <w:fldChar w:fldCharType="separate"/>
          </w:r>
          <w:r>
            <w:t>29</w:t>
          </w:r>
          <w:r>
            <w:fldChar w:fldCharType="end"/>
          </w:r>
          <w:r>
            <w:rPr>
              <w:rFonts w:hint="eastAsia"/>
              <w:lang w:val="en-US" w:eastAsia="zh-CN"/>
            </w:rPr>
            <w:fldChar w:fldCharType="end"/>
          </w:r>
        </w:p>
        <w:p>
          <w:pPr>
            <w:pStyle w:val="10"/>
            <w:tabs>
              <w:tab w:val="right" w:leader="dot" w:pos="8306"/>
            </w:tabs>
            <w:rPr>
              <w:rFonts w:hint="eastAsia" w:ascii="Times New Roman" w:hAnsi="Times New Roman" w:eastAsia="仿宋_GB2312" w:cstheme="minorBidi"/>
              <w:b/>
              <w:kern w:val="2"/>
              <w:sz w:val="32"/>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lang w:val="en-US" w:eastAsia="zh-CN"/>
            </w:rPr>
            <w:fldChar w:fldCharType="end"/>
          </w:r>
        </w:p>
      </w:sdtContent>
    </w:sdt>
    <w:p>
      <w:pPr>
        <w:pStyle w:val="4"/>
        <w:bidi w:val="0"/>
        <w:jc w:val="center"/>
        <w:rPr>
          <w:rFonts w:hint="default"/>
          <w:lang w:val="en-US" w:eastAsia="zh-CN"/>
        </w:rPr>
      </w:pPr>
      <w:bookmarkStart w:id="0" w:name="_Toc5323"/>
      <w:r>
        <w:rPr>
          <w:rFonts w:hint="eastAsia"/>
          <w:lang w:val="en-US" w:eastAsia="zh-CN"/>
        </w:rPr>
        <w:t>摘 要</w:t>
      </w:r>
      <w:bookmarkEnd w:id="0"/>
    </w:p>
    <w:p>
      <w:pPr>
        <w:bidi w:val="0"/>
        <w:ind w:firstLine="640" w:firstLineChars="200"/>
        <w:rPr>
          <w:rFonts w:hint="eastAsia"/>
          <w:lang w:val="en-US" w:eastAsia="zh-CN"/>
        </w:rPr>
      </w:pPr>
      <w:r>
        <w:rPr>
          <w:rFonts w:hint="eastAsia" w:ascii="Times New Roman" w:hAnsi="Times New Roman" w:eastAsia="仿宋_GB2312" w:cstheme="minorBidi"/>
          <w:b w:val="0"/>
          <w:kern w:val="2"/>
          <w:sz w:val="32"/>
          <w:szCs w:val="24"/>
          <w:lang w:val="en-US" w:eastAsia="zh-CN" w:bidi="ar-SA"/>
        </w:rPr>
        <w:t>为贯彻落实中共中央国务院《关于全面实施预算绩效管理的意见》（中发〔2018〕34号）、</w:t>
      </w:r>
      <w:r>
        <w:rPr>
          <w:rFonts w:hint="eastAsia" w:cstheme="minorBidi"/>
          <w:b w:val="0"/>
          <w:kern w:val="2"/>
          <w:sz w:val="32"/>
          <w:szCs w:val="24"/>
          <w:lang w:val="en-US" w:eastAsia="zh-CN" w:bidi="ar-SA"/>
        </w:rPr>
        <w:t>省委省政府</w:t>
      </w:r>
      <w:r>
        <w:rPr>
          <w:rFonts w:hint="eastAsia" w:ascii="Times New Roman" w:hAnsi="Times New Roman" w:eastAsia="仿宋_GB2312" w:cstheme="minorBidi"/>
          <w:b w:val="0"/>
          <w:kern w:val="2"/>
          <w:sz w:val="32"/>
          <w:szCs w:val="24"/>
          <w:lang w:val="en-US" w:eastAsia="zh-CN" w:bidi="ar-SA"/>
        </w:rPr>
        <w:t>《关于全面实施预算绩效管理的实施意见》（冀发〔2018〕54号），进一步提高财政资金管理水平和使用效益，根据《河北省省级预算绩效重点评价管理办法》（冀财绩〔2019〕11号）、保定市徐水区财政局《关于开展2023年财政重点绩效评价工作的通知》（徐政财字〔2023〕34号）的要求，受保定市徐水区财政局委托，上海闻政管理咨询有限公司河北分公司作为第三方绩效评价中介机构，承担保定市徐水区</w:t>
      </w:r>
      <w:r>
        <w:rPr>
          <w:rFonts w:hint="eastAsia" w:ascii="仿宋_GB2312" w:hAnsiTheme="majorEastAsia"/>
          <w:sz w:val="32"/>
          <w:szCs w:val="32"/>
          <w:lang w:eastAsia="zh-CN"/>
        </w:rPr>
        <w:t>东史端镇南胡渠村道路改造工程</w:t>
      </w:r>
      <w:r>
        <w:rPr>
          <w:rFonts w:hint="eastAsia" w:ascii="Times New Roman" w:hAnsi="Times New Roman" w:eastAsia="仿宋_GB2312" w:cstheme="minorBidi"/>
          <w:b w:val="0"/>
          <w:kern w:val="2"/>
          <w:sz w:val="32"/>
          <w:szCs w:val="24"/>
          <w:lang w:val="en-US" w:eastAsia="zh-CN" w:bidi="ar-SA"/>
        </w:rPr>
        <w:t>绩效评价工作。经过现场访谈、基础数据复核、资料复核、问卷调研，评价组根据核查结果对项目进行评分，并撰写绩效评价报告，完成了绩效评价工作，现将绩效评价情况及评价结果报告如下</w:t>
      </w:r>
      <w:r>
        <w:rPr>
          <w:rFonts w:hint="eastAsia" w:ascii="Times New Roman" w:hAnsi="Times New Roman" w:eastAsia="仿宋_GB2312" w:cstheme="minorBidi"/>
          <w:b w:val="0"/>
          <w:bCs w:val="0"/>
          <w:kern w:val="2"/>
          <w:sz w:val="32"/>
          <w:szCs w:val="24"/>
          <w:lang w:val="en-US" w:eastAsia="zh-CN" w:bidi="ar-SA"/>
        </w:rPr>
        <w:t>：</w:t>
      </w:r>
    </w:p>
    <w:p>
      <w:pPr>
        <w:pStyle w:val="4"/>
        <w:bidi w:val="0"/>
        <w:rPr>
          <w:rFonts w:hint="eastAsia"/>
          <w:lang w:val="en-US" w:eastAsia="zh-CN"/>
        </w:rPr>
      </w:pPr>
      <w:bookmarkStart w:id="1" w:name="_Toc18840"/>
      <w:r>
        <w:rPr>
          <w:rFonts w:hint="eastAsia"/>
          <w:lang w:val="en-US" w:eastAsia="zh-CN"/>
        </w:rPr>
        <w:t>一、基本情况</w:t>
      </w:r>
      <w:bookmarkEnd w:id="1"/>
    </w:p>
    <w:p>
      <w:pPr>
        <w:pStyle w:val="5"/>
        <w:bidi w:val="0"/>
        <w:rPr>
          <w:rFonts w:hint="default"/>
          <w:lang w:val="en-US" w:eastAsia="zh-CN"/>
        </w:rPr>
      </w:pPr>
      <w:bookmarkStart w:id="2" w:name="_Toc31988"/>
      <w:r>
        <w:rPr>
          <w:rFonts w:hint="eastAsia"/>
          <w:lang w:val="en-US" w:eastAsia="zh-CN"/>
        </w:rPr>
        <w:t>（一）项目概况</w:t>
      </w:r>
      <w:bookmarkEnd w:id="2"/>
    </w:p>
    <w:p>
      <w:pPr>
        <w:pStyle w:val="6"/>
        <w:bidi w:val="0"/>
        <w:rPr>
          <w:rFonts w:hint="default"/>
          <w:lang w:val="en-US" w:eastAsia="zh-CN"/>
        </w:rPr>
      </w:pPr>
      <w:r>
        <w:rPr>
          <w:rFonts w:hint="eastAsia"/>
          <w:lang w:val="en-US" w:eastAsia="zh-CN"/>
        </w:rPr>
        <w:t>1.项目背景</w:t>
      </w:r>
    </w:p>
    <w:p>
      <w:pPr>
        <w:ind w:firstLine="640"/>
        <w:rPr>
          <w:rFonts w:hint="eastAsia"/>
          <w:lang w:val="en-US" w:eastAsia="zh-CN"/>
        </w:rPr>
      </w:pPr>
      <w:r>
        <w:t>为促进革命老区各项社会事业发展，支持革命老区改善和保障民生，中央财政设立用于加强革命老区专门事务工作和改善革命老区民生的一般性转移支付资金。</w:t>
      </w:r>
      <w:r>
        <w:rPr>
          <w:rFonts w:hint="eastAsia"/>
          <w:lang w:val="en-US" w:eastAsia="zh-CN"/>
        </w:rPr>
        <w:t>河北省</w:t>
      </w:r>
      <w:r>
        <w:t>革命老区转移支付资金分配对象为对中国革命作出重大贡献</w:t>
      </w:r>
      <w:r>
        <w:rPr>
          <w:rFonts w:hint="eastAsia"/>
          <w:lang w:eastAsia="zh-CN"/>
        </w:rPr>
        <w:t>，</w:t>
      </w:r>
      <w:r>
        <w:rPr>
          <w:rFonts w:hint="eastAsia"/>
          <w:lang w:val="en-US" w:eastAsia="zh-CN"/>
        </w:rPr>
        <w:t>经河北省人民政府认定的革命老区县（市、区）</w:t>
      </w:r>
      <w:r>
        <w:rPr>
          <w:rFonts w:hint="eastAsia"/>
          <w:lang w:eastAsia="zh-CN"/>
        </w:rPr>
        <w:t>。</w:t>
      </w:r>
      <w:r>
        <w:rPr>
          <w:rFonts w:hint="eastAsia"/>
          <w:lang w:val="en-US" w:eastAsia="zh-CN"/>
        </w:rPr>
        <w:t>革命老区转移支付资金实行分级管理。</w:t>
      </w:r>
    </w:p>
    <w:p>
      <w:pPr>
        <w:ind w:firstLine="640"/>
        <w:rPr>
          <w:rFonts w:hint="eastAsia"/>
          <w:lang w:eastAsia="zh-CN"/>
        </w:rPr>
      </w:pPr>
      <w:r>
        <w:rPr>
          <w:rFonts w:hint="eastAsia"/>
        </w:rPr>
        <w:t>革命老区转移支付资金主要用于以下方面</w:t>
      </w:r>
      <w:r>
        <w:rPr>
          <w:rFonts w:hint="eastAsia"/>
          <w:lang w:eastAsia="zh-CN"/>
        </w:rPr>
        <w:t>：</w:t>
      </w:r>
    </w:p>
    <w:p>
      <w:pPr>
        <w:ind w:firstLine="640"/>
        <w:rPr>
          <w:rFonts w:hint="eastAsia"/>
        </w:rPr>
      </w:pPr>
      <w:r>
        <w:rPr>
          <w:rFonts w:hint="eastAsia"/>
        </w:rPr>
        <w:t>革命老区专门事务。包括革命遗址保护、革命纪念场馆的建设和改造、烈士陵园的维护和改造、老红军及军烈属活动场所的建设和维护等。</w:t>
      </w:r>
    </w:p>
    <w:p>
      <w:pPr>
        <w:rPr>
          <w:rFonts w:hint="eastAsia"/>
        </w:rPr>
      </w:pPr>
      <w:r>
        <w:rPr>
          <w:rFonts w:hint="eastAsia"/>
        </w:rPr>
        <w:t>　　革命老区民生事务。主要包括乡村道路、饮水安全等设施的建设维护，以及教育、文化、卫生等社会公益事业的改善。</w:t>
      </w:r>
    </w:p>
    <w:p>
      <w:pPr>
        <w:rPr>
          <w:rFonts w:hint="default" w:eastAsia="仿宋_GB2312"/>
          <w:lang w:val="en-US" w:eastAsia="zh-CN"/>
        </w:rPr>
      </w:pPr>
      <w:r>
        <w:rPr>
          <w:rFonts w:hint="eastAsia"/>
          <w:lang w:val="en-US" w:eastAsia="zh-CN"/>
        </w:rPr>
        <w:t xml:space="preserve">    保定市徐水区东史端镇人民政府根据文件精神，</w:t>
      </w:r>
      <w:r>
        <w:rPr>
          <w:rFonts w:hint="eastAsia" w:ascii="仿宋_GB2312" w:eastAsia="仿宋_GB2312" w:hAnsiTheme="majorEastAsia"/>
          <w:sz w:val="32"/>
          <w:szCs w:val="32"/>
        </w:rPr>
        <w:t>申报了</w:t>
      </w:r>
      <w:r>
        <w:rPr>
          <w:rFonts w:hint="eastAsia" w:ascii="仿宋_GB2312" w:hAnsiTheme="majorEastAsia"/>
          <w:sz w:val="32"/>
          <w:szCs w:val="32"/>
          <w:lang w:eastAsia="zh-CN"/>
        </w:rPr>
        <w:t>保定市徐水区东史端镇南胡渠村道路改造工程，</w:t>
      </w:r>
      <w:r>
        <w:rPr>
          <w:rFonts w:hint="eastAsia" w:ascii="仿宋_GB2312" w:hAnsiTheme="majorEastAsia"/>
          <w:sz w:val="32"/>
          <w:szCs w:val="32"/>
          <w:lang w:val="en-US" w:eastAsia="zh-CN"/>
        </w:rPr>
        <w:t>经过财政部门审核入库，批复该项目预算，列入</w:t>
      </w:r>
      <w:r>
        <w:rPr>
          <w:rFonts w:hint="default" w:ascii="Times New Roman" w:hAnsi="Times New Roman" w:cs="Times New Roman"/>
          <w:sz w:val="32"/>
          <w:szCs w:val="32"/>
          <w:lang w:val="en-US" w:eastAsia="zh-CN"/>
        </w:rPr>
        <w:t>2022</w:t>
      </w:r>
      <w:r>
        <w:rPr>
          <w:rFonts w:hint="eastAsia" w:ascii="仿宋_GB2312" w:hAnsiTheme="majorEastAsia"/>
          <w:sz w:val="32"/>
          <w:szCs w:val="32"/>
          <w:lang w:val="en-US" w:eastAsia="zh-CN"/>
        </w:rPr>
        <w:t>年度预算。</w:t>
      </w:r>
    </w:p>
    <w:p>
      <w:pPr>
        <w:pStyle w:val="6"/>
        <w:numPr>
          <w:ilvl w:val="0"/>
          <w:numId w:val="0"/>
        </w:numPr>
        <w:bidi w:val="0"/>
        <w:ind w:firstLine="640" w:firstLineChars="200"/>
        <w:rPr>
          <w:rFonts w:hint="default"/>
          <w:lang w:val="en-US" w:eastAsia="zh-CN"/>
        </w:rPr>
      </w:pPr>
      <w:r>
        <w:rPr>
          <w:rFonts w:hint="default" w:ascii="Times New Roman" w:hAnsi="Times New Roman" w:eastAsia="仿宋_GB2312" w:cstheme="minorBidi"/>
          <w:kern w:val="2"/>
          <w:sz w:val="32"/>
          <w:szCs w:val="24"/>
          <w:lang w:val="en-US" w:eastAsia="zh-CN" w:bidi="ar-SA"/>
        </w:rPr>
        <w:t>2.</w:t>
      </w:r>
      <w:r>
        <w:rPr>
          <w:rFonts w:hint="eastAsia"/>
          <w:lang w:val="en-US" w:eastAsia="zh-CN"/>
        </w:rPr>
        <w:t>主要内容及实施情况</w:t>
      </w:r>
    </w:p>
    <w:p>
      <w:pPr>
        <w:pStyle w:val="7"/>
        <w:bidi w:val="0"/>
        <w:rPr>
          <w:rFonts w:hint="default"/>
          <w:lang w:val="en-US" w:eastAsia="zh-CN"/>
        </w:rPr>
      </w:pPr>
      <w:r>
        <w:rPr>
          <w:rFonts w:hint="eastAsia"/>
          <w:lang w:val="en-US" w:eastAsia="zh-CN"/>
        </w:rPr>
        <w:t>（1）主要内容</w:t>
      </w:r>
    </w:p>
    <w:p>
      <w:pPr>
        <w:ind w:firstLine="640" w:firstLineChars="200"/>
        <w:rPr>
          <w:rFonts w:hint="default" w:eastAsia="仿宋_GB2312"/>
          <w:lang w:val="en-US" w:eastAsia="zh-CN"/>
        </w:rPr>
      </w:pPr>
      <w:r>
        <w:rPr>
          <w:rFonts w:hint="eastAsia" w:ascii="仿宋_GB2312" w:hAnsiTheme="majorEastAsia"/>
          <w:sz w:val="32"/>
          <w:szCs w:val="32"/>
          <w:lang w:eastAsia="zh-CN"/>
        </w:rPr>
        <w:t>保定市徐水区东史端镇南胡渠村道路改造工程</w:t>
      </w:r>
      <w:r>
        <w:rPr>
          <w:rFonts w:hint="eastAsia" w:ascii="仿宋_GB2312" w:hAnsiTheme="majorEastAsia"/>
          <w:sz w:val="32"/>
          <w:szCs w:val="32"/>
          <w:lang w:val="en-US" w:eastAsia="zh-CN"/>
        </w:rPr>
        <w:t>内容包括</w:t>
      </w:r>
      <w:r>
        <w:rPr>
          <w:rFonts w:hint="default" w:ascii="Times New Roman" w:hAnsi="Times New Roman" w:cs="Times New Roman"/>
          <w:sz w:val="32"/>
          <w:szCs w:val="32"/>
          <w:lang w:val="en-US" w:eastAsia="zh-CN"/>
        </w:rPr>
        <w:t>新建</w:t>
      </w:r>
      <w:r>
        <w:rPr>
          <w:rFonts w:hint="eastAsia" w:cs="Times New Roman"/>
          <w:sz w:val="32"/>
          <w:szCs w:val="32"/>
          <w:lang w:val="en-US" w:eastAsia="zh-CN"/>
        </w:rPr>
        <w:t>15cm厚</w:t>
      </w:r>
      <w:r>
        <w:rPr>
          <w:rFonts w:hint="default" w:ascii="Times New Roman" w:hAnsi="Times New Roman" w:cs="Times New Roman"/>
          <w:sz w:val="32"/>
          <w:szCs w:val="32"/>
          <w:lang w:val="en-US" w:eastAsia="zh-CN"/>
        </w:rPr>
        <w:t>混凝土路面</w:t>
      </w:r>
      <w:r>
        <w:rPr>
          <w:rFonts w:hint="eastAsia" w:cs="Times New Roman"/>
          <w:sz w:val="32"/>
          <w:szCs w:val="32"/>
          <w:lang w:val="en-US" w:eastAsia="zh-CN"/>
        </w:rPr>
        <w:t>7205m</w:t>
      </w:r>
      <w:r>
        <w:rPr>
          <w:rFonts w:hint="eastAsia" w:cs="Times New Roman"/>
          <w:sz w:val="32"/>
          <w:szCs w:val="32"/>
          <w:vertAlign w:val="superscript"/>
          <w:lang w:val="en-US" w:eastAsia="zh-CN"/>
        </w:rPr>
        <w:t>2</w:t>
      </w:r>
      <w:r>
        <w:rPr>
          <w:rFonts w:hint="default" w:ascii="Times New Roman" w:hAnsi="Times New Roman" w:cs="Times New Roman"/>
          <w:sz w:val="32"/>
          <w:szCs w:val="32"/>
          <w:lang w:val="en-US" w:eastAsia="zh-CN"/>
        </w:rPr>
        <w:t>、</w:t>
      </w:r>
      <w:r>
        <w:rPr>
          <w:rFonts w:hint="eastAsia" w:cs="Times New Roman"/>
          <w:sz w:val="32"/>
          <w:szCs w:val="32"/>
          <w:lang w:val="en-US" w:eastAsia="zh-CN"/>
        </w:rPr>
        <w:t>新建10cm厚</w:t>
      </w:r>
      <w:r>
        <w:rPr>
          <w:rFonts w:hint="default" w:ascii="Times New Roman" w:hAnsi="Times New Roman" w:cs="Times New Roman"/>
          <w:sz w:val="32"/>
          <w:szCs w:val="32"/>
          <w:lang w:val="en-US" w:eastAsia="zh-CN"/>
        </w:rPr>
        <w:t>混凝土路肩</w:t>
      </w:r>
      <w:r>
        <w:rPr>
          <w:rFonts w:hint="eastAsia" w:cs="Times New Roman"/>
          <w:sz w:val="32"/>
          <w:szCs w:val="32"/>
          <w:lang w:val="en-US" w:eastAsia="zh-CN"/>
        </w:rPr>
        <w:t>9155m</w:t>
      </w:r>
      <w:r>
        <w:rPr>
          <w:rFonts w:hint="eastAsia" w:cs="Times New Roman"/>
          <w:sz w:val="32"/>
          <w:szCs w:val="32"/>
          <w:vertAlign w:val="superscript"/>
          <w:lang w:val="en-US" w:eastAsia="zh-CN"/>
        </w:rPr>
        <w:t>2</w:t>
      </w:r>
      <w:r>
        <w:rPr>
          <w:rFonts w:hint="default" w:ascii="Times New Roman" w:hAnsi="Times New Roman" w:cs="Times New Roman"/>
          <w:sz w:val="32"/>
          <w:szCs w:val="32"/>
          <w:lang w:val="en-US" w:eastAsia="zh-CN"/>
        </w:rPr>
        <w:t>。</w:t>
      </w:r>
    </w:p>
    <w:p>
      <w:pPr>
        <w:pStyle w:val="7"/>
        <w:bidi w:val="0"/>
        <w:rPr>
          <w:rFonts w:hint="eastAsia"/>
          <w:lang w:val="en-US" w:eastAsia="zh-CN"/>
        </w:rPr>
      </w:pPr>
      <w:r>
        <w:rPr>
          <w:rFonts w:hint="eastAsia"/>
          <w:lang w:val="en-US" w:eastAsia="zh-CN"/>
        </w:rPr>
        <w:t>（2）实施情况</w:t>
      </w:r>
    </w:p>
    <w:p>
      <w:pPr>
        <w:rPr>
          <w:rFonts w:hint="default" w:eastAsia="仿宋_GB2312"/>
          <w:lang w:val="en-US" w:eastAsia="zh-CN"/>
        </w:rPr>
      </w:pPr>
      <w:r>
        <w:rPr>
          <w:rFonts w:hint="eastAsia"/>
          <w:lang w:val="en-US" w:eastAsia="zh-CN"/>
        </w:rPr>
        <w:t xml:space="preserve">    东史端镇人民政府按照项目实施程序，于2022年4月1日</w:t>
      </w:r>
      <w:r>
        <w:rPr>
          <w:rFonts w:hint="eastAsia"/>
        </w:rPr>
        <w:t>经发改部门立项批复（徐水发改〔2022〕</w:t>
      </w:r>
      <w:r>
        <w:rPr>
          <w:rFonts w:hint="eastAsia"/>
          <w:lang w:val="en-US" w:eastAsia="zh-CN"/>
        </w:rPr>
        <w:t>4</w:t>
      </w:r>
      <w:r>
        <w:rPr>
          <w:rFonts w:hint="eastAsia"/>
        </w:rPr>
        <w:t>6号）</w:t>
      </w:r>
      <w:r>
        <w:rPr>
          <w:rFonts w:hint="eastAsia"/>
          <w:lang w:eastAsia="zh-CN"/>
        </w:rPr>
        <w:t>，</w:t>
      </w:r>
      <w:r>
        <w:rPr>
          <w:rFonts w:hint="eastAsia"/>
        </w:rPr>
        <w:t>通过政府采购程序，确定河北</w:t>
      </w:r>
      <w:r>
        <w:rPr>
          <w:rFonts w:hint="eastAsia"/>
          <w:lang w:val="en-US" w:eastAsia="zh-CN"/>
        </w:rPr>
        <w:t>尚鼎</w:t>
      </w:r>
      <w:r>
        <w:rPr>
          <w:rFonts w:hint="eastAsia"/>
        </w:rPr>
        <w:t>建筑工程有限公司</w:t>
      </w:r>
      <w:r>
        <w:rPr>
          <w:rFonts w:hint="eastAsia"/>
          <w:lang w:val="en-US" w:eastAsia="zh-CN"/>
        </w:rPr>
        <w:t>为</w:t>
      </w:r>
      <w:r>
        <w:rPr>
          <w:rFonts w:hint="eastAsia"/>
        </w:rPr>
        <w:t>中标</w:t>
      </w:r>
      <w:r>
        <w:rPr>
          <w:rFonts w:hint="eastAsia"/>
          <w:lang w:val="en-US" w:eastAsia="zh-CN"/>
        </w:rPr>
        <w:t>施工单位</w:t>
      </w:r>
      <w:r>
        <w:rPr>
          <w:rFonts w:hint="eastAsia"/>
        </w:rPr>
        <w:t>，2022年</w:t>
      </w:r>
      <w:r>
        <w:rPr>
          <w:rFonts w:hint="eastAsia"/>
          <w:lang w:val="en-US" w:eastAsia="zh-CN"/>
        </w:rPr>
        <w:t>6</w:t>
      </w:r>
      <w:r>
        <w:rPr>
          <w:rFonts w:hint="eastAsia"/>
        </w:rPr>
        <w:t>月2</w:t>
      </w:r>
      <w:r>
        <w:rPr>
          <w:rFonts w:hint="eastAsia"/>
          <w:lang w:val="en-US" w:eastAsia="zh-CN"/>
        </w:rPr>
        <w:t>1</w:t>
      </w:r>
      <w:r>
        <w:rPr>
          <w:rFonts w:hint="eastAsia"/>
        </w:rPr>
        <w:t>日签订施工合同。该项目2022年</w:t>
      </w:r>
      <w:r>
        <w:rPr>
          <w:rFonts w:hint="eastAsia"/>
          <w:lang w:val="en-US" w:eastAsia="zh-CN"/>
        </w:rPr>
        <w:t>6</w:t>
      </w:r>
      <w:r>
        <w:rPr>
          <w:rFonts w:hint="eastAsia"/>
        </w:rPr>
        <w:t>月</w:t>
      </w:r>
      <w:r>
        <w:rPr>
          <w:rFonts w:hint="eastAsia"/>
          <w:lang w:val="en-US" w:eastAsia="zh-CN"/>
        </w:rPr>
        <w:t>24</w:t>
      </w:r>
      <w:r>
        <w:rPr>
          <w:rFonts w:hint="eastAsia"/>
        </w:rPr>
        <w:t>日开工，2022年</w:t>
      </w:r>
      <w:r>
        <w:rPr>
          <w:rFonts w:hint="eastAsia"/>
          <w:lang w:val="en-US" w:eastAsia="zh-CN"/>
        </w:rPr>
        <w:t>9</w:t>
      </w:r>
      <w:r>
        <w:rPr>
          <w:rFonts w:hint="eastAsia"/>
        </w:rPr>
        <w:t>月</w:t>
      </w:r>
      <w:r>
        <w:rPr>
          <w:rFonts w:hint="eastAsia"/>
          <w:lang w:val="en-US" w:eastAsia="zh-CN"/>
        </w:rPr>
        <w:t>21</w:t>
      </w:r>
      <w:r>
        <w:rPr>
          <w:rFonts w:hint="eastAsia"/>
        </w:rPr>
        <w:t>日竣工，2022年1</w:t>
      </w:r>
      <w:r>
        <w:rPr>
          <w:rFonts w:hint="eastAsia"/>
          <w:lang w:val="en-US" w:eastAsia="zh-CN"/>
        </w:rPr>
        <w:t>0</w:t>
      </w:r>
      <w:r>
        <w:rPr>
          <w:rFonts w:hint="eastAsia"/>
        </w:rPr>
        <w:t>月</w:t>
      </w:r>
      <w:r>
        <w:rPr>
          <w:rFonts w:hint="eastAsia"/>
          <w:lang w:val="en-US" w:eastAsia="zh-CN"/>
        </w:rPr>
        <w:t>10</w:t>
      </w:r>
      <w:r>
        <w:rPr>
          <w:rFonts w:hint="eastAsia"/>
        </w:rPr>
        <w:t>日由</w:t>
      </w:r>
      <w:r>
        <w:rPr>
          <w:rFonts w:hint="eastAsia"/>
          <w:lang w:eastAsia="zh-CN"/>
        </w:rPr>
        <w:t>东史端镇</w:t>
      </w:r>
      <w:r>
        <w:rPr>
          <w:rFonts w:hint="eastAsia"/>
        </w:rPr>
        <w:t>人民政府、</w:t>
      </w:r>
      <w:r>
        <w:rPr>
          <w:rFonts w:hint="eastAsia"/>
          <w:lang w:val="en-US" w:eastAsia="zh-CN"/>
        </w:rPr>
        <w:t>河北亿硕</w:t>
      </w:r>
      <w:r>
        <w:rPr>
          <w:rFonts w:hint="eastAsia"/>
        </w:rPr>
        <w:t>工程项目管理有限公司（监理公司）、河北</w:t>
      </w:r>
      <w:r>
        <w:rPr>
          <w:rFonts w:hint="eastAsia"/>
          <w:lang w:val="en-US" w:eastAsia="zh-CN"/>
        </w:rPr>
        <w:t>尚鼎</w:t>
      </w:r>
      <w:r>
        <w:rPr>
          <w:rFonts w:hint="eastAsia"/>
        </w:rPr>
        <w:t>建筑工程有限公司三方对项目进行了竣工验收</w:t>
      </w:r>
      <w:r>
        <w:rPr>
          <w:rFonts w:hint="eastAsia"/>
          <w:lang w:eastAsia="zh-CN"/>
        </w:rPr>
        <w:t>，</w:t>
      </w:r>
      <w:r>
        <w:rPr>
          <w:rFonts w:hint="eastAsia"/>
          <w:lang w:val="en-US" w:eastAsia="zh-CN"/>
        </w:rPr>
        <w:t>验收结果合格</w:t>
      </w:r>
      <w:r>
        <w:rPr>
          <w:rFonts w:hint="eastAsia"/>
        </w:rPr>
        <w:t>。项目全程</w:t>
      </w:r>
      <w:r>
        <w:rPr>
          <w:rFonts w:hint="eastAsia"/>
          <w:lang w:val="en-US" w:eastAsia="zh-CN"/>
        </w:rPr>
        <w:t>河北亿硕</w:t>
      </w:r>
      <w:r>
        <w:rPr>
          <w:rFonts w:hint="eastAsia"/>
        </w:rPr>
        <w:t>工程项目管理有限公司监理，并出具了工程质量评估报告</w:t>
      </w:r>
      <w:r>
        <w:rPr>
          <w:rFonts w:hint="eastAsia"/>
          <w:lang w:eastAsia="zh-CN"/>
        </w:rPr>
        <w:t>，</w:t>
      </w:r>
      <w:r>
        <w:rPr>
          <w:rFonts w:hint="eastAsia"/>
          <w:lang w:val="en-US" w:eastAsia="zh-CN"/>
        </w:rPr>
        <w:t>工程质量合格</w:t>
      </w:r>
      <w:r>
        <w:rPr>
          <w:rFonts w:hint="eastAsia"/>
        </w:rPr>
        <w:t>。</w:t>
      </w:r>
      <w:r>
        <w:rPr>
          <w:rFonts w:hint="eastAsia"/>
          <w:lang w:val="en-US" w:eastAsia="zh-CN"/>
        </w:rPr>
        <w:t>徐水</w:t>
      </w:r>
      <w:r>
        <w:rPr>
          <w:rFonts w:hint="eastAsia"/>
        </w:rPr>
        <w:t>区财政局聘请</w:t>
      </w:r>
      <w:r>
        <w:rPr>
          <w:rFonts w:hint="eastAsia"/>
          <w:lang w:val="en-US" w:eastAsia="zh-CN"/>
        </w:rPr>
        <w:t>第三方公司</w:t>
      </w:r>
      <w:r>
        <w:rPr>
          <w:rFonts w:hint="eastAsia"/>
        </w:rPr>
        <w:t>对该项目结算书进行了工程结算评审，出具了工程结算评审报告。</w:t>
      </w:r>
      <w:r>
        <w:rPr>
          <w:rFonts w:hint="eastAsia"/>
          <w:lang w:val="en-US" w:eastAsia="zh-CN"/>
        </w:rPr>
        <w:t>该项目于2022年12月19日结算完成。</w:t>
      </w:r>
    </w:p>
    <w:p>
      <w:pPr>
        <w:pStyle w:val="6"/>
        <w:bidi w:val="0"/>
        <w:rPr>
          <w:rFonts w:hint="default"/>
          <w:lang w:val="en-US" w:eastAsia="zh-CN"/>
        </w:rPr>
      </w:pPr>
      <w:r>
        <w:rPr>
          <w:rFonts w:hint="eastAsia"/>
          <w:lang w:val="en-US" w:eastAsia="zh-CN"/>
        </w:rPr>
        <w:t>3.资金投入和使用情况</w:t>
      </w:r>
    </w:p>
    <w:p>
      <w:pPr>
        <w:pStyle w:val="7"/>
        <w:bidi w:val="0"/>
        <w:rPr>
          <w:rFonts w:hint="default"/>
          <w:lang w:val="en-US" w:eastAsia="zh-CN"/>
        </w:rPr>
      </w:pPr>
      <w:r>
        <w:rPr>
          <w:rFonts w:hint="eastAsia"/>
          <w:lang w:val="en-US" w:eastAsia="zh-CN"/>
        </w:rPr>
        <w:t>（1）资金投入</w:t>
      </w:r>
    </w:p>
    <w:p>
      <w:pPr>
        <w:numPr>
          <w:ilvl w:val="0"/>
          <w:numId w:val="0"/>
        </w:numPr>
        <w:ind w:leftChars="0" w:firstLine="640" w:firstLineChars="200"/>
        <w:rPr>
          <w:rFonts w:hint="default" w:eastAsia="仿宋_GB2312"/>
          <w:lang w:val="en-US" w:eastAsia="zh-CN"/>
        </w:rPr>
      </w:pPr>
      <w:r>
        <w:rPr>
          <w:rFonts w:hint="eastAsia" w:ascii="仿宋_GB2312" w:hAnsiTheme="majorEastAsia"/>
          <w:sz w:val="32"/>
          <w:szCs w:val="32"/>
          <w:lang w:eastAsia="zh-CN"/>
        </w:rPr>
        <w:t>东史端镇南胡渠村道路改造工程</w:t>
      </w:r>
      <w:r>
        <w:rPr>
          <w:rFonts w:hint="eastAsia" w:ascii="仿宋_GB2312" w:hAnsiTheme="majorEastAsia"/>
          <w:sz w:val="32"/>
          <w:szCs w:val="32"/>
          <w:lang w:val="en-US" w:eastAsia="zh-CN"/>
        </w:rPr>
        <w:t>资金来</w:t>
      </w:r>
      <w:r>
        <w:rPr>
          <w:rFonts w:hint="default" w:ascii="Times New Roman" w:hAnsi="Times New Roman" w:cs="Times New Roman"/>
          <w:sz w:val="32"/>
          <w:szCs w:val="32"/>
          <w:lang w:val="en-US" w:eastAsia="zh-CN"/>
        </w:rPr>
        <w:t>源为2022年</w:t>
      </w:r>
      <w:r>
        <w:rPr>
          <w:rFonts w:hint="eastAsia"/>
          <w:lang w:val="en-US" w:eastAsia="zh-CN"/>
        </w:rPr>
        <w:t>革命老区转移支付资金。</w:t>
      </w:r>
    </w:p>
    <w:p>
      <w:pPr>
        <w:ind w:firstLine="640" w:firstLineChars="200"/>
        <w:rPr>
          <w:rFonts w:hint="default"/>
          <w:lang w:val="en-US" w:eastAsia="zh-CN"/>
        </w:rPr>
      </w:pPr>
      <w:r>
        <w:rPr>
          <w:rFonts w:hint="eastAsia"/>
          <w:lang w:val="en-US" w:eastAsia="zh-CN"/>
        </w:rPr>
        <w:t>革命老区转移支付资金投入情况：根据《保定市徐水区财政局关于下达2022年革命老区转移支付项目资金的通知》（徐政财字</w:t>
      </w:r>
      <w:r>
        <w:rPr>
          <w:rFonts w:hint="eastAsia"/>
        </w:rPr>
        <w:t>〔2022〕</w:t>
      </w:r>
      <w:r>
        <w:rPr>
          <w:rFonts w:hint="eastAsia"/>
          <w:lang w:val="en-US" w:eastAsia="zh-CN"/>
        </w:rPr>
        <w:t>8</w:t>
      </w:r>
      <w:r>
        <w:rPr>
          <w:rFonts w:hint="eastAsia"/>
        </w:rPr>
        <w:t>号</w:t>
      </w:r>
      <w:r>
        <w:rPr>
          <w:rFonts w:hint="eastAsia"/>
          <w:lang w:val="en-US" w:eastAsia="zh-CN"/>
        </w:rPr>
        <w:t>）</w:t>
      </w:r>
      <w:r>
        <w:rPr>
          <w:rFonts w:hint="eastAsia"/>
          <w:lang w:eastAsia="zh-CN"/>
        </w:rPr>
        <w:t>、</w:t>
      </w:r>
      <w:r>
        <w:rPr>
          <w:rFonts w:hint="eastAsia"/>
          <w:lang w:val="en-US" w:eastAsia="zh-CN"/>
        </w:rPr>
        <w:t>《保定市徐水区财政局部门预算调整通知书》（徐财预指</w:t>
      </w:r>
      <w:r>
        <w:rPr>
          <w:rFonts w:hint="eastAsia"/>
        </w:rPr>
        <w:t>〔2022〕</w:t>
      </w:r>
      <w:r>
        <w:rPr>
          <w:rFonts w:hint="eastAsia"/>
          <w:lang w:val="en-US" w:eastAsia="zh-CN"/>
        </w:rPr>
        <w:t>2-1259</w:t>
      </w:r>
      <w:r>
        <w:rPr>
          <w:rFonts w:hint="eastAsia"/>
        </w:rPr>
        <w:t>号</w:t>
      </w:r>
      <w:r>
        <w:rPr>
          <w:rFonts w:hint="eastAsia"/>
          <w:lang w:val="en-US" w:eastAsia="zh-CN"/>
        </w:rPr>
        <w:t>）下达预算资金1943851.77元。</w:t>
      </w:r>
    </w:p>
    <w:p>
      <w:pPr>
        <w:numPr>
          <w:ilvl w:val="0"/>
          <w:numId w:val="0"/>
        </w:numPr>
        <w:ind w:leftChars="0"/>
        <w:jc w:val="center"/>
        <w:rPr>
          <w:rFonts w:hint="default"/>
          <w:b/>
          <w:bCs/>
          <w:lang w:val="en-US" w:eastAsia="zh-CN"/>
        </w:rPr>
      </w:pPr>
      <w:r>
        <w:rPr>
          <w:rFonts w:hint="eastAsia"/>
          <w:b/>
          <w:bCs/>
          <w:lang w:val="en-US" w:eastAsia="zh-CN"/>
        </w:rPr>
        <w:t>表1 资金投入明细表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461"/>
        <w:gridCol w:w="2308"/>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序号</w:t>
            </w:r>
          </w:p>
        </w:tc>
        <w:tc>
          <w:tcPr>
            <w:tcW w:w="2030"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资金来源</w:t>
            </w:r>
          </w:p>
        </w:tc>
        <w:tc>
          <w:tcPr>
            <w:tcW w:w="1354"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到位时间</w:t>
            </w:r>
          </w:p>
        </w:tc>
        <w:tc>
          <w:tcPr>
            <w:tcW w:w="1151"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到位金额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64" w:type="pct"/>
            <w:vAlign w:val="center"/>
          </w:tcPr>
          <w:p>
            <w:pPr>
              <w:numPr>
                <w:ilvl w:val="0"/>
                <w:numId w:val="0"/>
              </w:numPr>
              <w:jc w:val="center"/>
              <w:rPr>
                <w:rFonts w:hint="default" w:ascii="Times New Roman" w:hAnsi="Times New Roman" w:cs="Times New Roman"/>
                <w:sz w:val="24"/>
                <w:szCs w:val="24"/>
                <w:vertAlign w:val="baseline"/>
                <w:lang w:val="en-US" w:eastAsia="zh-CN"/>
              </w:rPr>
            </w:pPr>
            <w:r>
              <w:rPr>
                <w:rFonts w:hint="eastAsia" w:cs="Times New Roman"/>
                <w:sz w:val="24"/>
                <w:szCs w:val="24"/>
                <w:vertAlign w:val="baseline"/>
                <w:lang w:val="en-US" w:eastAsia="zh-CN"/>
              </w:rPr>
              <w:t>1</w:t>
            </w:r>
          </w:p>
        </w:tc>
        <w:tc>
          <w:tcPr>
            <w:tcW w:w="2030"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2022年革命老区转移支付</w:t>
            </w:r>
          </w:p>
        </w:tc>
        <w:tc>
          <w:tcPr>
            <w:tcW w:w="1354" w:type="pct"/>
            <w:vAlign w:val="center"/>
          </w:tcPr>
          <w:p>
            <w:pPr>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2022年1月</w:t>
            </w:r>
            <w:r>
              <w:rPr>
                <w:rFonts w:hint="eastAsia" w:cs="Times New Roman"/>
                <w:sz w:val="24"/>
                <w:szCs w:val="24"/>
                <w:vertAlign w:val="baseline"/>
                <w:lang w:val="en-US" w:eastAsia="zh-CN"/>
              </w:rPr>
              <w:t>5</w:t>
            </w:r>
            <w:r>
              <w:rPr>
                <w:rFonts w:hint="default" w:ascii="Times New Roman" w:hAnsi="Times New Roman" w:cs="Times New Roman"/>
                <w:sz w:val="24"/>
                <w:szCs w:val="24"/>
                <w:vertAlign w:val="baseline"/>
                <w:lang w:val="en-US" w:eastAsia="zh-CN"/>
              </w:rPr>
              <w:t>日</w:t>
            </w:r>
          </w:p>
        </w:tc>
        <w:tc>
          <w:tcPr>
            <w:tcW w:w="1151"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1943851.77</w:t>
            </w:r>
            <w:r>
              <w:rPr>
                <w:rFonts w:hint="default" w:ascii="Times New Roman" w:hAnsi="Times New Roman" w:cs="Times New Roman"/>
                <w:sz w:val="24"/>
                <w:szCs w:val="24"/>
                <w:vertAlign w:val="baseline"/>
                <w:lang w:val="en-US" w:eastAsia="zh-CN"/>
              </w:rPr>
              <w:t>元</w:t>
            </w:r>
          </w:p>
        </w:tc>
      </w:tr>
    </w:tbl>
    <w:p>
      <w:pPr>
        <w:pStyle w:val="7"/>
        <w:bidi w:val="0"/>
        <w:rPr>
          <w:rFonts w:hint="default"/>
          <w:lang w:val="en-US" w:eastAsia="zh-CN"/>
        </w:rPr>
      </w:pPr>
      <w:r>
        <w:rPr>
          <w:rFonts w:hint="eastAsia"/>
          <w:lang w:val="en-US" w:eastAsia="zh-CN"/>
        </w:rPr>
        <w:t>（2）使用情况</w:t>
      </w:r>
    </w:p>
    <w:p>
      <w:pPr>
        <w:numPr>
          <w:ilvl w:val="0"/>
          <w:numId w:val="0"/>
        </w:numPr>
        <w:ind w:leftChars="0" w:firstLine="640" w:firstLineChars="200"/>
        <w:rPr>
          <w:rFonts w:hint="eastAsia"/>
          <w:lang w:val="en-US" w:eastAsia="zh-CN"/>
        </w:rPr>
      </w:pPr>
      <w:r>
        <w:rPr>
          <w:rFonts w:hint="eastAsia"/>
          <w:lang w:eastAsia="zh-CN"/>
        </w:rPr>
        <w:t>东史端镇南胡渠村道路改造工程</w:t>
      </w:r>
      <w:r>
        <w:rPr>
          <w:rFonts w:hint="eastAsia"/>
          <w:lang w:val="en-US" w:eastAsia="zh-CN"/>
        </w:rPr>
        <w:t>结算金额1943851.77元，使用2022年革命老区转移支付资金1943851.77元。</w:t>
      </w:r>
    </w:p>
    <w:p>
      <w:pPr>
        <w:jc w:val="center"/>
        <w:rPr>
          <w:rFonts w:hint="default"/>
          <w:b/>
          <w:bCs/>
          <w:lang w:val="en-US" w:eastAsia="zh-CN"/>
        </w:rPr>
      </w:pPr>
      <w:r>
        <w:rPr>
          <w:rFonts w:hint="eastAsia"/>
          <w:b/>
          <w:bCs/>
          <w:lang w:val="en-US" w:eastAsia="zh-CN"/>
        </w:rPr>
        <w:t>表2 资金使用明细表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461"/>
        <w:gridCol w:w="250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序号</w:t>
            </w:r>
          </w:p>
        </w:tc>
        <w:tc>
          <w:tcPr>
            <w:tcW w:w="2030"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资金来源</w:t>
            </w:r>
          </w:p>
        </w:tc>
        <w:tc>
          <w:tcPr>
            <w:tcW w:w="1472"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支出时间</w:t>
            </w:r>
          </w:p>
        </w:tc>
        <w:tc>
          <w:tcPr>
            <w:tcW w:w="1033" w:type="pct"/>
            <w:shd w:val="clear" w:color="auto" w:fill="CFCECE" w:themeFill="background2" w:themeFillShade="E5"/>
            <w:vAlign w:val="center"/>
          </w:tcPr>
          <w:p>
            <w:pPr>
              <w:numPr>
                <w:ilvl w:val="0"/>
                <w:numId w:val="0"/>
              </w:numPr>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64"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2030" w:type="pct"/>
            <w:vMerge w:val="restar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lang w:val="en-US" w:eastAsia="zh-CN"/>
              </w:rPr>
              <w:t>2022年</w:t>
            </w:r>
            <w:r>
              <w:rPr>
                <w:rFonts w:hint="default" w:ascii="Times New Roman" w:hAnsi="Times New Roman" w:eastAsia="仿宋_GB2312" w:cs="Times New Roman"/>
                <w:sz w:val="24"/>
                <w:szCs w:val="24"/>
                <w:lang w:val="en-US" w:eastAsia="zh-CN"/>
              </w:rPr>
              <w:t>革命老区转移支付资金</w:t>
            </w:r>
          </w:p>
        </w:tc>
        <w:tc>
          <w:tcPr>
            <w:tcW w:w="1472"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2022年</w:t>
            </w:r>
            <w:r>
              <w:rPr>
                <w:rFonts w:hint="eastAsia" w:cs="Times New Roman"/>
                <w:sz w:val="24"/>
                <w:szCs w:val="24"/>
                <w:vertAlign w:val="baseline"/>
                <w:lang w:val="en-US" w:eastAsia="zh-CN"/>
              </w:rPr>
              <w:t>6</w:t>
            </w:r>
            <w:r>
              <w:rPr>
                <w:rFonts w:hint="default" w:ascii="Times New Roman" w:hAnsi="Times New Roman" w:cs="Times New Roman"/>
                <w:sz w:val="24"/>
                <w:szCs w:val="24"/>
                <w:vertAlign w:val="baseline"/>
                <w:lang w:val="en-US" w:eastAsia="zh-CN"/>
              </w:rPr>
              <w:t>月</w:t>
            </w:r>
            <w:r>
              <w:rPr>
                <w:rFonts w:hint="eastAsia" w:cs="Times New Roman"/>
                <w:sz w:val="24"/>
                <w:szCs w:val="24"/>
                <w:vertAlign w:val="baseline"/>
                <w:lang w:val="en-US" w:eastAsia="zh-CN"/>
              </w:rPr>
              <w:t>29</w:t>
            </w:r>
            <w:r>
              <w:rPr>
                <w:rFonts w:hint="default" w:ascii="Times New Roman" w:hAnsi="Times New Roman" w:cs="Times New Roman"/>
                <w:sz w:val="24"/>
                <w:szCs w:val="24"/>
                <w:vertAlign w:val="baseline"/>
                <w:lang w:val="en-US" w:eastAsia="zh-CN"/>
              </w:rPr>
              <w:t>日</w:t>
            </w:r>
          </w:p>
        </w:tc>
        <w:tc>
          <w:tcPr>
            <w:tcW w:w="1033"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560</w:t>
            </w:r>
            <w:r>
              <w:rPr>
                <w:rFonts w:hint="default" w:ascii="Times New Roman" w:hAnsi="Times New Roman" w:cs="Times New Roman"/>
                <w:sz w:val="24"/>
                <w:szCs w:val="24"/>
                <w:vertAlign w:val="baseline"/>
                <w:lang w:val="en-US" w:eastAsia="zh-CN"/>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64" w:type="pct"/>
            <w:vAlign w:val="center"/>
          </w:tcPr>
          <w:p>
            <w:pPr>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2030" w:type="pct"/>
            <w:vMerge w:val="continue"/>
            <w:vAlign w:val="center"/>
          </w:tcPr>
          <w:p>
            <w:pPr>
              <w:numPr>
                <w:ilvl w:val="0"/>
                <w:numId w:val="0"/>
              </w:numPr>
              <w:jc w:val="center"/>
              <w:rPr>
                <w:rFonts w:hint="default" w:ascii="Times New Roman" w:hAnsi="Times New Roman" w:eastAsia="仿宋_GB2312" w:cs="Times New Roman"/>
                <w:sz w:val="24"/>
                <w:szCs w:val="24"/>
                <w:lang w:val="en-US" w:eastAsia="zh-CN"/>
              </w:rPr>
            </w:pPr>
          </w:p>
        </w:tc>
        <w:tc>
          <w:tcPr>
            <w:tcW w:w="1472" w:type="pct"/>
            <w:vAlign w:val="center"/>
          </w:tcPr>
          <w:p>
            <w:pPr>
              <w:numPr>
                <w:ilvl w:val="0"/>
                <w:numId w:val="0"/>
              </w:num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2022年12月</w:t>
            </w:r>
            <w:r>
              <w:rPr>
                <w:rFonts w:hint="eastAsia" w:cs="Times New Roman"/>
                <w:sz w:val="24"/>
                <w:szCs w:val="24"/>
                <w:vertAlign w:val="baseline"/>
                <w:lang w:val="en-US" w:eastAsia="zh-CN"/>
              </w:rPr>
              <w:t>19</w:t>
            </w:r>
            <w:r>
              <w:rPr>
                <w:rFonts w:hint="default" w:ascii="Times New Roman" w:hAnsi="Times New Roman" w:cs="Times New Roman"/>
                <w:sz w:val="24"/>
                <w:szCs w:val="24"/>
                <w:vertAlign w:val="baseline"/>
                <w:lang w:val="en-US" w:eastAsia="zh-CN"/>
              </w:rPr>
              <w:t>日</w:t>
            </w:r>
          </w:p>
        </w:tc>
        <w:tc>
          <w:tcPr>
            <w:tcW w:w="1033" w:type="pct"/>
            <w:vAlign w:val="center"/>
          </w:tcPr>
          <w:p>
            <w:pPr>
              <w:numPr>
                <w:ilvl w:val="0"/>
                <w:numId w:val="0"/>
              </w:numPr>
              <w:jc w:val="center"/>
              <w:rPr>
                <w:rFonts w:hint="default" w:ascii="Times New Roman" w:hAnsi="Times New Roman" w:cs="Times New Roman"/>
                <w:sz w:val="24"/>
                <w:szCs w:val="24"/>
                <w:vertAlign w:val="baseline"/>
                <w:lang w:val="en-US" w:eastAsia="zh-CN"/>
              </w:rPr>
            </w:pPr>
            <w:r>
              <w:rPr>
                <w:rFonts w:hint="eastAsia" w:cs="Times New Roman"/>
                <w:sz w:val="24"/>
                <w:szCs w:val="24"/>
                <w:vertAlign w:val="baseline"/>
                <w:lang w:val="en-US" w:eastAsia="zh-CN"/>
              </w:rPr>
              <w:t>60000</w:t>
            </w:r>
            <w:r>
              <w:rPr>
                <w:rFonts w:hint="default" w:ascii="Times New Roman" w:hAnsi="Times New Roman" w:cs="Times New Roman"/>
                <w:sz w:val="24"/>
                <w:szCs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64"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2030" w:type="pct"/>
            <w:vMerge w:val="continue"/>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p>
        </w:tc>
        <w:tc>
          <w:tcPr>
            <w:tcW w:w="1472"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2022年12月</w:t>
            </w:r>
            <w:r>
              <w:rPr>
                <w:rFonts w:hint="eastAsia" w:cs="Times New Roman"/>
                <w:sz w:val="24"/>
                <w:szCs w:val="24"/>
                <w:vertAlign w:val="baseline"/>
                <w:lang w:val="en-US" w:eastAsia="zh-CN"/>
              </w:rPr>
              <w:t>19</w:t>
            </w:r>
            <w:r>
              <w:rPr>
                <w:rFonts w:hint="default" w:ascii="Times New Roman" w:hAnsi="Times New Roman" w:cs="Times New Roman"/>
                <w:sz w:val="24"/>
                <w:szCs w:val="24"/>
                <w:vertAlign w:val="baseline"/>
                <w:lang w:val="en-US" w:eastAsia="zh-CN"/>
              </w:rPr>
              <w:t>日</w:t>
            </w:r>
          </w:p>
        </w:tc>
        <w:tc>
          <w:tcPr>
            <w:tcW w:w="1033"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1323851.77</w:t>
            </w:r>
            <w:r>
              <w:rPr>
                <w:rFonts w:hint="default" w:ascii="Times New Roman" w:hAnsi="Times New Roman" w:cs="Times New Roman"/>
                <w:sz w:val="24"/>
                <w:szCs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966" w:type="pct"/>
            <w:gridSpan w:val="3"/>
            <w:vAlign w:val="center"/>
          </w:tcPr>
          <w:p>
            <w:pPr>
              <w:numPr>
                <w:ilvl w:val="0"/>
                <w:numId w:val="0"/>
              </w:numPr>
              <w:jc w:val="center"/>
              <w:rPr>
                <w:rFonts w:hint="default" w:ascii="Times New Roman" w:hAnsi="Times New Roman" w:cs="Times New Roman"/>
                <w:sz w:val="24"/>
                <w:szCs w:val="24"/>
                <w:vertAlign w:val="baseline"/>
                <w:lang w:val="en-US" w:eastAsia="zh-CN"/>
              </w:rPr>
            </w:pPr>
            <w:r>
              <w:rPr>
                <w:rFonts w:hint="eastAsia" w:cs="Times New Roman"/>
                <w:sz w:val="24"/>
                <w:szCs w:val="24"/>
                <w:vertAlign w:val="baseline"/>
                <w:lang w:val="en-US" w:eastAsia="zh-CN"/>
              </w:rPr>
              <w:t>合计</w:t>
            </w:r>
          </w:p>
        </w:tc>
        <w:tc>
          <w:tcPr>
            <w:tcW w:w="1033" w:type="pct"/>
            <w:vAlign w:val="center"/>
          </w:tcPr>
          <w:p>
            <w:pPr>
              <w:numPr>
                <w:ilvl w:val="0"/>
                <w:numId w:val="0"/>
              </w:numPr>
              <w:jc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1943851.77</w:t>
            </w:r>
            <w:r>
              <w:rPr>
                <w:rFonts w:hint="default" w:ascii="Times New Roman" w:hAnsi="Times New Roman" w:cs="Times New Roman"/>
                <w:sz w:val="24"/>
                <w:szCs w:val="24"/>
                <w:vertAlign w:val="baseline"/>
                <w:lang w:val="en-US" w:eastAsia="zh-CN"/>
              </w:rPr>
              <w:t>元</w:t>
            </w:r>
          </w:p>
        </w:tc>
      </w:tr>
    </w:tbl>
    <w:p>
      <w:pPr>
        <w:pStyle w:val="5"/>
        <w:bidi w:val="0"/>
        <w:rPr>
          <w:rFonts w:hint="default"/>
          <w:lang w:val="en-US" w:eastAsia="zh-CN"/>
        </w:rPr>
      </w:pPr>
      <w:bookmarkStart w:id="3" w:name="_Toc3396"/>
      <w:r>
        <w:rPr>
          <w:rFonts w:hint="eastAsia"/>
          <w:lang w:val="en-US" w:eastAsia="zh-CN"/>
        </w:rPr>
        <w:t>（二）项目绩效目标</w:t>
      </w:r>
      <w:bookmarkEnd w:id="3"/>
    </w:p>
    <w:p>
      <w:pPr>
        <w:ind w:firstLine="640" w:firstLineChars="200"/>
        <w:rPr>
          <w:rFonts w:hint="default" w:eastAsia="仿宋_GB2312"/>
          <w:lang w:val="en-US" w:eastAsia="zh-CN"/>
        </w:rPr>
      </w:pPr>
      <w:r>
        <w:rPr>
          <w:rFonts w:hint="eastAsia"/>
          <w:lang w:val="en-US" w:eastAsia="zh-CN"/>
        </w:rPr>
        <w:t>革命老区转移支付资金的总体绩效目标</w:t>
      </w:r>
      <w:r>
        <w:t>促进革命老区各项社会事业发展，支持革命老区改善和保障民生</w:t>
      </w:r>
      <w:r>
        <w:rPr>
          <w:rFonts w:hint="eastAsia"/>
          <w:lang w:eastAsia="zh-CN"/>
        </w:rPr>
        <w:t>。</w:t>
      </w:r>
      <w:r>
        <w:rPr>
          <w:rFonts w:hint="eastAsia"/>
          <w:lang w:val="en-US" w:eastAsia="zh-CN"/>
        </w:rPr>
        <w:t>保定市徐水区东史端镇南胡渠村道路改造工程阶段性绩效目标是</w:t>
      </w:r>
      <w:r>
        <w:rPr>
          <w:rFonts w:hint="default" w:ascii="Times New Roman" w:hAnsi="Times New Roman" w:cs="Times New Roman"/>
          <w:sz w:val="32"/>
          <w:szCs w:val="32"/>
          <w:lang w:val="en-US" w:eastAsia="zh-CN"/>
        </w:rPr>
        <w:t>新建</w:t>
      </w:r>
      <w:r>
        <w:rPr>
          <w:rFonts w:hint="eastAsia" w:cs="Times New Roman"/>
          <w:sz w:val="32"/>
          <w:szCs w:val="32"/>
          <w:lang w:val="en-US" w:eastAsia="zh-CN"/>
        </w:rPr>
        <w:t>15cm厚</w:t>
      </w:r>
      <w:r>
        <w:rPr>
          <w:rFonts w:hint="default" w:ascii="Times New Roman" w:hAnsi="Times New Roman" w:cs="Times New Roman"/>
          <w:sz w:val="32"/>
          <w:szCs w:val="32"/>
          <w:lang w:val="en-US" w:eastAsia="zh-CN"/>
        </w:rPr>
        <w:t>混凝土路面</w:t>
      </w:r>
      <w:r>
        <w:rPr>
          <w:rFonts w:hint="eastAsia" w:cs="Times New Roman"/>
          <w:sz w:val="32"/>
          <w:szCs w:val="32"/>
          <w:lang w:val="en-US" w:eastAsia="zh-CN"/>
        </w:rPr>
        <w:t>7205m</w:t>
      </w:r>
      <w:r>
        <w:rPr>
          <w:rFonts w:hint="eastAsia" w:cs="Times New Roman"/>
          <w:sz w:val="32"/>
          <w:szCs w:val="32"/>
          <w:vertAlign w:val="superscript"/>
          <w:lang w:val="en-US" w:eastAsia="zh-CN"/>
        </w:rPr>
        <w:t>2</w:t>
      </w:r>
      <w:r>
        <w:rPr>
          <w:rFonts w:hint="default" w:ascii="Times New Roman" w:hAnsi="Times New Roman" w:cs="Times New Roman"/>
          <w:sz w:val="32"/>
          <w:szCs w:val="32"/>
          <w:lang w:val="en-US" w:eastAsia="zh-CN"/>
        </w:rPr>
        <w:t>、</w:t>
      </w:r>
      <w:r>
        <w:rPr>
          <w:rFonts w:hint="eastAsia" w:cs="Times New Roman"/>
          <w:sz w:val="32"/>
          <w:szCs w:val="32"/>
          <w:lang w:val="en-US" w:eastAsia="zh-CN"/>
        </w:rPr>
        <w:t>新建10cm厚</w:t>
      </w:r>
      <w:r>
        <w:rPr>
          <w:rFonts w:hint="default" w:ascii="Times New Roman" w:hAnsi="Times New Roman" w:cs="Times New Roman"/>
          <w:sz w:val="32"/>
          <w:szCs w:val="32"/>
          <w:lang w:val="en-US" w:eastAsia="zh-CN"/>
        </w:rPr>
        <w:t>混凝土路肩</w:t>
      </w:r>
      <w:r>
        <w:rPr>
          <w:rFonts w:hint="eastAsia" w:cs="Times New Roman"/>
          <w:sz w:val="32"/>
          <w:szCs w:val="32"/>
          <w:lang w:val="en-US" w:eastAsia="zh-CN"/>
        </w:rPr>
        <w:t>9155m</w:t>
      </w:r>
      <w:r>
        <w:rPr>
          <w:rFonts w:hint="eastAsia" w:cs="Times New Roman"/>
          <w:sz w:val="32"/>
          <w:szCs w:val="32"/>
          <w:vertAlign w:val="superscript"/>
          <w:lang w:val="en-US" w:eastAsia="zh-CN"/>
        </w:rPr>
        <w:t>2</w:t>
      </w:r>
      <w:r>
        <w:rPr>
          <w:rFonts w:hint="eastAsia"/>
          <w:lang w:val="en-US" w:eastAsia="zh-CN"/>
        </w:rPr>
        <w:t>，改善南胡渠村村民日常出行条件，提升南胡渠村整体村容村貌。</w:t>
      </w:r>
    </w:p>
    <w:p>
      <w:pPr>
        <w:pStyle w:val="4"/>
        <w:bidi w:val="0"/>
        <w:rPr>
          <w:rFonts w:hint="eastAsia"/>
          <w:lang w:val="en-US" w:eastAsia="zh-CN"/>
        </w:rPr>
      </w:pPr>
      <w:bookmarkStart w:id="4" w:name="_Toc15898"/>
      <w:r>
        <w:rPr>
          <w:rFonts w:hint="eastAsia"/>
          <w:lang w:val="en-US" w:eastAsia="zh-CN"/>
        </w:rPr>
        <w:t>二、绩效评价工作开展情况</w:t>
      </w:r>
      <w:bookmarkEnd w:id="4"/>
    </w:p>
    <w:p>
      <w:pPr>
        <w:pStyle w:val="5"/>
        <w:bidi w:val="0"/>
        <w:rPr>
          <w:rFonts w:hint="default"/>
          <w:lang w:val="en-US" w:eastAsia="zh-CN"/>
        </w:rPr>
      </w:pPr>
      <w:bookmarkStart w:id="5" w:name="_Toc9079"/>
      <w:r>
        <w:rPr>
          <w:rFonts w:hint="eastAsia"/>
          <w:lang w:val="en-US" w:eastAsia="zh-CN"/>
        </w:rPr>
        <w:t>（一）绩效评价目的、对象和范围</w:t>
      </w:r>
      <w:bookmarkEnd w:id="5"/>
    </w:p>
    <w:p>
      <w:pPr>
        <w:pStyle w:val="6"/>
        <w:bidi w:val="0"/>
        <w:rPr>
          <w:rFonts w:hint="default"/>
          <w:lang w:val="en-US" w:eastAsia="zh-CN"/>
        </w:rPr>
      </w:pPr>
      <w:r>
        <w:rPr>
          <w:rFonts w:hint="eastAsia"/>
          <w:lang w:val="en-US" w:eastAsia="zh-CN"/>
        </w:rPr>
        <w:t>1.评价目的</w:t>
      </w:r>
    </w:p>
    <w:p>
      <w:pPr>
        <w:ind w:firstLine="640" w:firstLineChars="200"/>
        <w:rPr>
          <w:rFonts w:hint="default"/>
          <w:lang w:val="en-US" w:eastAsia="zh-CN"/>
        </w:rPr>
      </w:pPr>
      <w:r>
        <w:rPr>
          <w:rFonts w:hint="eastAsia"/>
          <w:lang w:val="en-US" w:eastAsia="zh-CN"/>
        </w:rPr>
        <w:t>通过对</w:t>
      </w:r>
      <w:r>
        <w:rPr>
          <w:rFonts w:hint="eastAsia"/>
          <w:lang w:eastAsia="zh-CN"/>
        </w:rPr>
        <w:t>东史端镇南胡渠村道路改造工程</w:t>
      </w:r>
      <w:r>
        <w:rPr>
          <w:rFonts w:hint="eastAsia"/>
          <w:lang w:val="en-US" w:eastAsia="zh-CN"/>
        </w:rPr>
        <w:t>开展绩效评价，了解此项目在革命老区转移支付资金投入、使用情况，分析存在的问题和原因，提出建设性意见和建议，并将绩效评价结果做为以后年度资金安排和分配的依据，促进提高资金配置效率和使用效益。</w:t>
      </w:r>
    </w:p>
    <w:p>
      <w:pPr>
        <w:pStyle w:val="6"/>
        <w:bidi w:val="0"/>
        <w:rPr>
          <w:rFonts w:hint="default"/>
          <w:lang w:val="en-US" w:eastAsia="zh-CN"/>
        </w:rPr>
      </w:pPr>
      <w:r>
        <w:rPr>
          <w:rFonts w:hint="eastAsia"/>
          <w:lang w:val="en-US" w:eastAsia="zh-CN"/>
        </w:rPr>
        <w:t>2.评价对象</w:t>
      </w:r>
    </w:p>
    <w:p>
      <w:pPr>
        <w:ind w:firstLine="640" w:firstLineChars="200"/>
        <w:rPr>
          <w:rFonts w:hint="default" w:eastAsia="仿宋_GB2312"/>
          <w:lang w:val="en-US" w:eastAsia="zh-CN"/>
        </w:rPr>
      </w:pPr>
      <w:r>
        <w:rPr>
          <w:rFonts w:hint="eastAsia"/>
          <w:lang w:val="en-US" w:eastAsia="zh-CN"/>
        </w:rPr>
        <w:t>本次绩效评价的对象为</w:t>
      </w:r>
      <w:r>
        <w:rPr>
          <w:rFonts w:hint="eastAsia"/>
          <w:lang w:eastAsia="zh-CN"/>
        </w:rPr>
        <w:t>东史端镇南胡渠村道路改造工程</w:t>
      </w:r>
      <w:r>
        <w:rPr>
          <w:rFonts w:hint="eastAsia"/>
          <w:lang w:val="en-US" w:eastAsia="zh-CN"/>
        </w:rPr>
        <w:t>使用革命老区转移支付资金1943851.77元。</w:t>
      </w:r>
    </w:p>
    <w:p>
      <w:pPr>
        <w:pStyle w:val="6"/>
        <w:bidi w:val="0"/>
        <w:rPr>
          <w:rFonts w:hint="eastAsia"/>
          <w:lang w:val="en-US" w:eastAsia="zh-CN"/>
        </w:rPr>
      </w:pPr>
      <w:r>
        <w:rPr>
          <w:rFonts w:hint="eastAsia"/>
          <w:lang w:val="en-US" w:eastAsia="zh-CN"/>
        </w:rPr>
        <w:t>3.评价范围</w:t>
      </w:r>
    </w:p>
    <w:p>
      <w:pPr>
        <w:rPr>
          <w:rFonts w:hint="default"/>
          <w:lang w:val="en-US" w:eastAsia="zh-CN"/>
        </w:rPr>
      </w:pPr>
      <w:r>
        <w:rPr>
          <w:rFonts w:hint="eastAsia"/>
          <w:lang w:val="en-US" w:eastAsia="zh-CN"/>
        </w:rPr>
        <w:t xml:space="preserve">    项目决策情况、项目过程情况、实现的产出情况、取得的效益情况、绩效目标指标完成情况和其他相关内容。</w:t>
      </w:r>
    </w:p>
    <w:p>
      <w:pPr>
        <w:pStyle w:val="5"/>
        <w:bidi w:val="0"/>
        <w:rPr>
          <w:rFonts w:hint="default"/>
          <w:lang w:val="en-US" w:eastAsia="zh-CN"/>
        </w:rPr>
      </w:pPr>
      <w:bookmarkStart w:id="6" w:name="_Toc29748"/>
      <w:r>
        <w:rPr>
          <w:rFonts w:hint="eastAsia"/>
          <w:lang w:val="en-US" w:eastAsia="zh-CN"/>
        </w:rPr>
        <w:t>（二）绩效评价原则、评价指标体系、评价方法、评价标准</w:t>
      </w:r>
      <w:bookmarkEnd w:id="6"/>
    </w:p>
    <w:p>
      <w:pPr>
        <w:pStyle w:val="6"/>
        <w:bidi w:val="0"/>
        <w:rPr>
          <w:rFonts w:hint="default"/>
          <w:lang w:val="en-US" w:eastAsia="zh-CN"/>
        </w:rPr>
      </w:pPr>
      <w:r>
        <w:rPr>
          <w:rFonts w:hint="eastAsia"/>
          <w:lang w:val="en-US" w:eastAsia="zh-CN"/>
        </w:rPr>
        <w:t>1.绩效评价原则</w:t>
      </w:r>
    </w:p>
    <w:p>
      <w:pPr>
        <w:ind w:firstLine="640" w:firstLineChars="200"/>
        <w:rPr>
          <w:rFonts w:hint="default"/>
          <w:lang w:val="en-US" w:eastAsia="zh-CN"/>
        </w:rPr>
      </w:pPr>
      <w:r>
        <w:rPr>
          <w:rFonts w:hint="eastAsia"/>
          <w:lang w:val="en-US" w:eastAsia="zh-CN"/>
        </w:rPr>
        <w:t>绩效评价指标是衡量绩效目标实现程度的考核工具，在设计指标时主要遵从以下原则：</w:t>
      </w:r>
    </w:p>
    <w:p>
      <w:pPr>
        <w:pStyle w:val="7"/>
        <w:bidi w:val="0"/>
        <w:rPr>
          <w:rStyle w:val="18"/>
          <w:rFonts w:hint="eastAsia"/>
          <w:lang w:val="en-US" w:eastAsia="zh-CN"/>
        </w:rPr>
      </w:pPr>
      <w:r>
        <w:rPr>
          <w:rStyle w:val="18"/>
          <w:rFonts w:hint="eastAsia"/>
          <w:lang w:val="en-US" w:eastAsia="zh-CN"/>
        </w:rPr>
        <w:t>（1）相关性原则</w:t>
      </w:r>
    </w:p>
    <w:p>
      <w:pPr>
        <w:numPr>
          <w:ilvl w:val="0"/>
          <w:numId w:val="0"/>
        </w:numPr>
        <w:ind w:firstLine="640" w:firstLineChars="200"/>
        <w:rPr>
          <w:rFonts w:hint="eastAsia"/>
          <w:lang w:val="en-US" w:eastAsia="zh-CN"/>
        </w:rPr>
      </w:pPr>
      <w:r>
        <w:rPr>
          <w:rFonts w:hint="eastAsia"/>
          <w:lang w:val="en-US" w:eastAsia="zh-CN"/>
        </w:rPr>
        <w:t>设计指标体系时采用与绩效目标有直接联系，能够恰当反映目标实现程度的绩效评价指标。</w:t>
      </w:r>
    </w:p>
    <w:p>
      <w:pPr>
        <w:pStyle w:val="7"/>
        <w:bidi w:val="0"/>
        <w:rPr>
          <w:rStyle w:val="18"/>
          <w:rFonts w:hint="eastAsia"/>
          <w:lang w:val="en-US" w:eastAsia="zh-CN"/>
        </w:rPr>
      </w:pPr>
      <w:r>
        <w:rPr>
          <w:rStyle w:val="18"/>
          <w:rFonts w:hint="eastAsia"/>
          <w:lang w:val="en-US" w:eastAsia="zh-CN"/>
        </w:rPr>
        <w:t>（2）重要性原则</w:t>
      </w:r>
    </w:p>
    <w:p>
      <w:pPr>
        <w:ind w:firstLine="640" w:firstLineChars="200"/>
        <w:rPr>
          <w:rFonts w:hint="eastAsia"/>
          <w:lang w:val="en-US" w:eastAsia="zh-CN"/>
        </w:rPr>
      </w:pPr>
      <w:r>
        <w:rPr>
          <w:rFonts w:hint="eastAsia"/>
          <w:lang w:val="en-US" w:eastAsia="zh-CN"/>
        </w:rPr>
        <w:t>优先使用最具评价对象代表性、最能反映评价要求的核心指标。</w:t>
      </w:r>
    </w:p>
    <w:p>
      <w:pPr>
        <w:pStyle w:val="7"/>
        <w:bidi w:val="0"/>
        <w:rPr>
          <w:rFonts w:hint="eastAsia"/>
          <w:lang w:val="en-US" w:eastAsia="zh-CN"/>
        </w:rPr>
      </w:pPr>
      <w:r>
        <w:rPr>
          <w:rFonts w:hint="eastAsia"/>
          <w:lang w:val="en-US" w:eastAsia="zh-CN"/>
        </w:rPr>
        <w:t>（3）可比性原则</w:t>
      </w:r>
    </w:p>
    <w:p>
      <w:pPr>
        <w:ind w:firstLine="640" w:firstLineChars="200"/>
        <w:rPr>
          <w:rFonts w:hint="eastAsia"/>
          <w:lang w:val="en-US" w:eastAsia="zh-CN"/>
        </w:rPr>
      </w:pPr>
      <w:r>
        <w:rPr>
          <w:rFonts w:hint="eastAsia"/>
          <w:lang w:val="en-US" w:eastAsia="zh-CN"/>
        </w:rPr>
        <w:t>设定能够体现对比性的绩效评价指标，以便于项目实施前后可以相互比较。</w:t>
      </w:r>
    </w:p>
    <w:p>
      <w:pPr>
        <w:pStyle w:val="7"/>
        <w:bidi w:val="0"/>
        <w:rPr>
          <w:rFonts w:hint="eastAsia"/>
          <w:lang w:val="en-US" w:eastAsia="zh-CN"/>
        </w:rPr>
      </w:pPr>
      <w:r>
        <w:rPr>
          <w:rFonts w:hint="eastAsia"/>
          <w:lang w:val="en-US" w:eastAsia="zh-CN"/>
        </w:rPr>
        <w:t>（4）系统性原则</w:t>
      </w:r>
    </w:p>
    <w:p>
      <w:pPr>
        <w:ind w:firstLine="640" w:firstLineChars="200"/>
        <w:rPr>
          <w:rFonts w:hint="eastAsia"/>
          <w:lang w:val="en-US" w:eastAsia="zh-CN"/>
        </w:rPr>
      </w:pPr>
      <w:r>
        <w:rPr>
          <w:rFonts w:hint="eastAsia"/>
          <w:lang w:val="en-US" w:eastAsia="zh-CN"/>
        </w:rPr>
        <w:t>将定量指标与定性指标相结合，系统反映财政支出所产生的社会效益、生态效益和可持续影响等。</w:t>
      </w:r>
    </w:p>
    <w:p>
      <w:pPr>
        <w:pStyle w:val="7"/>
        <w:bidi w:val="0"/>
        <w:rPr>
          <w:rFonts w:hint="eastAsia"/>
          <w:lang w:val="en-US" w:eastAsia="zh-CN"/>
        </w:rPr>
      </w:pPr>
      <w:r>
        <w:rPr>
          <w:rFonts w:hint="eastAsia"/>
          <w:lang w:val="en-US" w:eastAsia="zh-CN"/>
        </w:rPr>
        <w:t>（5）经济性原则</w:t>
      </w:r>
    </w:p>
    <w:p>
      <w:pPr>
        <w:ind w:firstLine="640" w:firstLineChars="200"/>
        <w:rPr>
          <w:rFonts w:hint="default"/>
          <w:lang w:val="en-US" w:eastAsia="zh-CN"/>
        </w:rPr>
      </w:pPr>
      <w:r>
        <w:rPr>
          <w:rFonts w:hint="eastAsia"/>
          <w:lang w:val="en-US" w:eastAsia="zh-CN"/>
        </w:rPr>
        <w:t>指标通俗易懂、简便易行，考虑现实条件和可操作性，设计容易获得的数据作为评价指标，符合成本效益原则。</w:t>
      </w:r>
    </w:p>
    <w:p>
      <w:pPr>
        <w:pStyle w:val="6"/>
        <w:bidi w:val="0"/>
        <w:rPr>
          <w:rFonts w:hint="default"/>
          <w:lang w:val="en-US" w:eastAsia="zh-CN"/>
        </w:rPr>
      </w:pPr>
      <w:r>
        <w:rPr>
          <w:rFonts w:hint="eastAsia"/>
          <w:lang w:val="en-US" w:eastAsia="zh-CN"/>
        </w:rPr>
        <w:t>2.评价指标体系</w:t>
      </w:r>
    </w:p>
    <w:p>
      <w:pPr>
        <w:rPr>
          <w:rFonts w:hint="default"/>
          <w:lang w:val="en-US" w:eastAsia="zh-CN"/>
        </w:rPr>
      </w:pPr>
      <w:r>
        <w:rPr>
          <w:rFonts w:hint="eastAsia"/>
          <w:lang w:val="en-US" w:eastAsia="zh-CN"/>
        </w:rPr>
        <w:t xml:space="preserve">    本项目绩效评价指标体系依据财政部印发《项目支出绩效评价管理办法》（财预</w:t>
      </w:r>
      <w:r>
        <w:rPr>
          <w:rFonts w:hint="eastAsia"/>
        </w:rPr>
        <w:t>〔202</w:t>
      </w:r>
      <w:r>
        <w:rPr>
          <w:rFonts w:hint="eastAsia"/>
          <w:lang w:val="en-US" w:eastAsia="zh-CN"/>
        </w:rPr>
        <w:t>0</w:t>
      </w:r>
      <w:r>
        <w:rPr>
          <w:rFonts w:hint="eastAsia"/>
        </w:rPr>
        <w:t>〕</w:t>
      </w:r>
      <w:r>
        <w:rPr>
          <w:rFonts w:hint="eastAsia"/>
          <w:lang w:val="en-US" w:eastAsia="zh-CN"/>
        </w:rPr>
        <w:t>10</w:t>
      </w:r>
      <w:r>
        <w:rPr>
          <w:rFonts w:hint="eastAsia"/>
        </w:rPr>
        <w:t>号</w:t>
      </w:r>
      <w:r>
        <w:rPr>
          <w:rFonts w:hint="eastAsia"/>
          <w:lang w:val="en-US" w:eastAsia="zh-CN"/>
        </w:rPr>
        <w:t>）、保定市徐水区财政局《关于印发保定市徐水区区级预算绩效重点评价管理办法的通知》（徐政财字</w:t>
      </w:r>
      <w:r>
        <w:rPr>
          <w:rFonts w:hint="eastAsia"/>
        </w:rPr>
        <w:t>〔202</w:t>
      </w:r>
      <w:r>
        <w:rPr>
          <w:rFonts w:hint="eastAsia"/>
          <w:lang w:val="en-US" w:eastAsia="zh-CN"/>
        </w:rPr>
        <w:t>0</w:t>
      </w:r>
      <w:r>
        <w:rPr>
          <w:rFonts w:hint="eastAsia"/>
        </w:rPr>
        <w:t>〕</w:t>
      </w:r>
      <w:r>
        <w:rPr>
          <w:rFonts w:hint="eastAsia"/>
          <w:lang w:val="en-US" w:eastAsia="zh-CN"/>
        </w:rPr>
        <w:t>8</w:t>
      </w:r>
      <w:r>
        <w:rPr>
          <w:rFonts w:hint="eastAsia"/>
        </w:rPr>
        <w:t>号</w:t>
      </w:r>
      <w:r>
        <w:rPr>
          <w:rFonts w:hint="eastAsia"/>
          <w:lang w:val="en-US" w:eastAsia="zh-CN"/>
        </w:rPr>
        <w:t>）等文件，结合本项目实际情况进行指标细化和分值设定。绩效评价指标体系中一级指标设置为决策、过程、产出和效益4项，下设二、三级指标，总分值设定为100分。评价分为4个等级：90（含）-100分为优、80（含）-90分为良、60（含）-80分为中、60分以下为差。具体指标、指标解释、评价标准、指标权重、指标得分、扣分原因等详见附件1。</w:t>
      </w:r>
    </w:p>
    <w:p>
      <w:pPr>
        <w:pStyle w:val="6"/>
        <w:bidi w:val="0"/>
        <w:rPr>
          <w:rFonts w:hint="default"/>
          <w:lang w:val="en-US" w:eastAsia="zh-CN"/>
        </w:rPr>
      </w:pPr>
      <w:r>
        <w:rPr>
          <w:rFonts w:hint="eastAsia"/>
          <w:lang w:val="en-US" w:eastAsia="zh-CN"/>
        </w:rPr>
        <w:t>3.评价方法</w:t>
      </w:r>
    </w:p>
    <w:p>
      <w:pPr>
        <w:ind w:firstLine="640" w:firstLineChars="200"/>
        <w:rPr>
          <w:rFonts w:hint="default" w:eastAsia="仿宋_GB2312"/>
          <w:lang w:val="en-US" w:eastAsia="zh-CN"/>
        </w:rPr>
      </w:pPr>
      <w:r>
        <w:rPr>
          <w:rFonts w:hint="eastAsia"/>
          <w:lang w:val="en-US" w:eastAsia="zh-CN"/>
        </w:rPr>
        <w:t>根据</w:t>
      </w:r>
      <w:r>
        <w:rPr>
          <w:rFonts w:hint="eastAsia"/>
          <w:lang w:eastAsia="zh-CN"/>
        </w:rPr>
        <w:t>东史端镇南胡渠村道路改造工程</w:t>
      </w:r>
      <w:r>
        <w:rPr>
          <w:rFonts w:hint="eastAsia"/>
          <w:lang w:val="en-US" w:eastAsia="zh-CN"/>
        </w:rPr>
        <w:t>特点，采用比较法、因素分析法、成本效益法和公众评判法进行评价。具体实施方式采用现场勘查、问卷调查、资料核查、访谈、座谈、组织专家综合评价等方法，将项目效益与绩效目标进行比较，综合分析绩效目标的实现程度，按照评价指标体系进行打分。</w:t>
      </w:r>
    </w:p>
    <w:p>
      <w:pPr>
        <w:pStyle w:val="7"/>
        <w:bidi w:val="0"/>
        <w:rPr>
          <w:rFonts w:hint="default"/>
          <w:lang w:val="en-US" w:eastAsia="zh-CN"/>
        </w:rPr>
      </w:pPr>
      <w:r>
        <w:rPr>
          <w:rFonts w:hint="eastAsia"/>
          <w:lang w:val="en-US" w:eastAsia="zh-CN"/>
        </w:rPr>
        <w:t>（1）比较法</w:t>
      </w:r>
    </w:p>
    <w:p>
      <w:pPr>
        <w:ind w:firstLine="640" w:firstLineChars="200"/>
        <w:rPr>
          <w:rFonts w:hint="default"/>
          <w:lang w:val="en-US" w:eastAsia="zh-CN"/>
        </w:rPr>
      </w:pPr>
      <w:r>
        <w:rPr>
          <w:rFonts w:hint="eastAsia"/>
          <w:lang w:val="en-US" w:eastAsia="zh-CN"/>
        </w:rPr>
        <w:t>是指通过对项目实际绩效与目标绩效的比较分析项目绩效目标的实现程度和效果。</w:t>
      </w:r>
    </w:p>
    <w:p>
      <w:pPr>
        <w:pStyle w:val="7"/>
        <w:bidi w:val="0"/>
        <w:rPr>
          <w:rFonts w:hint="default"/>
          <w:lang w:val="en-US" w:eastAsia="zh-CN"/>
        </w:rPr>
      </w:pPr>
      <w:r>
        <w:rPr>
          <w:rFonts w:hint="eastAsia"/>
          <w:lang w:val="en-US" w:eastAsia="zh-CN"/>
        </w:rPr>
        <w:t>（2）成本效益分析法</w:t>
      </w:r>
    </w:p>
    <w:p>
      <w:pPr>
        <w:ind w:firstLine="640" w:firstLineChars="200"/>
        <w:rPr>
          <w:rFonts w:hint="default"/>
          <w:lang w:val="en-US" w:eastAsia="zh-CN"/>
        </w:rPr>
      </w:pPr>
      <w:r>
        <w:rPr>
          <w:rFonts w:hint="eastAsia"/>
          <w:lang w:val="en-US" w:eastAsia="zh-CN"/>
        </w:rPr>
        <w:t>通过查看项目资金支出是否超出预算；资金支出后是否进行监督检查或跟踪审计等对项目的成本进行分析，从而评价项目效益与成本的匹配性。</w:t>
      </w:r>
    </w:p>
    <w:p>
      <w:pPr>
        <w:pStyle w:val="7"/>
        <w:bidi w:val="0"/>
        <w:rPr>
          <w:rFonts w:hint="default"/>
          <w:lang w:val="en-US" w:eastAsia="zh-CN"/>
        </w:rPr>
      </w:pPr>
      <w:r>
        <w:rPr>
          <w:rFonts w:hint="eastAsia"/>
          <w:lang w:val="en-US" w:eastAsia="zh-CN"/>
        </w:rPr>
        <w:t>（3）因素分析法</w:t>
      </w:r>
    </w:p>
    <w:p>
      <w:pPr>
        <w:ind w:firstLine="640" w:firstLineChars="200"/>
        <w:rPr>
          <w:rFonts w:hint="default"/>
          <w:lang w:val="en-US" w:eastAsia="zh-CN"/>
        </w:rPr>
      </w:pPr>
      <w:r>
        <w:rPr>
          <w:rFonts w:hint="eastAsia"/>
          <w:lang w:val="en-US" w:eastAsia="zh-CN"/>
        </w:rPr>
        <w:t>是指通过综合分析影响绩效目标实施效果的内外因素，评价绩效目标实现程度。本次评价分别就项目立项、绩效目标设定、专项资金的监管使用、项目产出和效益等因素进行分析评价。</w:t>
      </w:r>
    </w:p>
    <w:p>
      <w:pPr>
        <w:pStyle w:val="7"/>
        <w:bidi w:val="0"/>
        <w:rPr>
          <w:rFonts w:hint="default"/>
          <w:lang w:val="en-US" w:eastAsia="zh-CN"/>
        </w:rPr>
      </w:pPr>
      <w:r>
        <w:rPr>
          <w:rFonts w:hint="eastAsia"/>
          <w:lang w:val="en-US" w:eastAsia="zh-CN"/>
        </w:rPr>
        <w:t>（4）公众评判法</w:t>
      </w:r>
    </w:p>
    <w:p>
      <w:pPr>
        <w:ind w:firstLine="640" w:firstLineChars="200"/>
        <w:rPr>
          <w:rFonts w:hint="eastAsia"/>
          <w:lang w:val="en-US" w:eastAsia="zh-CN"/>
        </w:rPr>
      </w:pPr>
      <w:r>
        <w:rPr>
          <w:rFonts w:hint="eastAsia"/>
          <w:lang w:val="en-US" w:eastAsia="zh-CN"/>
        </w:rPr>
        <w:t>设计调查问卷，发给一定数量受益群体填写，最后汇总分析各方意见进行评价判断。</w:t>
      </w:r>
    </w:p>
    <w:p>
      <w:pPr>
        <w:pStyle w:val="6"/>
        <w:bidi w:val="0"/>
        <w:rPr>
          <w:rFonts w:hint="default"/>
          <w:lang w:val="en-US" w:eastAsia="zh-CN"/>
        </w:rPr>
      </w:pPr>
      <w:r>
        <w:rPr>
          <w:rFonts w:hint="eastAsia"/>
          <w:lang w:val="en-US" w:eastAsia="zh-CN"/>
        </w:rPr>
        <w:t>4.评价标准</w:t>
      </w:r>
    </w:p>
    <w:p>
      <w:pPr>
        <w:ind w:firstLine="640" w:firstLineChars="200"/>
      </w:pPr>
      <w:r>
        <w:t>本次绩效评价标准包括计划标准、行业标准、历史标准等，用于比较分析项目绩效目标的达成情况。</w:t>
      </w:r>
    </w:p>
    <w:p>
      <w:pPr>
        <w:pStyle w:val="7"/>
        <w:bidi w:val="0"/>
      </w:pPr>
      <w:r>
        <w:rPr>
          <w:rFonts w:hint="eastAsia"/>
          <w:lang w:eastAsia="zh-CN"/>
        </w:rPr>
        <w:t>（</w:t>
      </w:r>
      <w:r>
        <w:rPr>
          <w:rFonts w:hint="eastAsia"/>
          <w:lang w:val="en-US" w:eastAsia="zh-CN"/>
        </w:rPr>
        <w:t>1</w:t>
      </w:r>
      <w:r>
        <w:rPr>
          <w:rFonts w:hint="eastAsia"/>
          <w:lang w:eastAsia="zh-CN"/>
        </w:rPr>
        <w:t>）</w:t>
      </w:r>
      <w:r>
        <w:t>计划标准</w:t>
      </w:r>
    </w:p>
    <w:p>
      <w:pPr>
        <w:ind w:firstLine="640" w:firstLineChars="200"/>
      </w:pPr>
      <w:r>
        <w:t>指以预先制定的目标、计划、预算、定额等作为评价标准，如实施方案中的目标、计划等。</w:t>
      </w:r>
    </w:p>
    <w:p>
      <w:pPr>
        <w:pStyle w:val="7"/>
        <w:bidi w:val="0"/>
      </w:pPr>
      <w:r>
        <w:rPr>
          <w:rFonts w:hint="eastAsia"/>
          <w:lang w:eastAsia="zh-CN"/>
        </w:rPr>
        <w:t>（</w:t>
      </w:r>
      <w:r>
        <w:rPr>
          <w:rFonts w:hint="eastAsia"/>
          <w:lang w:val="en-US" w:eastAsia="zh-CN"/>
        </w:rPr>
        <w:t>2</w:t>
      </w:r>
      <w:r>
        <w:rPr>
          <w:rFonts w:hint="eastAsia"/>
          <w:lang w:eastAsia="zh-CN"/>
        </w:rPr>
        <w:t>）</w:t>
      </w:r>
      <w:r>
        <w:t>行业标准</w:t>
      </w:r>
    </w:p>
    <w:p>
      <w:pPr>
        <w:ind w:firstLine="640" w:firstLineChars="200"/>
      </w:pPr>
      <w:r>
        <w:t>指参照国家公布的行业指标数据制定的评价标准，如行业统计年鉴、行业发展规划中要求的标准等。</w:t>
      </w:r>
    </w:p>
    <w:p>
      <w:pPr>
        <w:pStyle w:val="7"/>
        <w:bidi w:val="0"/>
      </w:pPr>
      <w:r>
        <w:rPr>
          <w:rFonts w:hint="eastAsia"/>
          <w:lang w:eastAsia="zh-CN"/>
        </w:rPr>
        <w:t>（</w:t>
      </w:r>
      <w:r>
        <w:rPr>
          <w:rFonts w:hint="eastAsia"/>
          <w:lang w:val="en-US" w:eastAsia="zh-CN"/>
        </w:rPr>
        <w:t>3</w:t>
      </w:r>
      <w:r>
        <w:rPr>
          <w:rFonts w:hint="eastAsia"/>
          <w:lang w:eastAsia="zh-CN"/>
        </w:rPr>
        <w:t>）</w:t>
      </w:r>
      <w:r>
        <w:t>历史标准</w:t>
      </w:r>
    </w:p>
    <w:p>
      <w:pPr>
        <w:ind w:firstLine="640" w:firstLineChars="200"/>
        <w:rPr>
          <w:rFonts w:hint="default"/>
          <w:lang w:val="en-US" w:eastAsia="zh-CN"/>
        </w:rPr>
      </w:pPr>
      <w:r>
        <w:t>指参照历史数据制定的评价标准，如根据历年项目实施情况制定的标准，为体现绩效改进的原则，在可实现的条件下应当确定相对较高的评价标准</w:t>
      </w:r>
      <w:r>
        <w:rPr>
          <w:rFonts w:hint="eastAsia"/>
          <w:lang w:val="en-US" w:eastAsia="zh-CN"/>
        </w:rPr>
        <w:t>。</w:t>
      </w:r>
    </w:p>
    <w:p>
      <w:pPr>
        <w:pStyle w:val="5"/>
        <w:bidi w:val="0"/>
        <w:rPr>
          <w:rFonts w:hint="eastAsia"/>
          <w:lang w:val="en-US" w:eastAsia="zh-CN"/>
        </w:rPr>
      </w:pPr>
      <w:bookmarkStart w:id="7" w:name="_Toc1591"/>
      <w:r>
        <w:rPr>
          <w:rFonts w:hint="eastAsia"/>
          <w:lang w:val="en-US" w:eastAsia="zh-CN"/>
        </w:rPr>
        <w:t>（三）绩效评价工作过程</w:t>
      </w:r>
      <w:bookmarkEnd w:id="7"/>
    </w:p>
    <w:p>
      <w:pPr>
        <w:numPr>
          <w:ilvl w:val="0"/>
          <w:numId w:val="0"/>
        </w:numPr>
        <w:ind w:firstLine="640" w:firstLineChars="200"/>
        <w:rPr>
          <w:rFonts w:hint="default"/>
          <w:lang w:val="en-US" w:eastAsia="zh-CN"/>
        </w:rPr>
      </w:pPr>
      <w:r>
        <w:rPr>
          <w:rFonts w:hint="eastAsia"/>
          <w:lang w:val="en-US" w:eastAsia="zh-CN"/>
        </w:rPr>
        <w:t>绩效评价主要工作内容包括项目启动阶段、评价实施阶段、报告撰写阶段、归集档案阶段，具体如下：</w:t>
      </w:r>
    </w:p>
    <w:p>
      <w:pPr>
        <w:pStyle w:val="6"/>
        <w:bidi w:val="0"/>
        <w:rPr>
          <w:rFonts w:hint="default"/>
          <w:lang w:val="en-US" w:eastAsia="zh-CN"/>
        </w:rPr>
      </w:pPr>
      <w:r>
        <w:rPr>
          <w:rFonts w:hint="eastAsia"/>
          <w:lang w:val="en-US" w:eastAsia="zh-CN"/>
        </w:rPr>
        <w:t>1.项目启动阶段</w:t>
      </w:r>
    </w:p>
    <w:p>
      <w:pPr>
        <w:ind w:firstLine="640" w:firstLineChars="200"/>
        <w:rPr>
          <w:rFonts w:hint="default"/>
          <w:lang w:val="en-US" w:eastAsia="zh-CN"/>
        </w:rPr>
      </w:pPr>
      <w:r>
        <w:rPr>
          <w:rFonts w:hint="eastAsia"/>
          <w:lang w:val="en-US" w:eastAsia="zh-CN"/>
        </w:rPr>
        <w:t>与徐水区财政局就</w:t>
      </w:r>
      <w:r>
        <w:t>其委托需求、绩效评价工作开展要求进行接洽，以便更好地开展本次评价工作</w:t>
      </w:r>
      <w:r>
        <w:rPr>
          <w:rFonts w:hint="eastAsia"/>
          <w:lang w:eastAsia="zh-CN"/>
        </w:rPr>
        <w:t>。</w:t>
      </w:r>
      <w:r>
        <w:t>同时，与</w:t>
      </w:r>
      <w:r>
        <w:rPr>
          <w:rFonts w:hint="eastAsia"/>
          <w:lang w:val="en-US" w:eastAsia="zh-CN"/>
        </w:rPr>
        <w:t>预算单位</w:t>
      </w:r>
      <w:r>
        <w:t>进行初步沟通，了解项目基本情况及组织管理模式，获取项目相关资料。</w:t>
      </w:r>
      <w:r>
        <w:rPr>
          <w:rFonts w:hint="eastAsia"/>
          <w:lang w:val="en-US" w:eastAsia="zh-CN"/>
        </w:rPr>
        <w:t>根据项目特点，安排相关专业人员成立评价组。</w:t>
      </w:r>
    </w:p>
    <w:p>
      <w:pPr>
        <w:pStyle w:val="6"/>
        <w:bidi w:val="0"/>
        <w:rPr>
          <w:rFonts w:hint="default"/>
          <w:lang w:val="en-US" w:eastAsia="zh-CN"/>
        </w:rPr>
      </w:pPr>
      <w:r>
        <w:rPr>
          <w:rFonts w:hint="eastAsia"/>
          <w:lang w:val="en-US" w:eastAsia="zh-CN"/>
        </w:rPr>
        <w:t>2.评价实施阶段</w:t>
      </w:r>
    </w:p>
    <w:p>
      <w:pPr>
        <w:ind w:firstLine="640" w:firstLineChars="200"/>
      </w:pPr>
      <w:r>
        <w:rPr>
          <w:rFonts w:hint="eastAsia"/>
          <w:lang w:val="en-US" w:eastAsia="zh-CN"/>
        </w:rPr>
        <w:t>根据徐水区</w:t>
      </w:r>
      <w:r>
        <w:t>财政局</w:t>
      </w:r>
      <w:r>
        <w:rPr>
          <w:rFonts w:hint="eastAsia"/>
          <w:lang w:val="en-US" w:eastAsia="zh-CN"/>
        </w:rPr>
        <w:t>的</w:t>
      </w:r>
      <w:r>
        <w:t>委托</w:t>
      </w:r>
      <w:r>
        <w:rPr>
          <w:rFonts w:hint="eastAsia"/>
          <w:lang w:val="en-US" w:eastAsia="zh-CN"/>
        </w:rPr>
        <w:t>要求</w:t>
      </w:r>
      <w:r>
        <w:t>，搜集并梳理项目资料，全面了解项目实施情况、组织管理情况等内容。在此基础上，根据绩效管理工作要求，设计评价指标体系、撰写</w:t>
      </w:r>
      <w:r>
        <w:rPr>
          <w:rFonts w:hint="eastAsia"/>
          <w:lang w:val="en-US" w:eastAsia="zh-CN"/>
        </w:rPr>
        <w:t>访谈提纲和设计基础数据表</w:t>
      </w:r>
      <w:r>
        <w:t>等。</w:t>
      </w:r>
    </w:p>
    <w:p>
      <w:pPr>
        <w:ind w:firstLine="640" w:firstLineChars="200"/>
      </w:pPr>
      <w:r>
        <w:t>评价组</w:t>
      </w:r>
      <w:r>
        <w:rPr>
          <w:rFonts w:hint="eastAsia"/>
          <w:lang w:val="en-US" w:eastAsia="zh-CN"/>
        </w:rPr>
        <w:t>按照调研计划</w:t>
      </w:r>
      <w:r>
        <w:t>，</w:t>
      </w:r>
      <w:r>
        <w:rPr>
          <w:rFonts w:hint="eastAsia"/>
          <w:lang w:val="en-US" w:eastAsia="zh-CN"/>
        </w:rPr>
        <w:t>首先对预算单位开展访谈，了解项目进展、项目实施情况、项目资料归集和总结的经验建议等，给预算单位提出需要补充的资料清单和需要填报的基础数据表。评价组</w:t>
      </w:r>
      <w:r>
        <w:t>根据实地调研</w:t>
      </w:r>
      <w:r>
        <w:rPr>
          <w:rFonts w:hint="eastAsia"/>
          <w:lang w:val="en-US" w:eastAsia="zh-CN"/>
        </w:rPr>
        <w:t>计划</w:t>
      </w:r>
      <w:r>
        <w:t>，</w:t>
      </w:r>
      <w:r>
        <w:rPr>
          <w:rFonts w:hint="eastAsia"/>
          <w:lang w:val="en-US" w:eastAsia="zh-CN"/>
        </w:rPr>
        <w:t>实地到项目现场</w:t>
      </w:r>
      <w:r>
        <w:t>开展现场调研工作，包括</w:t>
      </w:r>
      <w:r>
        <w:rPr>
          <w:rFonts w:hint="eastAsia"/>
          <w:lang w:val="en-US" w:eastAsia="zh-CN"/>
        </w:rPr>
        <w:t>现场踏勘项目建设完成情况</w:t>
      </w:r>
      <w:r>
        <w:t>、</w:t>
      </w:r>
      <w:r>
        <w:rPr>
          <w:rFonts w:hint="eastAsia"/>
          <w:lang w:val="en-US" w:eastAsia="zh-CN"/>
        </w:rPr>
        <w:t>开展</w:t>
      </w:r>
      <w:r>
        <w:t>问卷调查和访谈等。具体内容如下：</w:t>
      </w:r>
    </w:p>
    <w:p>
      <w:pPr>
        <w:pStyle w:val="7"/>
        <w:bidi w:val="0"/>
        <w:rPr>
          <w:rFonts w:hint="eastAsia"/>
          <w:lang w:val="en-US" w:eastAsia="zh-CN"/>
        </w:rPr>
      </w:pPr>
      <w:r>
        <w:rPr>
          <w:rFonts w:hint="eastAsia"/>
          <w:lang w:val="en-US" w:eastAsia="zh-CN"/>
        </w:rPr>
        <w:t>（1）现场踏勘</w:t>
      </w:r>
    </w:p>
    <w:p>
      <w:pPr>
        <w:ind w:firstLine="640" w:firstLineChars="200"/>
      </w:pPr>
      <w:r>
        <w:rPr>
          <w:rFonts w:hint="eastAsia"/>
          <w:lang w:val="en-US" w:eastAsia="zh-CN"/>
        </w:rPr>
        <w:t>依据项目建设资料，实地探勘了解项目产出和项目效益与目标计划的符合性</w:t>
      </w:r>
      <w:r>
        <w:t>。</w:t>
      </w:r>
    </w:p>
    <w:p>
      <w:pPr>
        <w:pStyle w:val="7"/>
        <w:bidi w:val="0"/>
        <w:rPr>
          <w:rFonts w:hint="default"/>
          <w:lang w:val="en-US" w:eastAsia="zh-CN"/>
        </w:rPr>
      </w:pPr>
      <w:r>
        <w:rPr>
          <w:rFonts w:hint="eastAsia"/>
          <w:lang w:val="en-US" w:eastAsia="zh-CN"/>
        </w:rPr>
        <w:t>（2）开展问卷调查</w:t>
      </w:r>
    </w:p>
    <w:p>
      <w:pPr>
        <w:ind w:firstLine="640" w:firstLineChars="200"/>
      </w:pPr>
      <w:r>
        <w:rPr>
          <w:rFonts w:hint="eastAsia"/>
          <w:lang w:val="en-US" w:eastAsia="zh-CN"/>
        </w:rPr>
        <w:t>对项目建设的受益群体开展问卷调查，对南胡渠村村民代表发放满意度调查问卷，现场收集填写的问卷，汇总整理满意度调查结果</w:t>
      </w:r>
      <w:r>
        <w:t>。</w:t>
      </w:r>
    </w:p>
    <w:p>
      <w:pPr>
        <w:pStyle w:val="7"/>
        <w:bidi w:val="0"/>
        <w:rPr>
          <w:rFonts w:hint="eastAsia"/>
          <w:lang w:val="en-US" w:eastAsia="zh-CN"/>
        </w:rPr>
      </w:pPr>
      <w:r>
        <w:rPr>
          <w:rFonts w:hint="eastAsia"/>
          <w:lang w:val="en-US" w:eastAsia="zh-CN"/>
        </w:rPr>
        <w:t>（3）开展座谈会</w:t>
      </w:r>
    </w:p>
    <w:p>
      <w:pPr>
        <w:ind w:firstLine="640" w:firstLineChars="200"/>
        <w:rPr>
          <w:rFonts w:hint="default"/>
          <w:lang w:val="en-US" w:eastAsia="zh-CN"/>
        </w:rPr>
      </w:pPr>
      <w:r>
        <w:rPr>
          <w:rFonts w:hint="eastAsia" w:cs="Times New Roman"/>
          <w:lang w:val="en-US" w:eastAsia="zh-CN"/>
        </w:rPr>
        <w:t>对南胡渠村村集体和村民代表召开座谈会，了解村民对项目建设的态度和意愿，了解项目建设过程中和建设完成后对村民生活产生的影响等</w:t>
      </w:r>
      <w:r>
        <w:rPr>
          <w:rFonts w:ascii="Times New Roman" w:hAnsi="Times New Roman" w:cs="Times New Roman"/>
        </w:rPr>
        <w:t>。</w:t>
      </w:r>
    </w:p>
    <w:p>
      <w:pPr>
        <w:pStyle w:val="6"/>
        <w:bidi w:val="0"/>
        <w:rPr>
          <w:rFonts w:hint="default"/>
          <w:lang w:val="en-US" w:eastAsia="zh-CN"/>
        </w:rPr>
      </w:pPr>
      <w:r>
        <w:rPr>
          <w:rFonts w:hint="eastAsia"/>
          <w:lang w:val="en-US" w:eastAsia="zh-CN"/>
        </w:rPr>
        <w:t>3.报告撰写阶段</w:t>
      </w:r>
    </w:p>
    <w:p>
      <w:pPr>
        <w:ind w:firstLine="640" w:firstLineChars="200"/>
        <w:rPr>
          <w:rFonts w:hint="default"/>
          <w:lang w:val="en-US" w:eastAsia="zh-CN"/>
        </w:rPr>
      </w:pPr>
      <w:r>
        <w:rPr>
          <w:rFonts w:hint="eastAsia"/>
          <w:lang w:val="en-US" w:eastAsia="zh-CN"/>
        </w:rPr>
        <w:t>评价组按照规定要求和文本格式撰写评价报告，全面阐述评价项目的基本情况，对照评价指标体系，客观分析绩效目标实现程度，对项目的决策、过程管理、产出效益等作出具体分析和评价，确保数据准确、内容完整、案例详实、依据充分、分析透彻、结论无误，所提建议应具有针对性、可行性和应用性。</w:t>
      </w:r>
    </w:p>
    <w:p>
      <w:pPr>
        <w:rPr>
          <w:rFonts w:hint="default"/>
          <w:lang w:val="en-US" w:eastAsia="zh-CN"/>
        </w:rPr>
      </w:pPr>
      <w:r>
        <w:rPr>
          <w:rFonts w:hint="eastAsia"/>
          <w:lang w:val="en-US" w:eastAsia="zh-CN"/>
        </w:rPr>
        <w:t xml:space="preserve">    评价报告初稿撰写完成后，公司内部进行质控修改，然后报送委托方征求意见，根据意见修改完善形成终稿。</w:t>
      </w:r>
    </w:p>
    <w:p>
      <w:pPr>
        <w:pStyle w:val="7"/>
        <w:bidi w:val="0"/>
        <w:rPr>
          <w:rFonts w:hint="default"/>
          <w:lang w:val="en-US" w:eastAsia="zh-CN"/>
        </w:rPr>
      </w:pPr>
      <w:r>
        <w:rPr>
          <w:rFonts w:hint="eastAsia"/>
          <w:lang w:val="en-US" w:eastAsia="zh-CN"/>
        </w:rPr>
        <w:t>4.归集档案阶段</w:t>
      </w:r>
    </w:p>
    <w:p>
      <w:pPr>
        <w:ind w:firstLine="640" w:firstLineChars="200"/>
        <w:rPr>
          <w:rFonts w:hint="default"/>
          <w:lang w:val="en-US" w:eastAsia="zh-CN"/>
        </w:rPr>
      </w:pPr>
      <w:r>
        <w:rPr>
          <w:rFonts w:hint="eastAsia"/>
          <w:lang w:val="en-US" w:eastAsia="zh-CN"/>
        </w:rPr>
        <w:t>评价组严格执行绩效评价档案管理制度，对项目相关资料进行归集存档，主要存档资料包括但不限于以下：评价项目基本情况和相关文件、委托方评价协议（合同）、基础数据表、评价工作底稿及附件、访谈资料、现场踏勘资料、调查问卷、调查问卷统计结果、绩效评价指标体系及得分表、绩效评价报告等。</w:t>
      </w:r>
    </w:p>
    <w:p>
      <w:pPr>
        <w:pStyle w:val="4"/>
        <w:bidi w:val="0"/>
        <w:rPr>
          <w:rFonts w:hint="default"/>
          <w:lang w:val="en-US" w:eastAsia="zh-CN"/>
        </w:rPr>
      </w:pPr>
      <w:bookmarkStart w:id="8" w:name="_Toc28526"/>
      <w:r>
        <w:rPr>
          <w:rFonts w:hint="eastAsia"/>
          <w:lang w:val="en-US" w:eastAsia="zh-CN"/>
        </w:rPr>
        <w:t>三、综合评价情况及评价结论</w:t>
      </w:r>
      <w:bookmarkEnd w:id="8"/>
    </w:p>
    <w:p>
      <w:pPr>
        <w:pStyle w:val="5"/>
        <w:bidi w:val="0"/>
        <w:rPr>
          <w:rFonts w:hint="default"/>
          <w:lang w:val="en-US" w:eastAsia="zh-CN"/>
        </w:rPr>
      </w:pPr>
      <w:bookmarkStart w:id="9" w:name="_Toc4661"/>
      <w:r>
        <w:rPr>
          <w:rFonts w:hint="eastAsia"/>
          <w:lang w:val="en-US" w:eastAsia="zh-CN"/>
        </w:rPr>
        <w:t>（一）总评价得分及评价等级</w:t>
      </w:r>
      <w:bookmarkEnd w:id="9"/>
    </w:p>
    <w:p>
      <w:pPr>
        <w:numPr>
          <w:ilvl w:val="0"/>
          <w:numId w:val="0"/>
        </w:numPr>
        <w:ind w:firstLine="640" w:firstLineChars="200"/>
        <w:rPr>
          <w:rFonts w:hint="eastAsia"/>
          <w:lang w:val="en-US" w:eastAsia="zh-CN"/>
        </w:rPr>
      </w:pPr>
      <w:r>
        <w:rPr>
          <w:rFonts w:hint="eastAsia"/>
          <w:lang w:val="en-US" w:eastAsia="zh-CN"/>
        </w:rPr>
        <w:t>经综合评价，</w:t>
      </w:r>
      <w:r>
        <w:rPr>
          <w:rFonts w:hint="eastAsia"/>
          <w:lang w:eastAsia="zh-CN"/>
        </w:rPr>
        <w:t>东史端镇南胡渠村道路改造工程</w:t>
      </w:r>
      <w:r>
        <w:rPr>
          <w:rFonts w:hint="eastAsia"/>
          <w:lang w:val="en-US" w:eastAsia="zh-CN"/>
        </w:rPr>
        <w:t>绩效评价综合得分97.90分，评价等级为“优”，项目绩效评价得分情况如下表所示</w:t>
      </w:r>
    </w:p>
    <w:p>
      <w:pPr>
        <w:numPr>
          <w:ilvl w:val="0"/>
          <w:numId w:val="0"/>
        </w:numPr>
        <w:jc w:val="center"/>
        <w:rPr>
          <w:rFonts w:hint="default" w:eastAsia="仿宋_GB2312"/>
          <w:b/>
          <w:bCs/>
          <w:lang w:val="en-US" w:eastAsia="zh-CN"/>
        </w:rPr>
      </w:pPr>
      <w:r>
        <w:rPr>
          <w:rFonts w:hint="eastAsia"/>
          <w:b/>
          <w:bCs/>
          <w:lang w:val="en-US" w:eastAsia="zh-CN"/>
        </w:rPr>
        <w:t>表3 综合评价得分表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CFCECE" w:themeFill="background2" w:themeFillShade="E5"/>
            <w:vAlign w:val="center"/>
          </w:tcPr>
          <w:p>
            <w:pPr>
              <w:numPr>
                <w:ilvl w:val="0"/>
                <w:numId w:val="0"/>
              </w:numPr>
              <w:jc w:val="center"/>
              <w:rPr>
                <w:rFonts w:hint="default"/>
                <w:b/>
                <w:bCs/>
                <w:vertAlign w:val="baseline"/>
                <w:lang w:val="en-US" w:eastAsia="zh-CN"/>
              </w:rPr>
            </w:pPr>
            <w:r>
              <w:rPr>
                <w:rFonts w:hint="eastAsia"/>
                <w:b/>
                <w:bCs/>
                <w:vertAlign w:val="baseline"/>
                <w:lang w:val="en-US" w:eastAsia="zh-CN"/>
              </w:rPr>
              <w:t>评价内容</w:t>
            </w:r>
          </w:p>
        </w:tc>
        <w:tc>
          <w:tcPr>
            <w:tcW w:w="2130" w:type="dxa"/>
            <w:shd w:val="clear" w:color="auto" w:fill="CFCECE" w:themeFill="background2" w:themeFillShade="E5"/>
            <w:vAlign w:val="center"/>
          </w:tcPr>
          <w:p>
            <w:pPr>
              <w:numPr>
                <w:ilvl w:val="0"/>
                <w:numId w:val="0"/>
              </w:numPr>
              <w:jc w:val="center"/>
              <w:rPr>
                <w:rFonts w:hint="default"/>
                <w:b/>
                <w:bCs/>
                <w:vertAlign w:val="baseline"/>
                <w:lang w:val="en-US" w:eastAsia="zh-CN"/>
              </w:rPr>
            </w:pPr>
            <w:r>
              <w:rPr>
                <w:rFonts w:hint="eastAsia"/>
                <w:b/>
                <w:bCs/>
                <w:vertAlign w:val="baseline"/>
                <w:lang w:val="en-US" w:eastAsia="zh-CN"/>
              </w:rPr>
              <w:t>标准分值</w:t>
            </w:r>
          </w:p>
        </w:tc>
        <w:tc>
          <w:tcPr>
            <w:tcW w:w="2131" w:type="dxa"/>
            <w:shd w:val="clear" w:color="auto" w:fill="CFCECE" w:themeFill="background2" w:themeFillShade="E5"/>
            <w:vAlign w:val="center"/>
          </w:tcPr>
          <w:p>
            <w:pPr>
              <w:numPr>
                <w:ilvl w:val="0"/>
                <w:numId w:val="0"/>
              </w:numPr>
              <w:jc w:val="center"/>
              <w:rPr>
                <w:rFonts w:hint="default"/>
                <w:b/>
                <w:bCs/>
                <w:vertAlign w:val="baseline"/>
                <w:lang w:val="en-US" w:eastAsia="zh-CN"/>
              </w:rPr>
            </w:pPr>
            <w:r>
              <w:rPr>
                <w:rFonts w:hint="eastAsia"/>
                <w:b/>
                <w:bCs/>
                <w:vertAlign w:val="baseline"/>
                <w:lang w:val="en-US" w:eastAsia="zh-CN"/>
              </w:rPr>
              <w:t>评价得分</w:t>
            </w:r>
          </w:p>
        </w:tc>
        <w:tc>
          <w:tcPr>
            <w:tcW w:w="2131" w:type="dxa"/>
            <w:shd w:val="clear" w:color="auto" w:fill="CFCECE" w:themeFill="background2" w:themeFillShade="E5"/>
            <w:vAlign w:val="center"/>
          </w:tcPr>
          <w:p>
            <w:pPr>
              <w:numPr>
                <w:ilvl w:val="0"/>
                <w:numId w:val="0"/>
              </w:numPr>
              <w:jc w:val="center"/>
              <w:rPr>
                <w:rFonts w:hint="default"/>
                <w:b/>
                <w:bCs/>
                <w:vertAlign w:val="baseline"/>
                <w:lang w:val="en-US" w:eastAsia="zh-CN"/>
              </w:rPr>
            </w:pPr>
            <w:r>
              <w:rPr>
                <w:rFonts w:hint="eastAsia"/>
                <w:b/>
                <w:bCs/>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决策</w:t>
            </w:r>
          </w:p>
        </w:tc>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15</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14.70</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过程</w:t>
            </w:r>
          </w:p>
        </w:tc>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25</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25</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产出</w:t>
            </w:r>
          </w:p>
        </w:tc>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35</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33.20</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94.86%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效益</w:t>
            </w:r>
          </w:p>
        </w:tc>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25</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25</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综合得分</w:t>
            </w:r>
          </w:p>
        </w:tc>
        <w:tc>
          <w:tcPr>
            <w:tcW w:w="2130"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100</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97.90</w:t>
            </w:r>
          </w:p>
        </w:tc>
        <w:tc>
          <w:tcPr>
            <w:tcW w:w="2131" w:type="dxa"/>
            <w:vAlign w:val="center"/>
          </w:tcPr>
          <w:p>
            <w:pPr>
              <w:numPr>
                <w:ilvl w:val="0"/>
                <w:numId w:val="0"/>
              </w:numPr>
              <w:jc w:val="center"/>
              <w:rPr>
                <w:rFonts w:hint="default"/>
                <w:sz w:val="30"/>
                <w:szCs w:val="30"/>
                <w:vertAlign w:val="baseline"/>
                <w:lang w:val="en-US" w:eastAsia="zh-CN"/>
              </w:rPr>
            </w:pPr>
            <w:r>
              <w:rPr>
                <w:rFonts w:hint="eastAsia"/>
                <w:sz w:val="30"/>
                <w:szCs w:val="30"/>
                <w:vertAlign w:val="baseline"/>
                <w:lang w:val="en-US" w:eastAsia="zh-CN"/>
              </w:rPr>
              <w:t>97.90%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numPr>
                <w:ilvl w:val="0"/>
                <w:numId w:val="0"/>
              </w:numPr>
              <w:jc w:val="center"/>
              <w:rPr>
                <w:rFonts w:hint="default"/>
                <w:b/>
                <w:bCs/>
                <w:sz w:val="30"/>
                <w:szCs w:val="30"/>
                <w:vertAlign w:val="baseline"/>
                <w:lang w:val="en-US" w:eastAsia="zh-CN"/>
              </w:rPr>
            </w:pPr>
            <w:r>
              <w:rPr>
                <w:rFonts w:hint="eastAsia"/>
                <w:b/>
                <w:bCs/>
                <w:sz w:val="30"/>
                <w:szCs w:val="30"/>
                <w:vertAlign w:val="baseline"/>
                <w:lang w:val="en-US" w:eastAsia="zh-CN"/>
              </w:rPr>
              <w:t>评价等级</w:t>
            </w:r>
          </w:p>
        </w:tc>
        <w:tc>
          <w:tcPr>
            <w:tcW w:w="6392" w:type="dxa"/>
            <w:gridSpan w:val="3"/>
            <w:vAlign w:val="center"/>
          </w:tcPr>
          <w:p>
            <w:pPr>
              <w:numPr>
                <w:ilvl w:val="0"/>
                <w:numId w:val="0"/>
              </w:numPr>
              <w:jc w:val="center"/>
              <w:rPr>
                <w:rFonts w:hint="default"/>
                <w:b/>
                <w:bCs/>
                <w:sz w:val="30"/>
                <w:szCs w:val="30"/>
                <w:vertAlign w:val="baseline"/>
                <w:lang w:val="en-US" w:eastAsia="zh-CN"/>
              </w:rPr>
            </w:pPr>
            <w:r>
              <w:rPr>
                <w:rFonts w:hint="eastAsia"/>
                <w:b/>
                <w:bCs/>
                <w:sz w:val="30"/>
                <w:szCs w:val="30"/>
                <w:vertAlign w:val="baseline"/>
                <w:lang w:val="en-US" w:eastAsia="zh-CN"/>
              </w:rPr>
              <w:t>优</w:t>
            </w:r>
          </w:p>
        </w:tc>
      </w:tr>
    </w:tbl>
    <w:p>
      <w:pPr>
        <w:pStyle w:val="5"/>
        <w:bidi w:val="0"/>
        <w:rPr>
          <w:rFonts w:hint="default"/>
          <w:lang w:val="en-US" w:eastAsia="zh-CN"/>
        </w:rPr>
      </w:pPr>
      <w:bookmarkStart w:id="10" w:name="_Toc6668"/>
      <w:r>
        <w:rPr>
          <w:rFonts w:hint="eastAsia"/>
          <w:lang w:val="en-US" w:eastAsia="zh-CN"/>
        </w:rPr>
        <w:t>（二）评价结论</w:t>
      </w:r>
      <w:bookmarkEnd w:id="10"/>
    </w:p>
    <w:p>
      <w:pPr>
        <w:numPr>
          <w:ilvl w:val="0"/>
          <w:numId w:val="0"/>
        </w:numPr>
        <w:ind w:firstLine="640" w:firstLineChars="200"/>
        <w:rPr>
          <w:rFonts w:hint="default"/>
          <w:lang w:val="en-US" w:eastAsia="zh-CN"/>
        </w:rPr>
      </w:pPr>
      <w:r>
        <w:rPr>
          <w:rFonts w:hint="eastAsia"/>
          <w:lang w:val="en-US" w:eastAsia="zh-CN"/>
        </w:rPr>
        <w:t>评价认为，项目符合财政部《革命老区转移支付资金管理办法》（财预</w:t>
      </w:r>
      <w:r>
        <w:rPr>
          <w:rFonts w:hint="eastAsia"/>
        </w:rPr>
        <w:t>〔20</w:t>
      </w:r>
      <w:r>
        <w:rPr>
          <w:rFonts w:hint="eastAsia"/>
          <w:lang w:val="en-US" w:eastAsia="zh-CN"/>
        </w:rPr>
        <w:t>19</w:t>
      </w:r>
      <w:r>
        <w:rPr>
          <w:rFonts w:hint="eastAsia"/>
        </w:rPr>
        <w:t>〕</w:t>
      </w:r>
      <w:r>
        <w:rPr>
          <w:rFonts w:hint="eastAsia"/>
          <w:lang w:val="en-US" w:eastAsia="zh-CN"/>
        </w:rPr>
        <w:t>61</w:t>
      </w:r>
      <w:r>
        <w:rPr>
          <w:rFonts w:hint="eastAsia"/>
        </w:rPr>
        <w:t>号</w:t>
      </w:r>
      <w:r>
        <w:rPr>
          <w:rFonts w:hint="eastAsia"/>
          <w:lang w:val="en-US" w:eastAsia="zh-CN"/>
        </w:rPr>
        <w:t>）、河北省财政厅《河北省革命老区转移支付资金管理办法》（冀财预</w:t>
      </w:r>
      <w:r>
        <w:rPr>
          <w:rFonts w:hint="eastAsia"/>
        </w:rPr>
        <w:t>〔20</w:t>
      </w:r>
      <w:r>
        <w:rPr>
          <w:rFonts w:hint="eastAsia"/>
          <w:lang w:val="en-US" w:eastAsia="zh-CN"/>
        </w:rPr>
        <w:t>19</w:t>
      </w:r>
      <w:r>
        <w:rPr>
          <w:rFonts w:hint="eastAsia"/>
        </w:rPr>
        <w:t>〕</w:t>
      </w:r>
      <w:r>
        <w:rPr>
          <w:rFonts w:hint="eastAsia"/>
          <w:lang w:val="en-US" w:eastAsia="zh-CN"/>
        </w:rPr>
        <w:t>59</w:t>
      </w:r>
      <w:r>
        <w:rPr>
          <w:rFonts w:hint="eastAsia"/>
        </w:rPr>
        <w:t>号</w:t>
      </w:r>
      <w:r>
        <w:rPr>
          <w:rFonts w:hint="eastAsia"/>
          <w:lang w:val="en-US" w:eastAsia="zh-CN"/>
        </w:rPr>
        <w:t>）等文件的精神，起到支持革命老区改善和保障民生，促进革命老区社会事业发展的作用。通过项目实施，改善了南胡渠村道路出行条件，原来困扰村民的路面破损、坑洼不平和雨天积水问题得到解决提升，同时通过本项目建设也提升了南胡渠村的村容村貌，村民的满意度也较高。但在项目立项论证充分性、项目产出工程量准确性方面还有待进一步改善。</w:t>
      </w:r>
    </w:p>
    <w:p>
      <w:pPr>
        <w:pStyle w:val="4"/>
        <w:bidi w:val="0"/>
        <w:rPr>
          <w:rFonts w:hint="default"/>
          <w:lang w:val="en-US" w:eastAsia="zh-CN"/>
        </w:rPr>
      </w:pPr>
      <w:bookmarkStart w:id="11" w:name="_Toc20404"/>
      <w:r>
        <w:rPr>
          <w:rFonts w:hint="eastAsia"/>
          <w:lang w:val="en-US" w:eastAsia="zh-CN"/>
        </w:rPr>
        <w:t>四、绩效评价指标分析</w:t>
      </w:r>
      <w:bookmarkEnd w:id="11"/>
    </w:p>
    <w:p>
      <w:pPr>
        <w:pStyle w:val="5"/>
        <w:bidi w:val="0"/>
        <w:rPr>
          <w:rFonts w:hint="default"/>
          <w:lang w:val="en-US" w:eastAsia="zh-CN"/>
        </w:rPr>
      </w:pPr>
      <w:bookmarkStart w:id="12" w:name="_Toc11813"/>
      <w:r>
        <w:rPr>
          <w:rFonts w:hint="eastAsia"/>
          <w:lang w:val="en-US" w:eastAsia="zh-CN"/>
        </w:rPr>
        <w:t>（一）项目决策情况</w:t>
      </w:r>
      <w:bookmarkEnd w:id="12"/>
    </w:p>
    <w:p>
      <w:pPr>
        <w:numPr>
          <w:ilvl w:val="0"/>
          <w:numId w:val="0"/>
        </w:numPr>
        <w:rPr>
          <w:rFonts w:hint="default"/>
          <w:lang w:val="en-US" w:eastAsia="zh-CN"/>
        </w:rPr>
      </w:pPr>
      <w:r>
        <w:rPr>
          <w:rFonts w:hint="eastAsia"/>
          <w:lang w:val="en-US" w:eastAsia="zh-CN"/>
        </w:rPr>
        <w:t xml:space="preserve">    项目决策部分主要从项目立项、绩效目标、资金投入三个方面进行评价。各指标得分如下表所示：</w:t>
      </w:r>
    </w:p>
    <w:p>
      <w:pPr>
        <w:numPr>
          <w:ilvl w:val="0"/>
          <w:numId w:val="0"/>
        </w:numPr>
        <w:jc w:val="center"/>
        <w:rPr>
          <w:rFonts w:hint="default"/>
          <w:b/>
          <w:bCs/>
          <w:lang w:val="en-US" w:eastAsia="zh-CN"/>
        </w:rPr>
      </w:pPr>
      <w:r>
        <w:rPr>
          <w:rFonts w:hint="eastAsia"/>
          <w:b/>
          <w:bCs/>
          <w:lang w:val="en-US" w:eastAsia="zh-CN"/>
        </w:rPr>
        <w:t>表4 项目决策情况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675"/>
        <w:gridCol w:w="2587"/>
        <w:gridCol w:w="825"/>
        <w:gridCol w:w="9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一级指标及分值</w:t>
            </w:r>
          </w:p>
        </w:tc>
        <w:tc>
          <w:tcPr>
            <w:tcW w:w="167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二级指标及分值</w:t>
            </w:r>
          </w:p>
        </w:tc>
        <w:tc>
          <w:tcPr>
            <w:tcW w:w="2587"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三级指标及分值</w:t>
            </w:r>
          </w:p>
        </w:tc>
        <w:tc>
          <w:tcPr>
            <w:tcW w:w="82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分值</w:t>
            </w:r>
          </w:p>
        </w:tc>
        <w:tc>
          <w:tcPr>
            <w:tcW w:w="900"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w:t>
            </w:r>
          </w:p>
        </w:tc>
        <w:tc>
          <w:tcPr>
            <w:tcW w:w="111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20" w:type="dxa"/>
            <w:vMerge w:val="restart"/>
            <w:vAlign w:val="center"/>
          </w:tcPr>
          <w:p>
            <w:pPr>
              <w:numPr>
                <w:ilvl w:val="0"/>
                <w:numId w:val="0"/>
              </w:numPr>
              <w:jc w:val="center"/>
              <w:rPr>
                <w:rFonts w:hint="eastAsia"/>
                <w:sz w:val="24"/>
                <w:szCs w:val="24"/>
                <w:lang w:val="en-US" w:eastAsia="zh-CN"/>
              </w:rPr>
            </w:pPr>
            <w:r>
              <w:rPr>
                <w:rFonts w:hint="eastAsia"/>
                <w:sz w:val="24"/>
                <w:szCs w:val="24"/>
                <w:lang w:val="en-US" w:eastAsia="zh-CN"/>
              </w:rPr>
              <w:t>决策</w:t>
            </w:r>
          </w:p>
          <w:p>
            <w:pPr>
              <w:pStyle w:val="2"/>
              <w:ind w:left="0" w:leftChars="0" w:firstLine="0" w:firstLineChars="0"/>
              <w:jc w:val="center"/>
              <w:rPr>
                <w:rFonts w:hint="default"/>
                <w:sz w:val="24"/>
                <w:szCs w:val="24"/>
                <w:lang w:val="en-US" w:eastAsia="zh-CN"/>
              </w:rPr>
            </w:pPr>
            <w:r>
              <w:rPr>
                <w:rFonts w:hint="eastAsia"/>
                <w:sz w:val="24"/>
                <w:szCs w:val="24"/>
                <w:vertAlign w:val="baseline"/>
                <w:lang w:val="en-US" w:eastAsia="zh-CN"/>
              </w:rPr>
              <w:t>（15）</w:t>
            </w:r>
          </w:p>
        </w:tc>
        <w:tc>
          <w:tcPr>
            <w:tcW w:w="1675" w:type="dxa"/>
            <w:vMerge w:val="restart"/>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项目立项</w:t>
            </w:r>
          </w:p>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258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立项依据充分性</w:t>
            </w:r>
            <w:r>
              <w:rPr>
                <w:rFonts w:hint="default" w:ascii="Times New Roman" w:hAnsi="Times New Roman" w:eastAsia="仿宋_GB2312" w:cs="Times New Roman"/>
                <w:i w:val="0"/>
                <w:iCs w:val="0"/>
                <w:color w:val="000000"/>
                <w:kern w:val="0"/>
                <w:sz w:val="24"/>
                <w:szCs w:val="24"/>
                <w:u w:val="none"/>
                <w:lang w:val="en-US" w:eastAsia="zh-CN" w:bidi="ar"/>
              </w:rPr>
              <w:t>（3）</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3</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2.7</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20" w:type="dxa"/>
            <w:vMerge w:val="continue"/>
            <w:vAlign w:val="center"/>
          </w:tcPr>
          <w:p>
            <w:pPr>
              <w:numPr>
                <w:ilvl w:val="0"/>
                <w:numId w:val="0"/>
              </w:numPr>
              <w:jc w:val="center"/>
              <w:rPr>
                <w:rFonts w:hint="default"/>
                <w:sz w:val="24"/>
                <w:szCs w:val="24"/>
                <w:vertAlign w:val="baseline"/>
                <w:lang w:val="en-US" w:eastAsia="zh-CN"/>
              </w:rPr>
            </w:pPr>
          </w:p>
        </w:tc>
        <w:tc>
          <w:tcPr>
            <w:tcW w:w="1675" w:type="dxa"/>
            <w:vMerge w:val="continue"/>
            <w:vAlign w:val="center"/>
          </w:tcPr>
          <w:p>
            <w:pPr>
              <w:jc w:val="center"/>
              <w:rPr>
                <w:rFonts w:hint="default" w:ascii="Times New Roman" w:hAnsi="Times New Roman" w:eastAsia="仿宋_GB2312" w:cs="Times New Roman"/>
                <w:sz w:val="24"/>
                <w:szCs w:val="24"/>
                <w:lang w:val="en-US" w:eastAsia="zh-CN"/>
              </w:rPr>
            </w:pPr>
          </w:p>
        </w:tc>
        <w:tc>
          <w:tcPr>
            <w:tcW w:w="258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立项程序规范性</w:t>
            </w:r>
            <w:r>
              <w:rPr>
                <w:rFonts w:hint="default" w:ascii="Times New Roman" w:hAnsi="Times New Roman" w:eastAsia="仿宋_GB2312" w:cs="Times New Roman"/>
                <w:i w:val="0"/>
                <w:iCs w:val="0"/>
                <w:color w:val="000000"/>
                <w:kern w:val="0"/>
                <w:sz w:val="24"/>
                <w:szCs w:val="24"/>
                <w:u w:val="none"/>
                <w:lang w:val="en-US" w:eastAsia="zh-CN" w:bidi="ar"/>
              </w:rPr>
              <w:t>（2）</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20" w:type="dxa"/>
            <w:vMerge w:val="continue"/>
            <w:vAlign w:val="center"/>
          </w:tcPr>
          <w:p>
            <w:pPr>
              <w:numPr>
                <w:ilvl w:val="0"/>
                <w:numId w:val="0"/>
              </w:numPr>
              <w:jc w:val="center"/>
              <w:rPr>
                <w:rFonts w:hint="default"/>
                <w:sz w:val="24"/>
                <w:szCs w:val="24"/>
                <w:vertAlign w:val="baseline"/>
                <w:lang w:val="en-US" w:eastAsia="zh-CN"/>
              </w:rPr>
            </w:pPr>
          </w:p>
        </w:tc>
        <w:tc>
          <w:tcPr>
            <w:tcW w:w="1675" w:type="dxa"/>
            <w:vMerge w:val="restart"/>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绩效目标</w:t>
            </w:r>
          </w:p>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258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绩效目标合理性</w:t>
            </w:r>
            <w:r>
              <w:rPr>
                <w:rFonts w:hint="default" w:ascii="Times New Roman" w:hAnsi="Times New Roman" w:eastAsia="仿宋_GB2312" w:cs="Times New Roman"/>
                <w:i w:val="0"/>
                <w:iCs w:val="0"/>
                <w:color w:val="000000"/>
                <w:kern w:val="0"/>
                <w:sz w:val="24"/>
                <w:szCs w:val="24"/>
                <w:u w:val="none"/>
                <w:lang w:val="en-US" w:eastAsia="zh-CN" w:bidi="ar"/>
              </w:rPr>
              <w:t>（3）</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3</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3</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20" w:type="dxa"/>
            <w:vMerge w:val="continue"/>
            <w:vAlign w:val="center"/>
          </w:tcPr>
          <w:p>
            <w:pPr>
              <w:numPr>
                <w:ilvl w:val="0"/>
                <w:numId w:val="0"/>
              </w:numPr>
              <w:jc w:val="center"/>
              <w:rPr>
                <w:rFonts w:hint="default"/>
                <w:sz w:val="24"/>
                <w:szCs w:val="24"/>
                <w:vertAlign w:val="baseline"/>
                <w:lang w:val="en-US" w:eastAsia="zh-CN"/>
              </w:rPr>
            </w:pPr>
          </w:p>
        </w:tc>
        <w:tc>
          <w:tcPr>
            <w:tcW w:w="1675" w:type="dxa"/>
            <w:vMerge w:val="continue"/>
            <w:vAlign w:val="center"/>
          </w:tcPr>
          <w:p>
            <w:pPr>
              <w:jc w:val="center"/>
              <w:rPr>
                <w:rFonts w:hint="default" w:ascii="Times New Roman" w:hAnsi="Times New Roman" w:eastAsia="仿宋_GB2312" w:cs="Times New Roman"/>
                <w:sz w:val="24"/>
                <w:szCs w:val="24"/>
                <w:lang w:val="en-US" w:eastAsia="zh-CN"/>
              </w:rPr>
            </w:pPr>
          </w:p>
        </w:tc>
        <w:tc>
          <w:tcPr>
            <w:tcW w:w="258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绩效指标明确性（3）</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3</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3</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20" w:type="dxa"/>
            <w:vMerge w:val="continue"/>
            <w:vAlign w:val="center"/>
          </w:tcPr>
          <w:p>
            <w:pPr>
              <w:numPr>
                <w:ilvl w:val="0"/>
                <w:numId w:val="0"/>
              </w:numPr>
              <w:jc w:val="center"/>
              <w:rPr>
                <w:rFonts w:hint="default"/>
                <w:sz w:val="24"/>
                <w:szCs w:val="24"/>
                <w:vertAlign w:val="baseline"/>
                <w:lang w:val="en-US" w:eastAsia="zh-CN"/>
              </w:rPr>
            </w:pPr>
          </w:p>
        </w:tc>
        <w:tc>
          <w:tcPr>
            <w:tcW w:w="1675" w:type="dxa"/>
            <w:vMerge w:val="restart"/>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资金投入</w:t>
            </w:r>
          </w:p>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258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预算编制</w:t>
            </w:r>
            <w:r>
              <w:rPr>
                <w:rFonts w:hint="eastAsia" w:cs="Times New Roman"/>
                <w:i w:val="0"/>
                <w:iCs w:val="0"/>
                <w:color w:val="000000"/>
                <w:kern w:val="0"/>
                <w:sz w:val="24"/>
                <w:szCs w:val="24"/>
                <w:u w:val="none"/>
                <w:lang w:val="en-US" w:eastAsia="zh-CN" w:bidi="ar"/>
              </w:rPr>
              <w:t>科学</w:t>
            </w:r>
            <w:r>
              <w:rPr>
                <w:rFonts w:hint="default" w:ascii="Times New Roman" w:hAnsi="Times New Roman" w:eastAsia="仿宋_GB2312" w:cs="Times New Roman"/>
                <w:i w:val="0"/>
                <w:iCs w:val="0"/>
                <w:color w:val="000000"/>
                <w:kern w:val="0"/>
                <w:sz w:val="24"/>
                <w:szCs w:val="24"/>
                <w:u w:val="none"/>
                <w:lang w:val="en-US" w:eastAsia="zh-CN" w:bidi="ar"/>
              </w:rPr>
              <w:t>性（2）</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20" w:type="dxa"/>
            <w:vMerge w:val="continue"/>
            <w:vAlign w:val="center"/>
          </w:tcPr>
          <w:p>
            <w:pPr>
              <w:numPr>
                <w:ilvl w:val="0"/>
                <w:numId w:val="0"/>
              </w:numPr>
              <w:jc w:val="both"/>
              <w:rPr>
                <w:rFonts w:hint="default"/>
                <w:sz w:val="24"/>
                <w:szCs w:val="24"/>
                <w:vertAlign w:val="baseline"/>
                <w:lang w:val="en-US" w:eastAsia="zh-CN"/>
              </w:rPr>
            </w:pPr>
          </w:p>
        </w:tc>
        <w:tc>
          <w:tcPr>
            <w:tcW w:w="1675" w:type="dxa"/>
            <w:vMerge w:val="continue"/>
            <w:vAlign w:val="center"/>
          </w:tcPr>
          <w:p>
            <w:pPr>
              <w:numPr>
                <w:ilvl w:val="0"/>
                <w:numId w:val="0"/>
              </w:numPr>
              <w:jc w:val="both"/>
              <w:rPr>
                <w:rFonts w:hint="default"/>
                <w:sz w:val="24"/>
                <w:szCs w:val="24"/>
                <w:vertAlign w:val="baseline"/>
                <w:lang w:val="en-US" w:eastAsia="zh-CN"/>
              </w:rPr>
            </w:pPr>
          </w:p>
        </w:tc>
        <w:tc>
          <w:tcPr>
            <w:tcW w:w="2587"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资金分配合理性（2）</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2</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bl>
    <w:p>
      <w:pPr>
        <w:pStyle w:val="6"/>
        <w:bidi w:val="0"/>
        <w:rPr>
          <w:rFonts w:hint="eastAsia"/>
          <w:lang w:val="en-US" w:eastAsia="zh-CN"/>
        </w:rPr>
      </w:pPr>
      <w:r>
        <w:rPr>
          <w:rFonts w:hint="eastAsia"/>
          <w:lang w:val="en-US" w:eastAsia="zh-CN"/>
        </w:rPr>
        <w:t>1.项目立项</w:t>
      </w:r>
    </w:p>
    <w:p>
      <w:pPr>
        <w:ind w:firstLine="640" w:firstLineChars="200"/>
        <w:rPr>
          <w:rFonts w:hint="eastAsia"/>
          <w:lang w:val="en-US" w:eastAsia="zh-CN"/>
        </w:rPr>
      </w:pPr>
      <w:r>
        <w:rPr>
          <w:rFonts w:hint="eastAsia"/>
          <w:lang w:val="en-US" w:eastAsia="zh-CN"/>
        </w:rPr>
        <w:t>项目立项指标分值5分，得分4.7分，得分率94%。</w:t>
      </w:r>
    </w:p>
    <w:p>
      <w:pPr>
        <w:pStyle w:val="7"/>
        <w:bidi w:val="0"/>
        <w:rPr>
          <w:rFonts w:hint="eastAsia"/>
          <w:lang w:val="en-US" w:eastAsia="zh-CN"/>
        </w:rPr>
      </w:pPr>
      <w:r>
        <w:rPr>
          <w:rFonts w:hint="eastAsia"/>
          <w:lang w:val="en-US" w:eastAsia="zh-CN"/>
        </w:rPr>
        <w:t>（1）立项依据充分性（3分）</w:t>
      </w:r>
    </w:p>
    <w:p>
      <w:pPr>
        <w:ind w:firstLine="640" w:firstLineChars="200"/>
        <w:rPr>
          <w:rFonts w:hint="default"/>
          <w:lang w:val="en-US" w:eastAsia="zh-CN"/>
        </w:rPr>
      </w:pPr>
      <w:r>
        <w:rPr>
          <w:rFonts w:hint="eastAsia"/>
          <w:lang w:val="en-US" w:eastAsia="zh-CN"/>
        </w:rPr>
        <w:t>该项目立项符合相关法律法规及东史端镇人民政府的部门职责，根据河北省财政厅《河北省革命老区转移支付资金管理办法》（冀财预</w:t>
      </w:r>
      <w:r>
        <w:rPr>
          <w:rFonts w:hint="eastAsia"/>
        </w:rPr>
        <w:t>〔20</w:t>
      </w:r>
      <w:r>
        <w:rPr>
          <w:rFonts w:hint="eastAsia"/>
          <w:lang w:val="en-US" w:eastAsia="zh-CN"/>
        </w:rPr>
        <w:t>19</w:t>
      </w:r>
      <w:r>
        <w:rPr>
          <w:rFonts w:hint="eastAsia"/>
        </w:rPr>
        <w:t>〕</w:t>
      </w:r>
      <w:r>
        <w:rPr>
          <w:rFonts w:hint="eastAsia"/>
          <w:lang w:val="en-US" w:eastAsia="zh-CN"/>
        </w:rPr>
        <w:t>59</w:t>
      </w:r>
      <w:r>
        <w:rPr>
          <w:rFonts w:hint="eastAsia"/>
        </w:rPr>
        <w:t>号</w:t>
      </w:r>
      <w:r>
        <w:rPr>
          <w:rFonts w:hint="eastAsia"/>
          <w:lang w:val="en-US" w:eastAsia="zh-CN"/>
        </w:rPr>
        <w:t>）文件精神要求，资金使用范围为革命老区专门事务、革命老区民生事务，本项目虽是民生事务事项，但在项目立项阶段，不选择革命老区专门事务和其他民生事务没有论证说明，立项论证的充分性不足。根据评分标准，扣减10%权重分，得分2.7分。</w:t>
      </w:r>
    </w:p>
    <w:p>
      <w:pPr>
        <w:pStyle w:val="7"/>
        <w:bidi w:val="0"/>
        <w:rPr>
          <w:rFonts w:hint="default"/>
          <w:lang w:val="en-US" w:eastAsia="zh-CN"/>
        </w:rPr>
      </w:pPr>
      <w:r>
        <w:rPr>
          <w:rFonts w:hint="eastAsia"/>
          <w:lang w:val="en-US" w:eastAsia="zh-CN"/>
        </w:rPr>
        <w:t>（2）立项程序规范性（2分）</w:t>
      </w:r>
    </w:p>
    <w:p>
      <w:pPr>
        <w:ind w:firstLine="640" w:firstLineChars="200"/>
        <w:rPr>
          <w:rFonts w:hint="default"/>
          <w:lang w:val="en-US" w:eastAsia="zh-CN"/>
        </w:rPr>
      </w:pPr>
      <w:r>
        <w:rPr>
          <w:rFonts w:hint="eastAsia"/>
          <w:lang w:val="en-US" w:eastAsia="zh-CN"/>
        </w:rPr>
        <w:t>项目立项手续较齐全，立项程序符合相关规定和要求，项目事前进行了必要的可行性研究，根据评分标准，得分2分。</w:t>
      </w:r>
    </w:p>
    <w:p>
      <w:pPr>
        <w:pStyle w:val="6"/>
        <w:bidi w:val="0"/>
        <w:rPr>
          <w:rFonts w:hint="default"/>
          <w:lang w:val="en-US" w:eastAsia="zh-CN"/>
        </w:rPr>
      </w:pPr>
      <w:r>
        <w:rPr>
          <w:rFonts w:hint="eastAsia"/>
          <w:lang w:val="en-US" w:eastAsia="zh-CN"/>
        </w:rPr>
        <w:t>2.绩效目标</w:t>
      </w:r>
    </w:p>
    <w:p>
      <w:pPr>
        <w:ind w:firstLine="640" w:firstLineChars="200"/>
        <w:rPr>
          <w:rFonts w:hint="default"/>
          <w:lang w:val="en-US" w:eastAsia="zh-CN"/>
        </w:rPr>
      </w:pPr>
      <w:r>
        <w:rPr>
          <w:rFonts w:hint="eastAsia"/>
          <w:lang w:val="en-US" w:eastAsia="zh-CN"/>
        </w:rPr>
        <w:t>绩效目标分值6分，得分6分，得分率100%。</w:t>
      </w:r>
    </w:p>
    <w:p>
      <w:pPr>
        <w:pStyle w:val="7"/>
        <w:bidi w:val="0"/>
        <w:rPr>
          <w:rFonts w:hint="default"/>
          <w:lang w:val="en-US" w:eastAsia="zh-CN"/>
        </w:rPr>
      </w:pPr>
      <w:r>
        <w:rPr>
          <w:rFonts w:hint="eastAsia"/>
          <w:lang w:val="en-US" w:eastAsia="zh-CN"/>
        </w:rPr>
        <w:t>（1）绩效目标合理性（3分）</w:t>
      </w:r>
    </w:p>
    <w:p>
      <w:pPr>
        <w:ind w:firstLine="640" w:firstLineChars="200"/>
        <w:rPr>
          <w:rFonts w:hint="default"/>
          <w:lang w:val="en-US" w:eastAsia="zh-CN"/>
        </w:rPr>
      </w:pPr>
      <w:r>
        <w:rPr>
          <w:rFonts w:hint="eastAsia"/>
          <w:lang w:val="en-US" w:eastAsia="zh-CN"/>
        </w:rPr>
        <w:t>项目设置绩效目标，项目绩效目标与实际工作内容具有相关性。项目绩效目标设置清晰明确，项目绩效目标的设置涵盖具体工作内容，围绕预期要达到的产出和效益展开设置，。项目绩效目标具体、量化，能够直接判断项目预期产出效益和效果是否符合正常的业绩水平。根据评分标准，本项得3分。</w:t>
      </w:r>
    </w:p>
    <w:p>
      <w:pPr>
        <w:pStyle w:val="7"/>
        <w:bidi w:val="0"/>
        <w:rPr>
          <w:rFonts w:hint="default"/>
          <w:lang w:val="en-US" w:eastAsia="zh-CN"/>
        </w:rPr>
      </w:pPr>
      <w:r>
        <w:rPr>
          <w:rFonts w:hint="eastAsia"/>
          <w:lang w:val="en-US" w:eastAsia="zh-CN"/>
        </w:rPr>
        <w:t>（2）绩效指标明确性（3分）</w:t>
      </w:r>
    </w:p>
    <w:p>
      <w:pPr>
        <w:ind w:firstLine="640" w:firstLineChars="200"/>
        <w:rPr>
          <w:rFonts w:hint="default"/>
          <w:lang w:val="en-US" w:eastAsia="zh-CN"/>
        </w:rPr>
      </w:pPr>
      <w:r>
        <w:rPr>
          <w:rFonts w:hint="eastAsia"/>
          <w:lang w:val="en-US" w:eastAsia="zh-CN"/>
        </w:rPr>
        <w:t>项目绩效指标设置了具体量化数值，基本能对应绩效目标任务，已将项目目标细化分解为具体的绩效指标，设置产出指标（数量、质量、时效、成本）、效益（社会）与满意度指标。绩效指标设置清晰、可衡量的指标值，基本能对应绩效目标任务。根据评分标准，本项得3分。</w:t>
      </w:r>
    </w:p>
    <w:p>
      <w:pPr>
        <w:pStyle w:val="6"/>
        <w:bidi w:val="0"/>
        <w:rPr>
          <w:rFonts w:hint="default"/>
          <w:lang w:val="en-US" w:eastAsia="zh-CN"/>
        </w:rPr>
      </w:pPr>
      <w:r>
        <w:rPr>
          <w:rFonts w:hint="eastAsia"/>
          <w:lang w:val="en-US" w:eastAsia="zh-CN"/>
        </w:rPr>
        <w:t>3.资金投入</w:t>
      </w:r>
    </w:p>
    <w:p>
      <w:pPr>
        <w:ind w:firstLine="640" w:firstLineChars="200"/>
        <w:rPr>
          <w:rFonts w:hint="default"/>
          <w:lang w:val="en-US" w:eastAsia="zh-CN"/>
        </w:rPr>
      </w:pPr>
      <w:r>
        <w:rPr>
          <w:rFonts w:hint="eastAsia"/>
          <w:lang w:val="en-US" w:eastAsia="zh-CN"/>
        </w:rPr>
        <w:t>资金投入指标分值4分，得分4分，得分率100%。</w:t>
      </w:r>
    </w:p>
    <w:p>
      <w:pPr>
        <w:pStyle w:val="7"/>
        <w:bidi w:val="0"/>
        <w:rPr>
          <w:rFonts w:hint="default"/>
          <w:lang w:val="en-US" w:eastAsia="zh-CN"/>
        </w:rPr>
      </w:pPr>
      <w:r>
        <w:rPr>
          <w:rFonts w:hint="eastAsia"/>
          <w:lang w:val="en-US" w:eastAsia="zh-CN"/>
        </w:rPr>
        <w:t>（1）预算编制科学性（2分）</w:t>
      </w:r>
    </w:p>
    <w:p>
      <w:pPr>
        <w:ind w:firstLine="640" w:firstLineChars="200"/>
        <w:rPr>
          <w:rFonts w:hint="default"/>
          <w:lang w:val="en-US" w:eastAsia="zh-CN"/>
        </w:rPr>
      </w:pPr>
      <w:r>
        <w:rPr>
          <w:rFonts w:hint="eastAsia"/>
          <w:lang w:val="en-US" w:eastAsia="zh-CN"/>
        </w:rPr>
        <w:t>根据项目概算批复、招标控制价评审报告、工程概算书等资料，预算编制进过论证，预算内容与项目实际内容匹配，预算额度测算依据充分，按照标准编制，预算确定的项目投资额或资金量与年度工作任务相匹配。根据评分标准，本项得满分。</w:t>
      </w:r>
    </w:p>
    <w:p>
      <w:pPr>
        <w:pStyle w:val="7"/>
        <w:bidi w:val="0"/>
        <w:rPr>
          <w:rFonts w:hint="default"/>
          <w:lang w:val="en-US" w:eastAsia="zh-CN"/>
        </w:rPr>
      </w:pPr>
      <w:r>
        <w:rPr>
          <w:rFonts w:hint="eastAsia"/>
          <w:lang w:val="en-US" w:eastAsia="zh-CN"/>
        </w:rPr>
        <w:t>（2）资金分配合理性（2分）</w:t>
      </w:r>
    </w:p>
    <w:p>
      <w:pPr>
        <w:ind w:firstLine="640" w:firstLineChars="200"/>
        <w:rPr>
          <w:rFonts w:hint="default"/>
          <w:lang w:val="en-US" w:eastAsia="zh-CN"/>
        </w:rPr>
      </w:pPr>
      <w:r>
        <w:rPr>
          <w:rFonts w:hint="eastAsia"/>
          <w:lang w:val="en-US" w:eastAsia="zh-CN"/>
        </w:rPr>
        <w:t>根据革命老区转移支付管理办法和项目概算批复等资料，</w:t>
      </w:r>
      <w:r>
        <w:rPr>
          <w:rFonts w:hint="default"/>
          <w:lang w:val="en-US" w:eastAsia="zh-CN"/>
        </w:rPr>
        <w:t>预算资金分配依据充分</w:t>
      </w:r>
      <w:r>
        <w:rPr>
          <w:rFonts w:hint="eastAsia"/>
          <w:lang w:val="en-US" w:eastAsia="zh-CN"/>
        </w:rPr>
        <w:t>，资金分配额度经过可研报告、概算书等论证，与项目单位或地方实际是否相适应。根据评分标准，本项得满分。</w:t>
      </w:r>
    </w:p>
    <w:p>
      <w:pPr>
        <w:pStyle w:val="5"/>
        <w:bidi w:val="0"/>
        <w:rPr>
          <w:rFonts w:hint="default"/>
          <w:lang w:val="en-US" w:eastAsia="zh-CN"/>
        </w:rPr>
      </w:pPr>
      <w:bookmarkStart w:id="13" w:name="_Toc8133"/>
      <w:r>
        <w:rPr>
          <w:rFonts w:hint="eastAsia"/>
          <w:lang w:val="en-US" w:eastAsia="zh-CN"/>
        </w:rPr>
        <w:t>（二）项目过程情况</w:t>
      </w:r>
      <w:bookmarkEnd w:id="13"/>
    </w:p>
    <w:p>
      <w:pPr>
        <w:numPr>
          <w:ilvl w:val="0"/>
          <w:numId w:val="0"/>
        </w:numPr>
        <w:ind w:firstLine="640" w:firstLineChars="200"/>
        <w:rPr>
          <w:rFonts w:hint="default"/>
          <w:lang w:val="en-US" w:eastAsia="zh-CN"/>
        </w:rPr>
      </w:pPr>
      <w:r>
        <w:rPr>
          <w:rFonts w:hint="eastAsia"/>
          <w:lang w:val="en-US" w:eastAsia="zh-CN"/>
        </w:rPr>
        <w:t>项目过程部分主要从资金管理和组织实施两个方面进行评价。各指标得分如下表所示：</w:t>
      </w:r>
    </w:p>
    <w:p>
      <w:pPr>
        <w:numPr>
          <w:ilvl w:val="0"/>
          <w:numId w:val="0"/>
        </w:numPr>
        <w:jc w:val="center"/>
        <w:rPr>
          <w:rFonts w:hint="default"/>
          <w:b/>
          <w:bCs/>
          <w:lang w:val="en-US" w:eastAsia="zh-CN"/>
        </w:rPr>
      </w:pPr>
      <w:r>
        <w:rPr>
          <w:rFonts w:hint="eastAsia"/>
          <w:b/>
          <w:bCs/>
          <w:lang w:val="en-US" w:eastAsia="zh-CN"/>
        </w:rPr>
        <w:t>表5 项目过程情况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482"/>
        <w:gridCol w:w="2804"/>
        <w:gridCol w:w="825"/>
        <w:gridCol w:w="9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一级指标及分值</w:t>
            </w:r>
          </w:p>
        </w:tc>
        <w:tc>
          <w:tcPr>
            <w:tcW w:w="1482"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二级指标及分值</w:t>
            </w:r>
          </w:p>
        </w:tc>
        <w:tc>
          <w:tcPr>
            <w:tcW w:w="2804"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三级指标及分值</w:t>
            </w:r>
          </w:p>
        </w:tc>
        <w:tc>
          <w:tcPr>
            <w:tcW w:w="82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分值</w:t>
            </w:r>
          </w:p>
        </w:tc>
        <w:tc>
          <w:tcPr>
            <w:tcW w:w="900"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w:t>
            </w:r>
          </w:p>
        </w:tc>
        <w:tc>
          <w:tcPr>
            <w:tcW w:w="111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6" w:type="dxa"/>
            <w:vMerge w:val="restart"/>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过程</w:t>
            </w:r>
          </w:p>
          <w:p>
            <w:pPr>
              <w:pStyle w:val="2"/>
              <w:ind w:left="0" w:leftChars="0" w:firstLine="0" w:firstLineChars="0"/>
              <w:jc w:val="center"/>
              <w:rPr>
                <w:rFonts w:hint="default"/>
                <w:sz w:val="24"/>
                <w:szCs w:val="24"/>
                <w:lang w:val="en-US" w:eastAsia="zh-CN"/>
              </w:rPr>
            </w:pPr>
            <w:r>
              <w:rPr>
                <w:rFonts w:hint="eastAsia"/>
                <w:sz w:val="24"/>
                <w:szCs w:val="24"/>
                <w:vertAlign w:val="baseline"/>
                <w:lang w:val="en-US" w:eastAsia="zh-CN"/>
              </w:rPr>
              <w:t>（25）</w:t>
            </w:r>
          </w:p>
        </w:tc>
        <w:tc>
          <w:tcPr>
            <w:tcW w:w="1482" w:type="dxa"/>
            <w:vMerge w:val="restart"/>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资金管理（13）</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资金到位率（4）</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Merge w:val="continue"/>
            <w:vAlign w:val="center"/>
          </w:tcPr>
          <w:p>
            <w:pPr>
              <w:keepNext w:val="0"/>
              <w:keepLines w:val="0"/>
              <w:widowControl/>
              <w:suppressLineNumbers w:val="0"/>
              <w:jc w:val="center"/>
              <w:textAlignment w:val="center"/>
              <w:rPr>
                <w:rFonts w:hint="default"/>
                <w:sz w:val="24"/>
                <w:szCs w:val="24"/>
                <w:lang w:val="en-US" w:eastAsia="zh-CN"/>
              </w:rPr>
            </w:pP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预算执行率（5）</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5</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5</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Merge w:val="continue"/>
            <w:vAlign w:val="center"/>
          </w:tcPr>
          <w:p>
            <w:pPr>
              <w:keepNext w:val="0"/>
              <w:keepLines w:val="0"/>
              <w:widowControl/>
              <w:suppressLineNumbers w:val="0"/>
              <w:jc w:val="center"/>
              <w:textAlignment w:val="center"/>
              <w:rPr>
                <w:rFonts w:hint="default"/>
                <w:sz w:val="24"/>
                <w:szCs w:val="24"/>
                <w:lang w:val="en-US" w:eastAsia="zh-CN"/>
              </w:rPr>
            </w:pP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资金使用合规性（4）</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Merge w:val="restart"/>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组织实施（12）</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管理制度健全性（4）</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Merge w:val="continue"/>
            <w:vAlign w:val="center"/>
          </w:tcPr>
          <w:p>
            <w:pPr>
              <w:keepNext w:val="0"/>
              <w:keepLines w:val="0"/>
              <w:widowControl/>
              <w:suppressLineNumbers w:val="0"/>
              <w:jc w:val="center"/>
              <w:textAlignment w:val="center"/>
              <w:rPr>
                <w:rFonts w:hint="default"/>
                <w:lang w:val="en-US" w:eastAsia="zh-CN"/>
              </w:rPr>
            </w:pP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政府采购合规性（4）</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96" w:type="dxa"/>
            <w:vMerge w:val="continue"/>
            <w:vAlign w:val="center"/>
          </w:tcPr>
          <w:p>
            <w:pPr>
              <w:numPr>
                <w:ilvl w:val="0"/>
                <w:numId w:val="0"/>
              </w:numPr>
              <w:jc w:val="both"/>
              <w:rPr>
                <w:rFonts w:hint="default"/>
                <w:sz w:val="24"/>
                <w:szCs w:val="24"/>
                <w:vertAlign w:val="baseline"/>
                <w:lang w:val="en-US" w:eastAsia="zh-CN"/>
              </w:rPr>
            </w:pPr>
          </w:p>
        </w:tc>
        <w:tc>
          <w:tcPr>
            <w:tcW w:w="1482" w:type="dxa"/>
            <w:vMerge w:val="continue"/>
            <w:vAlign w:val="center"/>
          </w:tcPr>
          <w:p>
            <w:pPr>
              <w:keepNext w:val="0"/>
              <w:keepLines w:val="0"/>
              <w:widowControl/>
              <w:suppressLineNumbers w:val="0"/>
              <w:jc w:val="center"/>
              <w:textAlignment w:val="center"/>
              <w:rPr>
                <w:rFonts w:hint="default"/>
                <w:sz w:val="24"/>
                <w:szCs w:val="24"/>
                <w:vertAlign w:val="baseline"/>
                <w:lang w:val="en-US" w:eastAsia="zh-CN"/>
              </w:rPr>
            </w:pP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制度执行有效性（4）</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4</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bl>
    <w:p>
      <w:pPr>
        <w:pStyle w:val="6"/>
        <w:bidi w:val="0"/>
        <w:rPr>
          <w:rFonts w:hint="default"/>
          <w:lang w:val="en-US" w:eastAsia="zh-CN"/>
        </w:rPr>
      </w:pPr>
      <w:r>
        <w:rPr>
          <w:rFonts w:hint="eastAsia"/>
          <w:lang w:val="en-US" w:eastAsia="zh-CN"/>
        </w:rPr>
        <w:t>1.资金管理</w:t>
      </w:r>
    </w:p>
    <w:p>
      <w:pPr>
        <w:ind w:firstLine="640" w:firstLineChars="200"/>
        <w:rPr>
          <w:rFonts w:hint="default"/>
          <w:lang w:val="en-US" w:eastAsia="zh-CN"/>
        </w:rPr>
      </w:pPr>
      <w:r>
        <w:rPr>
          <w:rFonts w:hint="eastAsia"/>
          <w:lang w:val="en-US" w:eastAsia="zh-CN"/>
        </w:rPr>
        <w:t>资金管理指标分值13分，得分13分，得分率100%。</w:t>
      </w:r>
    </w:p>
    <w:p>
      <w:pPr>
        <w:pStyle w:val="7"/>
        <w:bidi w:val="0"/>
        <w:rPr>
          <w:rFonts w:hint="default"/>
          <w:lang w:val="en-US" w:eastAsia="zh-CN"/>
        </w:rPr>
      </w:pPr>
      <w:r>
        <w:rPr>
          <w:rFonts w:hint="eastAsia"/>
          <w:lang w:val="en-US" w:eastAsia="zh-CN"/>
        </w:rPr>
        <w:t>（1）资金到位率（4分）</w:t>
      </w:r>
    </w:p>
    <w:p>
      <w:pPr>
        <w:ind w:firstLine="640" w:firstLineChars="200"/>
        <w:rPr>
          <w:rFonts w:hint="default"/>
          <w:lang w:val="en-US" w:eastAsia="zh-CN"/>
        </w:rPr>
      </w:pPr>
      <w:r>
        <w:rPr>
          <w:rFonts w:hint="eastAsia"/>
          <w:lang w:val="en-US" w:eastAsia="zh-CN"/>
        </w:rPr>
        <w:t>根据资金下达手续资料，</w:t>
      </w:r>
      <w:r>
        <w:rPr>
          <w:rFonts w:hint="eastAsia"/>
          <w:lang w:eastAsia="zh-CN"/>
        </w:rPr>
        <w:t>东史端镇南胡渠村道路改造工程</w:t>
      </w:r>
      <w:r>
        <w:rPr>
          <w:rFonts w:hint="eastAsia"/>
          <w:lang w:val="en-US" w:eastAsia="zh-CN"/>
        </w:rPr>
        <w:t>预算安排资金1943851.77万元，实际到位资金1943851.77万元，资金到位率100%。根据评分标准，本项得满分。</w:t>
      </w:r>
    </w:p>
    <w:p>
      <w:pPr>
        <w:pStyle w:val="7"/>
        <w:bidi w:val="0"/>
        <w:rPr>
          <w:rFonts w:hint="default"/>
          <w:lang w:val="en-US" w:eastAsia="zh-CN"/>
        </w:rPr>
      </w:pPr>
      <w:r>
        <w:rPr>
          <w:rFonts w:hint="eastAsia"/>
          <w:lang w:val="en-US" w:eastAsia="zh-CN"/>
        </w:rPr>
        <w:t>（2）预算执行率（5分）</w:t>
      </w:r>
    </w:p>
    <w:p>
      <w:pPr>
        <w:ind w:firstLine="640" w:firstLineChars="200"/>
        <w:rPr>
          <w:rFonts w:hint="default" w:eastAsia="仿宋_GB2312"/>
          <w:lang w:val="en-US" w:eastAsia="zh-CN"/>
        </w:rPr>
      </w:pPr>
      <w:r>
        <w:rPr>
          <w:rFonts w:hint="eastAsia"/>
          <w:lang w:val="en-US" w:eastAsia="zh-CN"/>
        </w:rPr>
        <w:t>根据项目支出手续资料，</w:t>
      </w:r>
      <w:r>
        <w:rPr>
          <w:rFonts w:hint="eastAsia"/>
          <w:lang w:eastAsia="zh-CN"/>
        </w:rPr>
        <w:t>东史端镇南胡渠村道路改造工程</w:t>
      </w:r>
      <w:r>
        <w:rPr>
          <w:rFonts w:hint="eastAsia"/>
          <w:lang w:val="en-US" w:eastAsia="zh-CN"/>
        </w:rPr>
        <w:t>实际到位资金1943851.77万元，实际支出资金为1943851.77元，预算执行率100%。根据评分标准，本项得5分。</w:t>
      </w:r>
    </w:p>
    <w:p>
      <w:pPr>
        <w:pStyle w:val="7"/>
        <w:bidi w:val="0"/>
        <w:rPr>
          <w:rFonts w:hint="default"/>
          <w:lang w:val="en-US" w:eastAsia="zh-CN"/>
        </w:rPr>
      </w:pPr>
      <w:r>
        <w:rPr>
          <w:rFonts w:hint="eastAsia"/>
          <w:lang w:val="en-US" w:eastAsia="zh-CN"/>
        </w:rPr>
        <w:t>（3）资金使用合规性（4分）</w:t>
      </w:r>
    </w:p>
    <w:p>
      <w:pPr>
        <w:ind w:firstLine="640" w:firstLineChars="200"/>
        <w:rPr>
          <w:rFonts w:hint="default" w:eastAsia="仿宋_GB2312"/>
          <w:lang w:val="en-US" w:eastAsia="zh-CN"/>
        </w:rPr>
      </w:pPr>
      <w:r>
        <w:rPr>
          <w:rFonts w:hint="eastAsia"/>
          <w:lang w:val="en-US" w:eastAsia="zh-CN"/>
        </w:rPr>
        <w:t>根据项目财务手续和财务管理制度资料，项目资金的拨付使用符合国家财经法规和财务管理制度等规定，资金的拨付有完整的审批程序和手续，符合项目预算批复或合同规定的用途，不存在截留、挤占、挪用、虚列支出等情况。根据评分标准，本项得满分。</w:t>
      </w:r>
    </w:p>
    <w:p>
      <w:pPr>
        <w:pStyle w:val="6"/>
        <w:bidi w:val="0"/>
        <w:rPr>
          <w:rFonts w:hint="default"/>
          <w:lang w:val="en-US" w:eastAsia="zh-CN"/>
        </w:rPr>
      </w:pPr>
      <w:r>
        <w:rPr>
          <w:rFonts w:hint="eastAsia"/>
          <w:lang w:val="en-US" w:eastAsia="zh-CN"/>
        </w:rPr>
        <w:t>2.组织实施</w:t>
      </w:r>
    </w:p>
    <w:p>
      <w:pPr>
        <w:ind w:firstLine="640" w:firstLineChars="200"/>
        <w:rPr>
          <w:rFonts w:hint="default"/>
          <w:lang w:val="en-US" w:eastAsia="zh-CN"/>
        </w:rPr>
      </w:pPr>
      <w:r>
        <w:rPr>
          <w:rFonts w:hint="eastAsia"/>
          <w:lang w:val="en-US" w:eastAsia="zh-CN"/>
        </w:rPr>
        <w:t>组织实施指标分值12分，得分12分，得分率100%。</w:t>
      </w:r>
    </w:p>
    <w:p>
      <w:pPr>
        <w:pStyle w:val="7"/>
        <w:bidi w:val="0"/>
        <w:rPr>
          <w:rFonts w:hint="eastAsia"/>
          <w:lang w:val="en-US" w:eastAsia="zh-CN"/>
        </w:rPr>
      </w:pPr>
      <w:r>
        <w:rPr>
          <w:rFonts w:hint="eastAsia"/>
          <w:lang w:val="en-US" w:eastAsia="zh-CN"/>
        </w:rPr>
        <w:t>（1）管理制度健全性（4分）</w:t>
      </w:r>
    </w:p>
    <w:p>
      <w:pPr>
        <w:ind w:firstLine="640" w:firstLineChars="200"/>
        <w:rPr>
          <w:rFonts w:hint="default" w:eastAsia="仿宋_GB2312"/>
          <w:lang w:val="en-US" w:eastAsia="zh-CN"/>
        </w:rPr>
      </w:pPr>
      <w:r>
        <w:rPr>
          <w:rFonts w:hint="eastAsia"/>
          <w:lang w:val="en-US" w:eastAsia="zh-CN"/>
        </w:rPr>
        <w:t>根据东史端镇人民政府制定的相关管理制度，项目实施过程有相应的财务和业务管理制度，财务和业务管理制度合法、合规、完整，项目实施单位的财务和业务管理制度健全，对项目顺利实施有较好的保障作业。根据评分标准，本项得满分。</w:t>
      </w:r>
    </w:p>
    <w:p>
      <w:pPr>
        <w:pStyle w:val="7"/>
        <w:bidi w:val="0"/>
        <w:rPr>
          <w:rFonts w:hint="default"/>
          <w:lang w:val="en-US" w:eastAsia="zh-CN"/>
        </w:rPr>
      </w:pPr>
      <w:r>
        <w:rPr>
          <w:rFonts w:hint="eastAsia"/>
          <w:lang w:val="en-US" w:eastAsia="zh-CN"/>
        </w:rPr>
        <w:t>（2）政府采购合规性（4分）</w:t>
      </w:r>
    </w:p>
    <w:p>
      <w:pPr>
        <w:ind w:firstLine="640" w:firstLineChars="200"/>
        <w:rPr>
          <w:rFonts w:hint="default"/>
          <w:lang w:val="en-US" w:eastAsia="zh-CN"/>
        </w:rPr>
      </w:pPr>
      <w:r>
        <w:rPr>
          <w:rFonts w:hint="eastAsia"/>
          <w:lang w:val="en-US" w:eastAsia="zh-CN"/>
        </w:rPr>
        <w:t>根据项目政府采购全过程资料，项目按照政府采购相关规定进行采购，采购流程符合规范，项目签订有合同，合同金额与中标金额一致，项目的相关采购文件（包括招标文件、投标文件、评审意见、中标通知书、合同等）齐全，归档完备。根据评分标准，本项得满分。</w:t>
      </w:r>
    </w:p>
    <w:p>
      <w:pPr>
        <w:pStyle w:val="7"/>
        <w:bidi w:val="0"/>
        <w:rPr>
          <w:rFonts w:hint="default"/>
          <w:lang w:val="en-US" w:eastAsia="zh-CN"/>
        </w:rPr>
      </w:pPr>
      <w:r>
        <w:rPr>
          <w:rFonts w:hint="eastAsia"/>
          <w:lang w:val="en-US" w:eastAsia="zh-CN"/>
        </w:rPr>
        <w:t>（3）制度执行有效性（4分）</w:t>
      </w:r>
    </w:p>
    <w:p>
      <w:pPr>
        <w:ind w:firstLine="640" w:firstLineChars="200"/>
        <w:rPr>
          <w:rFonts w:hint="eastAsia"/>
          <w:lang w:val="en-US" w:eastAsia="zh-CN"/>
        </w:rPr>
      </w:pPr>
      <w:r>
        <w:rPr>
          <w:rFonts w:hint="eastAsia"/>
          <w:lang w:val="en-US" w:eastAsia="zh-CN"/>
        </w:rPr>
        <w:t>根据相关管理制度和项目过程资料，项目实施过程遵守相关法律法规和相关管理规定，项目调整及支出调整手续完备，项目开工、监理、验收、技术鉴定等资料齐全并及时归档，项目实施的人员条件、场地设备、信息支撑等落实到位。根据评分标准，本项得满分。</w:t>
      </w:r>
    </w:p>
    <w:p>
      <w:pPr>
        <w:pStyle w:val="5"/>
        <w:bidi w:val="0"/>
        <w:rPr>
          <w:rFonts w:hint="default"/>
          <w:lang w:val="en-US" w:eastAsia="zh-CN"/>
        </w:rPr>
      </w:pPr>
      <w:bookmarkStart w:id="14" w:name="_Toc17015"/>
      <w:r>
        <w:rPr>
          <w:rFonts w:hint="eastAsia"/>
          <w:lang w:val="en-US" w:eastAsia="zh-CN"/>
        </w:rPr>
        <w:t>（三）项目产出情况</w:t>
      </w:r>
      <w:bookmarkEnd w:id="14"/>
    </w:p>
    <w:p>
      <w:pPr>
        <w:numPr>
          <w:ilvl w:val="0"/>
          <w:numId w:val="0"/>
        </w:numPr>
        <w:ind w:firstLine="640" w:firstLineChars="200"/>
        <w:rPr>
          <w:rFonts w:hint="default"/>
          <w:lang w:val="en-US" w:eastAsia="zh-CN"/>
        </w:rPr>
      </w:pPr>
      <w:r>
        <w:rPr>
          <w:rFonts w:hint="eastAsia"/>
          <w:lang w:val="en-US" w:eastAsia="zh-CN"/>
        </w:rPr>
        <w:t>项目过程部分主要从产出数量、质量、时效和成本四个方面进行评价。各指标得分如下表所示：</w:t>
      </w:r>
    </w:p>
    <w:p>
      <w:pPr>
        <w:numPr>
          <w:ilvl w:val="0"/>
          <w:numId w:val="0"/>
        </w:numPr>
        <w:jc w:val="center"/>
        <w:rPr>
          <w:rFonts w:hint="default"/>
          <w:b/>
          <w:bCs/>
          <w:lang w:val="en-US" w:eastAsia="zh-CN"/>
        </w:rPr>
      </w:pPr>
      <w:r>
        <w:rPr>
          <w:rFonts w:hint="eastAsia"/>
          <w:b/>
          <w:bCs/>
          <w:lang w:val="en-US" w:eastAsia="zh-CN"/>
        </w:rPr>
        <w:t>表6 项目过程情况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482"/>
        <w:gridCol w:w="2804"/>
        <w:gridCol w:w="825"/>
        <w:gridCol w:w="9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一级指标及分值</w:t>
            </w:r>
          </w:p>
        </w:tc>
        <w:tc>
          <w:tcPr>
            <w:tcW w:w="1482"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二级指标及分值</w:t>
            </w:r>
          </w:p>
        </w:tc>
        <w:tc>
          <w:tcPr>
            <w:tcW w:w="2804"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三级指标及分值</w:t>
            </w:r>
          </w:p>
        </w:tc>
        <w:tc>
          <w:tcPr>
            <w:tcW w:w="82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分值</w:t>
            </w:r>
          </w:p>
        </w:tc>
        <w:tc>
          <w:tcPr>
            <w:tcW w:w="900"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w:t>
            </w:r>
          </w:p>
        </w:tc>
        <w:tc>
          <w:tcPr>
            <w:tcW w:w="111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96" w:type="dxa"/>
            <w:vMerge w:val="restart"/>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产出</w:t>
            </w:r>
          </w:p>
          <w:p>
            <w:pPr>
              <w:pStyle w:val="2"/>
              <w:ind w:left="0" w:leftChars="0" w:firstLine="0" w:firstLineChars="0"/>
              <w:jc w:val="center"/>
              <w:rPr>
                <w:rFonts w:hint="default"/>
                <w:sz w:val="24"/>
                <w:szCs w:val="24"/>
                <w:lang w:val="en-US" w:eastAsia="zh-CN"/>
              </w:rPr>
            </w:pPr>
            <w:r>
              <w:rPr>
                <w:rFonts w:hint="eastAsia"/>
                <w:sz w:val="24"/>
                <w:szCs w:val="24"/>
                <w:vertAlign w:val="baseline"/>
                <w:lang w:val="en-US" w:eastAsia="zh-CN"/>
              </w:rPr>
              <w:t>（35）</w:t>
            </w: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产出数量（9）</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cs="Times New Roman"/>
                <w:i w:val="0"/>
                <w:iCs w:val="0"/>
                <w:color w:val="000000"/>
                <w:kern w:val="0"/>
                <w:sz w:val="24"/>
                <w:szCs w:val="24"/>
                <w:u w:val="none"/>
                <w:lang w:val="en-US" w:eastAsia="zh-CN" w:bidi="ar"/>
              </w:rPr>
              <w:t>工程量计划完成率</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cs="Times New Roman"/>
                <w:i w:val="0"/>
                <w:iCs w:val="0"/>
                <w:color w:val="000000"/>
                <w:kern w:val="0"/>
                <w:sz w:val="24"/>
                <w:szCs w:val="24"/>
                <w:u w:val="none"/>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9</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7.2</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产出质量（9）</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cs="Times New Roman"/>
                <w:i w:val="0"/>
                <w:iCs w:val="0"/>
                <w:color w:val="000000"/>
                <w:kern w:val="0"/>
                <w:sz w:val="24"/>
                <w:szCs w:val="24"/>
                <w:u w:val="none"/>
                <w:lang w:val="en-US" w:eastAsia="zh-CN" w:bidi="ar"/>
              </w:rPr>
              <w:t>项目质量达标</w:t>
            </w:r>
            <w:r>
              <w:rPr>
                <w:rFonts w:hint="default" w:ascii="Times New Roman" w:hAnsi="Times New Roman" w:eastAsia="仿宋_GB2312" w:cs="Times New Roman"/>
                <w:i w:val="0"/>
                <w:iCs w:val="0"/>
                <w:color w:val="000000"/>
                <w:kern w:val="0"/>
                <w:sz w:val="24"/>
                <w:szCs w:val="24"/>
                <w:u w:val="none"/>
                <w:lang w:val="en-US" w:eastAsia="zh-CN" w:bidi="ar"/>
              </w:rPr>
              <w:t>率（</w:t>
            </w:r>
            <w:r>
              <w:rPr>
                <w:rFonts w:hint="eastAsia" w:cs="Times New Roman"/>
                <w:i w:val="0"/>
                <w:iCs w:val="0"/>
                <w:color w:val="000000"/>
                <w:kern w:val="0"/>
                <w:sz w:val="24"/>
                <w:szCs w:val="24"/>
                <w:u w:val="none"/>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9</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9</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产出时效（8）</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cs="Times New Roman"/>
                <w:i w:val="0"/>
                <w:iCs w:val="0"/>
                <w:color w:val="000000"/>
                <w:kern w:val="0"/>
                <w:sz w:val="24"/>
                <w:szCs w:val="24"/>
                <w:u w:val="none"/>
                <w:lang w:val="en-US" w:eastAsia="zh-CN" w:bidi="ar"/>
              </w:rPr>
              <w:t>项目完成及时率</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cs="Times New Roman"/>
                <w:i w:val="0"/>
                <w:iCs w:val="0"/>
                <w:color w:val="000000"/>
                <w:kern w:val="0"/>
                <w:sz w:val="24"/>
                <w:szCs w:val="24"/>
                <w:u w:val="none"/>
                <w:lang w:val="en-US" w:eastAsia="zh-CN" w:bidi="ar"/>
              </w:rPr>
              <w:t>8</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8</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8</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产出成本（9）</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iCs w:val="0"/>
                <w:color w:val="000000"/>
                <w:kern w:val="0"/>
                <w:sz w:val="24"/>
                <w:szCs w:val="24"/>
                <w:u w:val="none"/>
                <w:lang w:val="en-US" w:eastAsia="zh-CN" w:bidi="ar"/>
              </w:rPr>
              <w:t>管理制度健全性（</w:t>
            </w:r>
            <w:r>
              <w:rPr>
                <w:rFonts w:hint="eastAsia" w:cs="Times New Roman"/>
                <w:i w:val="0"/>
                <w:iCs w:val="0"/>
                <w:color w:val="000000"/>
                <w:kern w:val="0"/>
                <w:sz w:val="24"/>
                <w:szCs w:val="24"/>
                <w:u w:val="none"/>
                <w:lang w:val="en-US" w:eastAsia="zh-CN" w:bidi="ar"/>
              </w:rPr>
              <w:t>9</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9</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9</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bl>
    <w:p>
      <w:pPr>
        <w:pStyle w:val="6"/>
        <w:bidi w:val="0"/>
        <w:rPr>
          <w:rFonts w:hint="default"/>
          <w:lang w:val="en-US" w:eastAsia="zh-CN"/>
        </w:rPr>
      </w:pPr>
      <w:r>
        <w:rPr>
          <w:rFonts w:hint="eastAsia"/>
          <w:lang w:val="en-US" w:eastAsia="zh-CN"/>
        </w:rPr>
        <w:t>1.产出数量</w:t>
      </w:r>
    </w:p>
    <w:p>
      <w:pPr>
        <w:ind w:firstLine="640" w:firstLineChars="200"/>
        <w:rPr>
          <w:rFonts w:hint="default"/>
          <w:lang w:val="en-US" w:eastAsia="zh-CN"/>
        </w:rPr>
      </w:pPr>
      <w:r>
        <w:rPr>
          <w:rFonts w:hint="eastAsia"/>
          <w:lang w:val="en-US" w:eastAsia="zh-CN"/>
        </w:rPr>
        <w:t>产出数量指标分值9分，得分7.2分，得分率80%。</w:t>
      </w:r>
    </w:p>
    <w:p>
      <w:pPr>
        <w:pStyle w:val="7"/>
        <w:bidi w:val="0"/>
        <w:rPr>
          <w:rFonts w:hint="default"/>
          <w:lang w:val="en-US" w:eastAsia="zh-CN"/>
        </w:rPr>
      </w:pPr>
      <w:r>
        <w:rPr>
          <w:rFonts w:hint="eastAsia"/>
          <w:lang w:val="en-US" w:eastAsia="zh-CN"/>
        </w:rPr>
        <w:t>（1）工程量计划完成率（9分）</w:t>
      </w:r>
    </w:p>
    <w:p>
      <w:pPr>
        <w:ind w:firstLine="640" w:firstLineChars="200"/>
        <w:rPr>
          <w:rFonts w:hint="eastAsia"/>
          <w:lang w:val="en-US" w:eastAsia="zh-CN"/>
        </w:rPr>
      </w:pPr>
      <w:r>
        <w:rPr>
          <w:rFonts w:hint="eastAsia"/>
          <w:lang w:val="en-US" w:eastAsia="zh-CN"/>
        </w:rPr>
        <w:t>根据项目资料，项目工程量计划完成率=16360/15066×100%=108.58%。偏差率为9%，按照打分规则扣1.8分，本项得7.2分。</w:t>
      </w:r>
    </w:p>
    <w:p>
      <w:pPr>
        <w:pStyle w:val="6"/>
        <w:bidi w:val="0"/>
        <w:rPr>
          <w:rFonts w:hint="default"/>
          <w:lang w:val="en-US" w:eastAsia="zh-CN"/>
        </w:rPr>
      </w:pPr>
      <w:r>
        <w:rPr>
          <w:rFonts w:hint="eastAsia"/>
          <w:lang w:val="en-US" w:eastAsia="zh-CN"/>
        </w:rPr>
        <w:t>2.产出质量</w:t>
      </w:r>
    </w:p>
    <w:p>
      <w:pPr>
        <w:pStyle w:val="7"/>
        <w:bidi w:val="0"/>
        <w:rPr>
          <w:rFonts w:hint="default"/>
          <w:lang w:val="en-US" w:eastAsia="zh-CN"/>
        </w:rPr>
      </w:pPr>
      <w:r>
        <w:rPr>
          <w:rFonts w:hint="eastAsia"/>
          <w:lang w:val="en-US" w:eastAsia="zh-CN"/>
        </w:rPr>
        <w:t>产出质量指标分值9分，得分9分，得分率100%。</w:t>
      </w:r>
    </w:p>
    <w:p>
      <w:pPr>
        <w:pStyle w:val="7"/>
        <w:bidi w:val="0"/>
        <w:rPr>
          <w:rFonts w:hint="default"/>
          <w:lang w:val="en-US" w:eastAsia="zh-CN"/>
        </w:rPr>
      </w:pPr>
      <w:r>
        <w:rPr>
          <w:rFonts w:hint="eastAsia"/>
          <w:lang w:val="en-US" w:eastAsia="zh-CN"/>
        </w:rPr>
        <w:t>（1）项目质量达标率（9分）</w:t>
      </w:r>
    </w:p>
    <w:p>
      <w:pPr>
        <w:ind w:firstLine="640" w:firstLineChars="200"/>
        <w:rPr>
          <w:rFonts w:hint="eastAsia"/>
          <w:lang w:val="en-US" w:eastAsia="zh-CN"/>
        </w:rPr>
      </w:pPr>
      <w:r>
        <w:rPr>
          <w:rFonts w:hint="eastAsia"/>
          <w:lang w:val="en-US" w:eastAsia="zh-CN"/>
        </w:rPr>
        <w:t>根据项目验收报告和质量评估报告，质量达标率100%。根据评分规则，该指标得满分。</w:t>
      </w:r>
    </w:p>
    <w:p>
      <w:pPr>
        <w:pStyle w:val="6"/>
        <w:bidi w:val="0"/>
        <w:rPr>
          <w:rFonts w:hint="default"/>
          <w:lang w:val="en-US" w:eastAsia="zh-CN"/>
        </w:rPr>
      </w:pPr>
      <w:r>
        <w:rPr>
          <w:rFonts w:hint="eastAsia"/>
          <w:lang w:val="en-US" w:eastAsia="zh-CN"/>
        </w:rPr>
        <w:t>3.产出时效</w:t>
      </w:r>
    </w:p>
    <w:p>
      <w:pPr>
        <w:ind w:firstLine="640" w:firstLineChars="200"/>
        <w:rPr>
          <w:rFonts w:hint="default"/>
          <w:lang w:val="en-US" w:eastAsia="zh-CN"/>
        </w:rPr>
      </w:pPr>
      <w:r>
        <w:rPr>
          <w:rFonts w:hint="eastAsia"/>
          <w:lang w:val="en-US" w:eastAsia="zh-CN"/>
        </w:rPr>
        <w:t>产出时效指标分值8分，得分8分，得分率100%。</w:t>
      </w:r>
    </w:p>
    <w:p>
      <w:pPr>
        <w:pStyle w:val="7"/>
        <w:bidi w:val="0"/>
        <w:rPr>
          <w:rFonts w:hint="default"/>
          <w:lang w:val="en-US" w:eastAsia="zh-CN"/>
        </w:rPr>
      </w:pPr>
      <w:r>
        <w:rPr>
          <w:rFonts w:hint="eastAsia"/>
          <w:lang w:val="en-US" w:eastAsia="zh-CN"/>
        </w:rPr>
        <w:t>（1）项目完成及时率</w:t>
      </w:r>
    </w:p>
    <w:p>
      <w:pPr>
        <w:ind w:firstLine="640" w:firstLineChars="200"/>
        <w:rPr>
          <w:rFonts w:hint="default"/>
          <w:lang w:val="en-US" w:eastAsia="zh-CN"/>
        </w:rPr>
      </w:pPr>
      <w:r>
        <w:rPr>
          <w:rFonts w:hint="eastAsia"/>
          <w:lang w:val="en-US" w:eastAsia="zh-CN"/>
        </w:rPr>
        <w:t>根据项目过程资料，项目在合同工期内完工。按照打分规则，本项得满分。</w:t>
      </w:r>
    </w:p>
    <w:p>
      <w:pPr>
        <w:pStyle w:val="6"/>
        <w:bidi w:val="0"/>
        <w:rPr>
          <w:rFonts w:hint="default"/>
          <w:lang w:val="en-US" w:eastAsia="zh-CN"/>
        </w:rPr>
      </w:pPr>
      <w:r>
        <w:rPr>
          <w:rFonts w:hint="eastAsia"/>
          <w:lang w:val="en-US" w:eastAsia="zh-CN"/>
        </w:rPr>
        <w:t>4.产出成本</w:t>
      </w:r>
    </w:p>
    <w:p>
      <w:pPr>
        <w:ind w:firstLine="640" w:firstLineChars="200"/>
        <w:rPr>
          <w:rFonts w:hint="default"/>
          <w:lang w:val="en-US" w:eastAsia="zh-CN"/>
        </w:rPr>
      </w:pPr>
      <w:r>
        <w:rPr>
          <w:rFonts w:hint="eastAsia"/>
          <w:lang w:val="en-US" w:eastAsia="zh-CN"/>
        </w:rPr>
        <w:t>产出成本指标分值9分，得分9分，得分率100%。</w:t>
      </w:r>
    </w:p>
    <w:p>
      <w:pPr>
        <w:pStyle w:val="7"/>
        <w:bidi w:val="0"/>
        <w:rPr>
          <w:rFonts w:hint="default"/>
          <w:lang w:val="en-US" w:eastAsia="zh-CN"/>
        </w:rPr>
      </w:pPr>
      <w:r>
        <w:rPr>
          <w:rFonts w:hint="eastAsia"/>
          <w:lang w:val="en-US" w:eastAsia="zh-CN"/>
        </w:rPr>
        <w:t>（1）计划成本控制率（9分）</w:t>
      </w:r>
    </w:p>
    <w:p>
      <w:pPr>
        <w:ind w:firstLine="640" w:firstLineChars="200"/>
        <w:rPr>
          <w:rFonts w:hint="eastAsia"/>
          <w:lang w:val="en-US" w:eastAsia="zh-CN"/>
        </w:rPr>
      </w:pPr>
      <w:r>
        <w:rPr>
          <w:rFonts w:hint="eastAsia"/>
          <w:lang w:val="en-US" w:eastAsia="zh-CN"/>
        </w:rPr>
        <w:t>根据项目资料，招标控制价评审金额1979980.27元，结算金额1943851.77元。</w:t>
      </w:r>
    </w:p>
    <w:p>
      <w:pPr>
        <w:ind w:firstLine="640" w:firstLineChars="200"/>
        <w:rPr>
          <w:rFonts w:hint="eastAsia"/>
          <w:lang w:val="en-US" w:eastAsia="zh-CN"/>
        </w:rPr>
      </w:pPr>
      <w:r>
        <w:rPr>
          <w:rFonts w:hint="eastAsia"/>
          <w:lang w:val="en-US" w:eastAsia="zh-CN"/>
        </w:rPr>
        <w:t>计划成本控制率=194.385177/197.998027*100%=98.16%。按照打分规则计算，该项得满分。</w:t>
      </w:r>
    </w:p>
    <w:p>
      <w:pPr>
        <w:pStyle w:val="5"/>
        <w:bidi w:val="0"/>
        <w:rPr>
          <w:rFonts w:hint="default"/>
          <w:lang w:val="en-US" w:eastAsia="zh-CN"/>
        </w:rPr>
      </w:pPr>
      <w:bookmarkStart w:id="15" w:name="_Toc22622"/>
      <w:r>
        <w:rPr>
          <w:rFonts w:hint="eastAsia"/>
          <w:lang w:val="en-US" w:eastAsia="zh-CN"/>
        </w:rPr>
        <w:t>（四）项目效益情况</w:t>
      </w:r>
      <w:bookmarkEnd w:id="15"/>
    </w:p>
    <w:p>
      <w:pPr>
        <w:numPr>
          <w:ilvl w:val="0"/>
          <w:numId w:val="0"/>
        </w:numPr>
        <w:ind w:firstLine="640" w:firstLineChars="200"/>
        <w:rPr>
          <w:rFonts w:hint="default"/>
          <w:lang w:val="en-US" w:eastAsia="zh-CN"/>
        </w:rPr>
      </w:pPr>
      <w:r>
        <w:rPr>
          <w:rFonts w:hint="eastAsia"/>
          <w:lang w:val="en-US" w:eastAsia="zh-CN"/>
        </w:rPr>
        <w:t>项目效益部分主要从社会效益、可持续影响和满意度三个方面进行评价。各指标得分如下表所示：</w:t>
      </w:r>
    </w:p>
    <w:p>
      <w:pPr>
        <w:numPr>
          <w:ilvl w:val="0"/>
          <w:numId w:val="0"/>
        </w:numPr>
        <w:jc w:val="center"/>
        <w:rPr>
          <w:rFonts w:hint="default"/>
          <w:b/>
          <w:bCs/>
          <w:lang w:val="en-US" w:eastAsia="zh-CN"/>
        </w:rPr>
      </w:pPr>
      <w:r>
        <w:rPr>
          <w:rFonts w:hint="eastAsia"/>
          <w:b/>
          <w:bCs/>
          <w:lang w:val="en-US" w:eastAsia="zh-CN"/>
        </w:rPr>
        <w:t>表7 项目效益情况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482"/>
        <w:gridCol w:w="2804"/>
        <w:gridCol w:w="825"/>
        <w:gridCol w:w="90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一级指标及分值</w:t>
            </w:r>
          </w:p>
        </w:tc>
        <w:tc>
          <w:tcPr>
            <w:tcW w:w="1482"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二级指标及分值</w:t>
            </w:r>
          </w:p>
        </w:tc>
        <w:tc>
          <w:tcPr>
            <w:tcW w:w="2804"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三级指标及分值</w:t>
            </w:r>
          </w:p>
        </w:tc>
        <w:tc>
          <w:tcPr>
            <w:tcW w:w="82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分值</w:t>
            </w:r>
          </w:p>
        </w:tc>
        <w:tc>
          <w:tcPr>
            <w:tcW w:w="900"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w:t>
            </w:r>
          </w:p>
        </w:tc>
        <w:tc>
          <w:tcPr>
            <w:tcW w:w="1115" w:type="dxa"/>
            <w:shd w:val="clear" w:color="auto" w:fill="CFCECE" w:themeFill="background2" w:themeFillShade="E5"/>
            <w:vAlign w:val="center"/>
          </w:tcPr>
          <w:p>
            <w:pPr>
              <w:numPr>
                <w:ilvl w:val="0"/>
                <w:numId w:val="0"/>
              </w:numPr>
              <w:jc w:val="center"/>
              <w:rPr>
                <w:rFonts w:hint="default"/>
                <w:b/>
                <w:bCs/>
                <w:sz w:val="28"/>
                <w:szCs w:val="28"/>
                <w:vertAlign w:val="baseline"/>
                <w:lang w:val="en-US" w:eastAsia="zh-CN"/>
              </w:rPr>
            </w:pPr>
            <w:r>
              <w:rPr>
                <w:rFonts w:hint="eastAsia"/>
                <w:b/>
                <w:bCs/>
                <w:sz w:val="28"/>
                <w:szCs w:val="28"/>
                <w:vertAlign w:val="baseline"/>
                <w:lang w:val="en-US" w:eastAsia="zh-CN"/>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96" w:type="dxa"/>
            <w:vMerge w:val="restart"/>
            <w:vAlign w:val="center"/>
          </w:tcPr>
          <w:p>
            <w:pPr>
              <w:pStyle w:val="2"/>
              <w:ind w:left="0" w:leftChars="0" w:firstLine="0" w:firstLineChars="0"/>
              <w:jc w:val="center"/>
              <w:rPr>
                <w:rFonts w:hint="eastAsia"/>
                <w:sz w:val="24"/>
                <w:szCs w:val="24"/>
                <w:lang w:val="en-US" w:eastAsia="zh-CN"/>
              </w:rPr>
            </w:pPr>
            <w:r>
              <w:rPr>
                <w:rFonts w:hint="eastAsia"/>
                <w:sz w:val="24"/>
                <w:szCs w:val="24"/>
                <w:lang w:val="en-US" w:eastAsia="zh-CN"/>
              </w:rPr>
              <w:t>效益</w:t>
            </w:r>
          </w:p>
          <w:p>
            <w:pPr>
              <w:pStyle w:val="2"/>
              <w:ind w:left="0" w:leftChars="0" w:firstLine="0" w:firstLineChars="0"/>
              <w:jc w:val="center"/>
              <w:rPr>
                <w:rFonts w:hint="default"/>
                <w:sz w:val="24"/>
                <w:szCs w:val="24"/>
                <w:lang w:val="en-US" w:eastAsia="zh-CN"/>
              </w:rPr>
            </w:pPr>
            <w:r>
              <w:rPr>
                <w:rFonts w:hint="eastAsia"/>
                <w:sz w:val="24"/>
                <w:szCs w:val="24"/>
                <w:vertAlign w:val="baseline"/>
                <w:lang w:val="en-US" w:eastAsia="zh-CN"/>
              </w:rPr>
              <w:t>（25）</w:t>
            </w: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社会效益（10）</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cs="Times New Roman"/>
                <w:i w:val="0"/>
                <w:iCs w:val="0"/>
                <w:color w:val="000000"/>
                <w:kern w:val="0"/>
                <w:sz w:val="24"/>
                <w:szCs w:val="24"/>
                <w:u w:val="none"/>
                <w:lang w:val="en-US" w:eastAsia="zh-CN" w:bidi="ar"/>
              </w:rPr>
              <w:t>项目受益户数率</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cs="Times New Roman"/>
                <w:i w:val="0"/>
                <w:iCs w:val="0"/>
                <w:color w:val="000000"/>
                <w:kern w:val="0"/>
                <w:sz w:val="24"/>
                <w:szCs w:val="24"/>
                <w:u w:val="none"/>
                <w:lang w:val="en-US" w:eastAsia="zh-CN" w:bidi="ar"/>
              </w:rPr>
              <w:t>10</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10</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10</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可持续影响（5）</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cs="Times New Roman"/>
                <w:i w:val="0"/>
                <w:iCs w:val="0"/>
                <w:color w:val="000000"/>
                <w:kern w:val="0"/>
                <w:sz w:val="24"/>
                <w:szCs w:val="24"/>
                <w:u w:val="none"/>
                <w:lang w:val="en-US" w:eastAsia="zh-CN" w:bidi="ar"/>
              </w:rPr>
              <w:t>设计使用年限率</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cs="Times New Roman"/>
                <w:i w:val="0"/>
                <w:iCs w:val="0"/>
                <w:color w:val="000000"/>
                <w:kern w:val="0"/>
                <w:sz w:val="24"/>
                <w:szCs w:val="24"/>
                <w:u w:val="none"/>
                <w:lang w:val="en-US"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5</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5</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96" w:type="dxa"/>
            <w:vMerge w:val="continue"/>
            <w:vAlign w:val="center"/>
          </w:tcPr>
          <w:p>
            <w:pPr>
              <w:numPr>
                <w:ilvl w:val="0"/>
                <w:numId w:val="0"/>
              </w:numPr>
              <w:jc w:val="center"/>
              <w:rPr>
                <w:rFonts w:hint="default"/>
                <w:sz w:val="24"/>
                <w:szCs w:val="24"/>
                <w:vertAlign w:val="baseline"/>
                <w:lang w:val="en-US" w:eastAsia="zh-CN"/>
              </w:rPr>
            </w:pPr>
          </w:p>
        </w:tc>
        <w:tc>
          <w:tcPr>
            <w:tcW w:w="1482" w:type="dxa"/>
            <w:vAlign w:val="center"/>
          </w:tcPr>
          <w:p>
            <w:pPr>
              <w:keepNext w:val="0"/>
              <w:keepLines w:val="0"/>
              <w:widowControl/>
              <w:suppressLineNumbers w:val="0"/>
              <w:jc w:val="center"/>
              <w:textAlignment w:val="center"/>
              <w:rPr>
                <w:rFonts w:hint="default"/>
                <w:sz w:val="24"/>
                <w:szCs w:val="24"/>
                <w:lang w:val="en-US" w:eastAsia="zh-CN"/>
              </w:rPr>
            </w:pPr>
            <w:r>
              <w:rPr>
                <w:rFonts w:hint="eastAsia"/>
                <w:sz w:val="24"/>
                <w:szCs w:val="24"/>
                <w:lang w:val="en-US" w:eastAsia="zh-CN"/>
              </w:rPr>
              <w:t>满意度（10）</w:t>
            </w:r>
          </w:p>
        </w:tc>
        <w:tc>
          <w:tcPr>
            <w:tcW w:w="280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cs="Times New Roman"/>
                <w:i w:val="0"/>
                <w:iCs w:val="0"/>
                <w:color w:val="000000"/>
                <w:kern w:val="0"/>
                <w:sz w:val="24"/>
                <w:szCs w:val="24"/>
                <w:u w:val="none"/>
                <w:lang w:val="en-US" w:eastAsia="zh-CN" w:bidi="ar"/>
              </w:rPr>
              <w:t>项目周边居民满意度</w:t>
            </w:r>
            <w:r>
              <w:rPr>
                <w:rFonts w:hint="default" w:ascii="Times New Roman" w:hAnsi="Times New Roman" w:eastAsia="仿宋_GB2312" w:cs="Times New Roman"/>
                <w:i w:val="0"/>
                <w:iCs w:val="0"/>
                <w:color w:val="000000"/>
                <w:kern w:val="0"/>
                <w:sz w:val="24"/>
                <w:szCs w:val="24"/>
                <w:u w:val="none"/>
                <w:lang w:val="en-US" w:eastAsia="zh-CN" w:bidi="ar"/>
              </w:rPr>
              <w:t>（</w:t>
            </w:r>
            <w:r>
              <w:rPr>
                <w:rFonts w:hint="eastAsia" w:cs="Times New Roman"/>
                <w:i w:val="0"/>
                <w:iCs w:val="0"/>
                <w:color w:val="000000"/>
                <w:kern w:val="0"/>
                <w:sz w:val="24"/>
                <w:szCs w:val="24"/>
                <w:u w:val="none"/>
                <w:lang w:val="en-US" w:eastAsia="zh-CN" w:bidi="ar"/>
              </w:rPr>
              <w:t>10</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25"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10</w:t>
            </w:r>
          </w:p>
        </w:tc>
        <w:tc>
          <w:tcPr>
            <w:tcW w:w="900" w:type="dxa"/>
            <w:vAlign w:val="center"/>
          </w:tcPr>
          <w:p>
            <w:pPr>
              <w:keepNext w:val="0"/>
              <w:keepLines w:val="0"/>
              <w:widowControl/>
              <w:suppressLineNumbers w:val="0"/>
              <w:jc w:val="center"/>
              <w:textAlignment w:val="center"/>
              <w:rPr>
                <w:rFonts w:hint="default"/>
                <w:sz w:val="24"/>
                <w:szCs w:val="24"/>
                <w:vertAlign w:val="baseline"/>
                <w:lang w:val="en-US" w:eastAsia="zh-CN"/>
              </w:rPr>
            </w:pPr>
            <w:r>
              <w:rPr>
                <w:rFonts w:hint="eastAsia"/>
                <w:sz w:val="24"/>
                <w:szCs w:val="24"/>
                <w:vertAlign w:val="baseline"/>
                <w:lang w:val="en-US" w:eastAsia="zh-CN"/>
              </w:rPr>
              <w:t>10</w:t>
            </w:r>
          </w:p>
        </w:tc>
        <w:tc>
          <w:tcPr>
            <w:tcW w:w="111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100%</w:t>
            </w:r>
          </w:p>
        </w:tc>
      </w:tr>
    </w:tbl>
    <w:p>
      <w:pPr>
        <w:pStyle w:val="6"/>
        <w:bidi w:val="0"/>
        <w:rPr>
          <w:rFonts w:hint="eastAsia"/>
          <w:lang w:val="en-US" w:eastAsia="zh-CN"/>
        </w:rPr>
      </w:pPr>
      <w:r>
        <w:rPr>
          <w:rFonts w:hint="eastAsia"/>
          <w:lang w:val="en-US" w:eastAsia="zh-CN"/>
        </w:rPr>
        <w:t>1.社会效益</w:t>
      </w:r>
    </w:p>
    <w:p>
      <w:pPr>
        <w:numPr>
          <w:ilvl w:val="0"/>
          <w:numId w:val="0"/>
        </w:numPr>
        <w:ind w:firstLine="640" w:firstLineChars="200"/>
        <w:rPr>
          <w:rFonts w:hint="default"/>
          <w:lang w:val="en-US" w:eastAsia="zh-CN"/>
        </w:rPr>
      </w:pPr>
      <w:r>
        <w:rPr>
          <w:rFonts w:hint="eastAsia"/>
          <w:lang w:val="en-US" w:eastAsia="zh-CN"/>
        </w:rPr>
        <w:t>社会效益指标分值10分，得分10分，得分率100%。</w:t>
      </w:r>
    </w:p>
    <w:p>
      <w:pPr>
        <w:pStyle w:val="7"/>
        <w:bidi w:val="0"/>
        <w:rPr>
          <w:rFonts w:hint="default"/>
          <w:lang w:val="en-US" w:eastAsia="zh-CN"/>
        </w:rPr>
      </w:pPr>
      <w:r>
        <w:rPr>
          <w:rFonts w:hint="eastAsia"/>
          <w:lang w:val="en-US" w:eastAsia="zh-CN"/>
        </w:rPr>
        <w:t>（1）项目受益户数率（10分）</w:t>
      </w:r>
    </w:p>
    <w:p>
      <w:pPr>
        <w:numPr>
          <w:ilvl w:val="0"/>
          <w:numId w:val="0"/>
        </w:numPr>
        <w:ind w:firstLine="640" w:firstLineChars="200"/>
        <w:rPr>
          <w:rFonts w:hint="eastAsia"/>
          <w:lang w:val="en-US" w:eastAsia="zh-CN"/>
        </w:rPr>
      </w:pPr>
      <w:r>
        <w:rPr>
          <w:rFonts w:hint="eastAsia"/>
          <w:lang w:val="en-US" w:eastAsia="zh-CN"/>
        </w:rPr>
        <w:t>根据基础数据表项和现场实地调研，直接受益户数492户，项目受益户数率=492/712×100%=69.10%。根据评分规则，该指标得10分。</w:t>
      </w:r>
    </w:p>
    <w:p>
      <w:pPr>
        <w:pStyle w:val="6"/>
        <w:bidi w:val="0"/>
        <w:rPr>
          <w:rFonts w:hint="default"/>
          <w:lang w:val="en-US" w:eastAsia="zh-CN"/>
        </w:rPr>
      </w:pPr>
      <w:r>
        <w:rPr>
          <w:rFonts w:hint="eastAsia"/>
          <w:lang w:val="en-US" w:eastAsia="zh-CN"/>
        </w:rPr>
        <w:t>2.可持续影响</w:t>
      </w:r>
    </w:p>
    <w:p>
      <w:pPr>
        <w:numPr>
          <w:ilvl w:val="0"/>
          <w:numId w:val="0"/>
        </w:numPr>
        <w:ind w:firstLine="640" w:firstLineChars="200"/>
        <w:rPr>
          <w:rFonts w:hint="eastAsia"/>
          <w:lang w:val="en-US" w:eastAsia="zh-CN"/>
        </w:rPr>
      </w:pPr>
      <w:r>
        <w:rPr>
          <w:rFonts w:hint="eastAsia"/>
          <w:lang w:val="en-US" w:eastAsia="zh-CN"/>
        </w:rPr>
        <w:t>可持续影响指标分值5分，得分5分，得分率100%。</w:t>
      </w:r>
    </w:p>
    <w:p>
      <w:pPr>
        <w:pStyle w:val="7"/>
        <w:bidi w:val="0"/>
        <w:rPr>
          <w:rFonts w:hint="eastAsia"/>
          <w:lang w:val="en-US" w:eastAsia="zh-CN"/>
        </w:rPr>
      </w:pPr>
      <w:r>
        <w:rPr>
          <w:rFonts w:hint="eastAsia"/>
          <w:lang w:val="en-US" w:eastAsia="zh-CN"/>
        </w:rPr>
        <w:t>（1）设计使用年限率（5分）</w:t>
      </w:r>
    </w:p>
    <w:p>
      <w:pPr>
        <w:numPr>
          <w:ilvl w:val="0"/>
          <w:numId w:val="0"/>
        </w:numPr>
        <w:ind w:firstLine="640" w:firstLineChars="200"/>
        <w:rPr>
          <w:rFonts w:hint="default"/>
          <w:lang w:val="en-US" w:eastAsia="zh-CN"/>
        </w:rPr>
      </w:pPr>
      <w:r>
        <w:rPr>
          <w:rFonts w:hint="eastAsia"/>
          <w:lang w:val="en-US" w:eastAsia="zh-CN"/>
        </w:rPr>
        <w:t>根据项目设计年限说明，使用年限为10年，低于《小交通量农村公路工程设计规范》（JTGT 3311-2021)混凝土路面设计年限为10年的标准。农村道路设计使用年限可持续影响率=10/10×100%=100%，根评分规则，该项得5分。</w:t>
      </w:r>
    </w:p>
    <w:p>
      <w:pPr>
        <w:pStyle w:val="6"/>
        <w:bidi w:val="0"/>
        <w:rPr>
          <w:rFonts w:hint="eastAsia"/>
          <w:lang w:val="en-US" w:eastAsia="zh-CN"/>
        </w:rPr>
      </w:pPr>
      <w:r>
        <w:rPr>
          <w:rFonts w:hint="eastAsia"/>
          <w:lang w:val="en-US" w:eastAsia="zh-CN"/>
        </w:rPr>
        <w:t>3.满意度</w:t>
      </w:r>
    </w:p>
    <w:p>
      <w:pPr>
        <w:numPr>
          <w:ilvl w:val="0"/>
          <w:numId w:val="0"/>
        </w:numPr>
        <w:ind w:firstLine="640" w:firstLineChars="200"/>
        <w:rPr>
          <w:rFonts w:hint="eastAsia"/>
          <w:lang w:val="en-US" w:eastAsia="zh-CN"/>
        </w:rPr>
      </w:pPr>
      <w:r>
        <w:rPr>
          <w:rFonts w:hint="eastAsia"/>
          <w:lang w:val="en-US" w:eastAsia="zh-CN"/>
        </w:rPr>
        <w:t>满意度指标分值10分，得分5分，得分率100%。</w:t>
      </w:r>
    </w:p>
    <w:p>
      <w:pPr>
        <w:pStyle w:val="7"/>
        <w:bidi w:val="0"/>
        <w:rPr>
          <w:rFonts w:hint="eastAsia"/>
          <w:lang w:val="en-US" w:eastAsia="zh-CN"/>
        </w:rPr>
      </w:pPr>
      <w:r>
        <w:rPr>
          <w:rFonts w:hint="eastAsia"/>
          <w:lang w:val="en-US" w:eastAsia="zh-CN"/>
        </w:rPr>
        <w:t>（1）项目周边居民满意度（10分）</w:t>
      </w:r>
    </w:p>
    <w:p>
      <w:pPr>
        <w:numPr>
          <w:ilvl w:val="0"/>
          <w:numId w:val="0"/>
        </w:numPr>
        <w:ind w:firstLine="640" w:firstLineChars="200"/>
        <w:rPr>
          <w:rFonts w:hint="default"/>
          <w:lang w:val="en-US" w:eastAsia="zh-CN"/>
        </w:rPr>
      </w:pPr>
      <w:r>
        <w:rPr>
          <w:rFonts w:hint="eastAsia"/>
          <w:lang w:val="en-US" w:eastAsia="zh-CN"/>
        </w:rPr>
        <w:t>项目实地调研期对项目周边居民开展满意度调查，线下、线上共收集满意度调查问卷56份，非常满意比例97.83%，满意比例1.24%，一般比例0.93%，不满意比例0%，总体满意度为99.07%。根据评分规则，该指标得满分。</w:t>
      </w:r>
    </w:p>
    <w:p>
      <w:pPr>
        <w:pStyle w:val="4"/>
        <w:bidi w:val="0"/>
        <w:rPr>
          <w:rFonts w:hint="default"/>
          <w:lang w:val="en-US" w:eastAsia="zh-CN"/>
        </w:rPr>
      </w:pPr>
      <w:bookmarkStart w:id="16" w:name="_Toc11941"/>
      <w:r>
        <w:rPr>
          <w:rFonts w:hint="eastAsia"/>
          <w:lang w:val="en-US" w:eastAsia="zh-CN"/>
        </w:rPr>
        <w:t>五、存在的问题及原因分析</w:t>
      </w:r>
      <w:bookmarkEnd w:id="16"/>
    </w:p>
    <w:p>
      <w:pPr>
        <w:pStyle w:val="5"/>
        <w:bidi w:val="0"/>
        <w:rPr>
          <w:rFonts w:hint="default"/>
          <w:lang w:val="en-US" w:eastAsia="zh-CN"/>
        </w:rPr>
      </w:pPr>
      <w:bookmarkStart w:id="17" w:name="_Toc28170"/>
      <w:r>
        <w:rPr>
          <w:rFonts w:hint="eastAsia"/>
          <w:lang w:val="en-US" w:eastAsia="zh-CN"/>
        </w:rPr>
        <w:t>（一）项目决策阶段立项论证充分性不足</w:t>
      </w:r>
      <w:bookmarkEnd w:id="17"/>
    </w:p>
    <w:p>
      <w:pPr>
        <w:numPr>
          <w:ilvl w:val="0"/>
          <w:numId w:val="0"/>
        </w:numPr>
        <w:ind w:firstLine="640" w:firstLineChars="200"/>
        <w:rPr>
          <w:rFonts w:hint="default"/>
          <w:lang w:val="en-US" w:eastAsia="zh-CN"/>
        </w:rPr>
      </w:pPr>
      <w:r>
        <w:rPr>
          <w:rFonts w:hint="eastAsia"/>
          <w:lang w:val="en-US" w:eastAsia="zh-CN"/>
        </w:rPr>
        <w:t>项目为道路建设工程，属于民生事务类别，根据河北省财政厅《河北省革命老区转移支付资金管理办法》（冀财预</w:t>
      </w:r>
      <w:r>
        <w:rPr>
          <w:rFonts w:hint="eastAsia"/>
        </w:rPr>
        <w:t>〔20</w:t>
      </w:r>
      <w:r>
        <w:rPr>
          <w:rFonts w:hint="eastAsia"/>
          <w:lang w:val="en-US" w:eastAsia="zh-CN"/>
        </w:rPr>
        <w:t>19</w:t>
      </w:r>
      <w:r>
        <w:rPr>
          <w:rFonts w:hint="eastAsia"/>
        </w:rPr>
        <w:t>〕</w:t>
      </w:r>
      <w:r>
        <w:rPr>
          <w:rFonts w:hint="eastAsia"/>
          <w:lang w:val="en-US" w:eastAsia="zh-CN"/>
        </w:rPr>
        <w:t>59</w:t>
      </w:r>
      <w:r>
        <w:rPr>
          <w:rFonts w:hint="eastAsia"/>
        </w:rPr>
        <w:t>号</w:t>
      </w:r>
      <w:r>
        <w:rPr>
          <w:rFonts w:hint="eastAsia"/>
          <w:lang w:val="en-US" w:eastAsia="zh-CN"/>
        </w:rPr>
        <w:t>）文件精神要求，资金使用范围为革命老区专门事务、革命老区民生事务，本项目虽是民生事务事项，但在项目立项阶段，不选择革命老区专门事务和其他民生事务没有论证说明，立项论证的充分性不足。立项阶段，要对各类事务进行充分论证说明，最终得出选择申报本项事务原因，证明本项目在改善和保障民生起到的作用。</w:t>
      </w:r>
    </w:p>
    <w:p>
      <w:pPr>
        <w:pStyle w:val="5"/>
        <w:bidi w:val="0"/>
        <w:rPr>
          <w:rFonts w:hint="default"/>
          <w:lang w:val="en-US" w:eastAsia="zh-CN"/>
        </w:rPr>
      </w:pPr>
      <w:bookmarkStart w:id="18" w:name="_Toc2717"/>
      <w:r>
        <w:rPr>
          <w:rFonts w:hint="eastAsia"/>
          <w:lang w:val="en-US" w:eastAsia="zh-CN"/>
        </w:rPr>
        <w:t>（二）项目产出数量存在偏差</w:t>
      </w:r>
      <w:bookmarkEnd w:id="18"/>
    </w:p>
    <w:p>
      <w:pPr>
        <w:numPr>
          <w:ilvl w:val="0"/>
          <w:numId w:val="0"/>
        </w:numPr>
        <w:ind w:firstLine="640" w:firstLineChars="200"/>
        <w:rPr>
          <w:rFonts w:hint="eastAsia"/>
          <w:lang w:val="en-US" w:eastAsia="zh-CN"/>
        </w:rPr>
      </w:pPr>
      <w:r>
        <w:rPr>
          <w:rFonts w:hint="eastAsia"/>
          <w:lang w:val="en-US" w:eastAsia="zh-CN"/>
        </w:rPr>
        <w:t>本项目计划工程量为15066m</w:t>
      </w:r>
      <w:r>
        <w:rPr>
          <w:rFonts w:hint="eastAsia"/>
          <w:vertAlign w:val="superscript"/>
          <w:lang w:val="en-US" w:eastAsia="zh-CN"/>
        </w:rPr>
        <w:t>3</w:t>
      </w:r>
      <w:r>
        <w:rPr>
          <w:rFonts w:hint="eastAsia"/>
          <w:lang w:val="en-US" w:eastAsia="zh-CN"/>
        </w:rPr>
        <w:t>，实际产出工程量为16360m</w:t>
      </w:r>
      <w:r>
        <w:rPr>
          <w:rFonts w:hint="eastAsia"/>
          <w:vertAlign w:val="superscript"/>
          <w:lang w:val="en-US" w:eastAsia="zh-CN"/>
        </w:rPr>
        <w:t>3</w:t>
      </w:r>
      <w:r>
        <w:rPr>
          <w:rFonts w:hint="eastAsia"/>
          <w:vertAlign w:val="baseline"/>
          <w:lang w:val="en-US" w:eastAsia="zh-CN"/>
        </w:rPr>
        <w:t>，工程量偏差率为8.58%，通过调研发现主要是前期立项阶段工程量测算精准度不高造成，项目实际实施过程中发生的工程量高于立项阶段数额</w:t>
      </w:r>
      <w:r>
        <w:rPr>
          <w:rFonts w:hint="eastAsia"/>
          <w:lang w:val="en-US" w:eastAsia="zh-CN"/>
        </w:rPr>
        <w:t>。</w:t>
      </w:r>
    </w:p>
    <w:p>
      <w:pPr>
        <w:pStyle w:val="4"/>
        <w:bidi w:val="0"/>
        <w:rPr>
          <w:rFonts w:hint="default"/>
          <w:lang w:val="en-US" w:eastAsia="zh-CN"/>
        </w:rPr>
      </w:pPr>
      <w:bookmarkStart w:id="19" w:name="_Toc76"/>
      <w:r>
        <w:rPr>
          <w:rFonts w:hint="eastAsia"/>
          <w:lang w:val="en-US" w:eastAsia="zh-CN"/>
        </w:rPr>
        <w:t>六、有关建议</w:t>
      </w:r>
      <w:bookmarkEnd w:id="19"/>
    </w:p>
    <w:p>
      <w:pPr>
        <w:pStyle w:val="5"/>
        <w:bidi w:val="0"/>
        <w:rPr>
          <w:rFonts w:hint="default"/>
          <w:lang w:val="en-US" w:eastAsia="zh-CN"/>
        </w:rPr>
      </w:pPr>
      <w:bookmarkStart w:id="20" w:name="_Toc27130"/>
      <w:r>
        <w:rPr>
          <w:rFonts w:hint="eastAsia"/>
          <w:lang w:val="en-US" w:eastAsia="zh-CN"/>
        </w:rPr>
        <w:t>（一）加强项目决策立项论证的充分性</w:t>
      </w:r>
      <w:bookmarkEnd w:id="20"/>
    </w:p>
    <w:p>
      <w:pPr>
        <w:numPr>
          <w:ilvl w:val="0"/>
          <w:numId w:val="0"/>
        </w:numPr>
        <w:ind w:firstLine="640" w:firstLineChars="200"/>
        <w:rPr>
          <w:rFonts w:hint="default"/>
          <w:lang w:val="en-US" w:eastAsia="zh-CN"/>
        </w:rPr>
      </w:pPr>
      <w:r>
        <w:rPr>
          <w:rFonts w:hint="eastAsia"/>
          <w:lang w:val="en-US" w:eastAsia="zh-CN"/>
        </w:rPr>
        <w:t>项目立项论证充分、科学是发挥革命老区转移支付资金促进社会事业发展作用的前提，只有进行充分的论证才能使选择的项目最大程度的发挥资金作用，提高资金使用效益。建议决策立项阶段要对本区所有符合资金使用范围的事务进行论证说明，对各项事务在本区的现状、建设需求的紧迫性、产生的效益、实施的可行性等全面论证，进而从中选择最合适的项目进行立项申报。</w:t>
      </w:r>
    </w:p>
    <w:p>
      <w:pPr>
        <w:pStyle w:val="5"/>
        <w:bidi w:val="0"/>
        <w:rPr>
          <w:rFonts w:hint="default"/>
          <w:lang w:val="en-US" w:eastAsia="zh-CN"/>
        </w:rPr>
      </w:pPr>
      <w:bookmarkStart w:id="21" w:name="_Toc1515"/>
      <w:r>
        <w:rPr>
          <w:rFonts w:hint="eastAsia"/>
          <w:lang w:val="en-US" w:eastAsia="zh-CN"/>
        </w:rPr>
        <w:t>（二）提高项目工程量测算精准度</w:t>
      </w:r>
      <w:bookmarkEnd w:id="21"/>
    </w:p>
    <w:p>
      <w:pPr>
        <w:numPr>
          <w:ilvl w:val="0"/>
          <w:numId w:val="0"/>
        </w:numPr>
        <w:ind w:firstLine="640" w:firstLineChars="200"/>
        <w:rPr>
          <w:rFonts w:hint="default"/>
          <w:lang w:val="en-US" w:eastAsia="zh-CN"/>
        </w:rPr>
      </w:pPr>
      <w:r>
        <w:rPr>
          <w:rFonts w:hint="eastAsia"/>
          <w:lang w:val="en-US" w:eastAsia="zh-CN"/>
        </w:rPr>
        <w:t>建议在项目前期立项和设计阶段阶段，提高项目工程量测算精准度，进而提高在实施过程中项目产出准确性，降低偏差率，确保预算执行的精确度。</w:t>
      </w:r>
    </w:p>
    <w:p>
      <w:pPr>
        <w:pStyle w:val="4"/>
        <w:bidi w:val="0"/>
        <w:rPr>
          <w:rFonts w:hint="default"/>
          <w:lang w:val="en-US" w:eastAsia="zh-CN"/>
        </w:rPr>
      </w:pPr>
      <w:bookmarkStart w:id="22" w:name="_Toc15258"/>
      <w:r>
        <w:rPr>
          <w:rFonts w:hint="eastAsia"/>
          <w:lang w:val="en-US" w:eastAsia="zh-CN"/>
        </w:rPr>
        <w:t>七、其他需要说明的问题</w:t>
      </w:r>
      <w:bookmarkEnd w:id="22"/>
    </w:p>
    <w:p>
      <w:pPr>
        <w:numPr>
          <w:ilvl w:val="0"/>
          <w:numId w:val="0"/>
        </w:numPr>
        <w:ind w:firstLine="640" w:firstLineChars="200"/>
        <w:rPr>
          <w:rFonts w:hint="eastAsia" w:cs="Times New Roman"/>
          <w:lang w:val="en-US" w:eastAsia="zh-CN"/>
        </w:rPr>
      </w:pPr>
      <w:r>
        <w:rPr>
          <w:rFonts w:ascii="Times New Roman" w:hAnsi="Times New Roman" w:cs="Times New Roman"/>
        </w:rPr>
        <w:t>此次评价工作，评价组始终秉承客观公正、科学规范的评价原则进行评价思路及指标体系设计、数据采集、报告撰写等工作，</w:t>
      </w:r>
      <w:r>
        <w:rPr>
          <w:rFonts w:hint="eastAsia" w:cs="Times New Roman"/>
          <w:lang w:val="en-US" w:eastAsia="zh-CN"/>
        </w:rPr>
        <w:t>本报告所基于的数据具有一定的局限性，主要体现在本次评价所收集数据的真实性是基于项目单位提供的资料具有真实性和可靠性，数据统计和分析工作是在假设所有信息都是在项目实施过程中实际发生的基础上进行的。</w:t>
      </w:r>
    </w:p>
    <w:p>
      <w:pPr>
        <w:rPr>
          <w:rFonts w:hint="eastAsia"/>
          <w:lang w:val="en-US" w:eastAsia="zh-CN"/>
        </w:rPr>
      </w:pPr>
      <w:r>
        <w:rPr>
          <w:rFonts w:hint="eastAsia"/>
          <w:lang w:val="en-US" w:eastAsia="zh-CN"/>
        </w:rPr>
        <w:br w:type="page"/>
      </w:r>
    </w:p>
    <w:p>
      <w:pPr>
        <w:pStyle w:val="4"/>
        <w:bidi w:val="0"/>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4"/>
        <w:bidi w:val="0"/>
        <w:rPr>
          <w:rFonts w:hint="default"/>
          <w:lang w:val="en-US" w:eastAsia="zh-CN"/>
        </w:rPr>
      </w:pPr>
      <w:bookmarkStart w:id="23" w:name="_Toc187"/>
      <w:r>
        <w:rPr>
          <w:rFonts w:hint="eastAsia"/>
          <w:lang w:val="en-US" w:eastAsia="zh-CN"/>
        </w:rPr>
        <w:t>附件1 评价指标体系及得分表</w:t>
      </w:r>
      <w:bookmarkEnd w:id="23"/>
    </w:p>
    <w:p>
      <w:pPr>
        <w:numPr>
          <w:ilvl w:val="0"/>
          <w:numId w:val="0"/>
        </w:numPr>
        <w:jc w:val="center"/>
        <w:rPr>
          <w:rFonts w:hint="default" w:eastAsia="仿宋_GB2312"/>
          <w:lang w:val="en-US" w:eastAsia="zh-CN"/>
        </w:rPr>
      </w:pPr>
      <w:r>
        <w:rPr>
          <w:b/>
          <w:bCs/>
          <w:sz w:val="30"/>
          <w:szCs w:val="30"/>
        </w:rPr>
        <w:t>保定市徐水区</w:t>
      </w:r>
      <w:r>
        <w:rPr>
          <w:rFonts w:hint="eastAsia"/>
          <w:b/>
          <w:bCs/>
          <w:sz w:val="30"/>
          <w:szCs w:val="30"/>
          <w:lang w:eastAsia="zh-CN"/>
        </w:rPr>
        <w:t>东史端镇南胡渠村道路改造工程项目</w:t>
      </w:r>
      <w:r>
        <w:rPr>
          <w:rFonts w:hint="eastAsia"/>
          <w:b/>
          <w:bCs/>
          <w:sz w:val="30"/>
          <w:szCs w:val="30"/>
          <w:lang w:val="en-US" w:eastAsia="zh-CN"/>
        </w:rPr>
        <w:t>绩效评价指标体系及得分表</w:t>
      </w: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718"/>
        <w:gridCol w:w="557"/>
        <w:gridCol w:w="911"/>
        <w:gridCol w:w="632"/>
        <w:gridCol w:w="2419"/>
        <w:gridCol w:w="3674"/>
        <w:gridCol w:w="857"/>
        <w:gridCol w:w="4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blHeader/>
        </w:trPr>
        <w:tc>
          <w:tcPr>
            <w:tcW w:w="266"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242"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8"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308"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213"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818"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指标解释</w:t>
            </w:r>
          </w:p>
        </w:tc>
        <w:tc>
          <w:tcPr>
            <w:tcW w:w="1242"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评价标准及评分规则</w:t>
            </w:r>
          </w:p>
        </w:tc>
        <w:tc>
          <w:tcPr>
            <w:tcW w:w="289"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c>
          <w:tcPr>
            <w:tcW w:w="1430"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项目决策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（15分）</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立项依据充分性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项目立项是否符合法律法规、相关政策、发展规划以及部门职责，用以反映和考核项目立项依据情况。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①项目立项符合国家法律法规、国民经济发展规划和相关政策，占20%权重分；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②项目立项是否符合行业发展规划、部门工作计划和政策要求，占20%权重分；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③项目立项是否与部门职责范围相符，属于部门履职所需，占20%权重分；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④项目属于公共财政支持范围，符合中央、地方事权支出责任划分原则，占20%权重分；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⑤项目与相关部门同类项目或部门内部相关项目不重复，占20%权重分。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根据相关管理办法、镇政府工作计划或会议纪和部门职能文件等资料，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①项目立项符合国家法律法规、国民经济发展规划和相关政策；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项目立项符合政策要求，部门会议纪要体现本项目工作计划，根据《河北省革命老区转移支付资金管理办法》的通知（冀财预【2019】59号）文件要求精神，资金使用范围为革命老区专门事务、革命老区民生事务，修建乡村道路符合文件要求，但根据资料，不选择革命老区专门事务和其他民生事务没有论证说明，立项论证的充分性不足，扣10%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③项目立项与安肃镇人民政府部门职责范围相符，属于部门履职所需；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④项目属于公共财政支持范围，符合中央、地方事权支出责任划分原则；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⑤项目与相关部门同类项目或部门内部相关项目不重复。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根据评分规则，该指标得90%权重分。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立项程序规范性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项目申请、设立过程是否符合相关要求，用以反映和考核项目立项的规范情况。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①项目是否按照规定的程序申请设立，占30%权重分；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②审批文件、材料是否符合相关要求，占30%权重分；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③事前是否已经过必要的可行性研究，占40%权重分。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根据获取的项目立项决策资料、会议纪要、相关批复等资料，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①项目已按照规定的立项审批程序申请设立；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②项目的审批文件、材料基本符合相关要求；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③项目事前已经过必要的可行性研究。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根据评分规则，该指标得90%权重分。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绩效目标合理性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项目所设定的绩效目标是否依据充分，是否符合客观实际，用以反映和考核项目绩效目标与项目实施的相符情况。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①项目绩效目标是否清晰明确，占40%权重分；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②项目绩效目标与实际工作内容具有相关性，占30%权重分；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③项目预期产出效益和效果符合正常的业绩水平，占30%权重分；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符合一项得对应权重分，否则扣除对应权重分。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根据项目绩效目标申报表、绩效目标自评表，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①项目绩效目标设置清晰明确；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②项目绩效目标与实际工作内容具有相关性；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③项目绩效目标具体、量化，能够直接判断项目预期产出效益和效果是否符合正常的业绩水平；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根据评分标准，该指标得100%权重分。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绩效指标明确性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依据绩效目标设定的绩效指标是否清晰、细化、可衡量等，用以反映和考核项目绩效目标的明细化情况。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①将项目绩效目标细化分解为具体的绩效指标，占20%权重分；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②通过清晰、可衡量的指标值予以体现，占50%权重分；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③与项目目标任务数或计划数相对应，占30%权重分；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根据项目绩效目标申报表、绩效目标自评表，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①已将项目目标细化分解为具体的绩效指标，设置产出指标（数量、质量、时效、成本）、效益（社会）与满意度指标；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②绩效指标设置清晰、可衡量的指标；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 指标设置了具体量化数值，基本能对应绩效目标任务。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资金投入</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预算编制合理性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项目预算编制是否经过科学论证、有明确标准，资金额度与年度目标是否相适应，用以反映和考核项目预算编制的科学性、合理性情况。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①预算编制是否经过论证，占25%权重分；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②预算内容与项目实际内容是否匹配，占25%权重分；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③预算额度测算依据是否充分，是否按照标准编制，占25%权重分；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④预算确定的项目投资额或资金量是否与年度工作任务相匹配，占25%权重分。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根据项目招标控制价评审报告、概算批复、工程概算书等资料，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①预算编制经过论证；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②预算内容与项目实际内容匹配；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③预算额度测算依据充分，按照标准编制；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④预算确定的项目投资额或资金量与年度工作任务相匹配。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6"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资金分配合理性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项目预算资金分配是否有测算依据，与补助单位或地方实际是否相适应，用以反映和考核项目预算资金分配的科学性、合理性情况。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①预算资金分配依据是否充分，占50%权重分；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②资金分配额度是否合理，与项目单位或地方实际是否相适应，占50%权重分；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符合一项得对应得权重分，否则扣除对应权重分。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①预算资金分配依据充分；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②资金分配额度经过可研报告、概算书等论证，与项目单位或地方实际是否相适应；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（25分）</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资金管理</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实际到位资金与预算资金的比率，用以反映和考核资金落实情况对项目实施的总体保障程度。</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资金到位率=100%，得满分；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资金到位率≤100%，且未对项目开展造成不良影响，得分=指标分值*资金到位率；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资金到位率﹤100%，且对项目开展造成不良影响，得分等于0。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根据资金下达手续，资金到位率=</w:t>
            </w:r>
            <w:r>
              <w:rPr>
                <w:rFonts w:hint="eastAsia" w:ascii="宋体" w:hAnsi="宋体" w:eastAsia="宋体" w:cs="宋体"/>
                <w:i w:val="0"/>
                <w:iCs w:val="0"/>
                <w:color w:val="000000"/>
                <w:kern w:val="0"/>
                <w:sz w:val="22"/>
                <w:szCs w:val="22"/>
                <w:u w:val="none"/>
                <w:lang w:val="en-US" w:eastAsia="zh-CN" w:bidi="ar"/>
              </w:rPr>
              <w:t>194.385177</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2"/>
                <w:szCs w:val="22"/>
                <w:u w:val="none"/>
                <w:lang w:val="en-US" w:eastAsia="zh-CN" w:bidi="ar"/>
              </w:rPr>
              <w:t>194.385177</w:t>
            </w:r>
            <w:r>
              <w:rPr>
                <w:rFonts w:hint="eastAsia" w:ascii="宋体" w:hAnsi="宋体" w:eastAsia="宋体" w:cs="宋体"/>
                <w:i w:val="0"/>
                <w:iCs w:val="0"/>
                <w:color w:val="000000"/>
                <w:kern w:val="0"/>
                <w:sz w:val="20"/>
                <w:szCs w:val="20"/>
                <w:u w:val="none"/>
                <w:lang w:val="en-US" w:eastAsia="zh-CN" w:bidi="ar"/>
              </w:rPr>
              <w:t>*100%=100%。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项目预算资金是否按照计划执行，用以反映或考核项目预算执行情况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预算执行率=100%得满分；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预算执行率＜100%，每下降1%，扣除0.2分，扣完为止。</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根据资金支出手续、凭证等资料，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预算执行率=（194.385177/194.385177）×100%=100%。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根据评分规则，该指标得满分。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项目资金使用是否符合相关的财务管理制度规定，用以反映或考核项目资金的规范运行情况。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①是否符合国家财经法规和财务管理制度等规定；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②资金的拨付是否有完整的审批程序和手续；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③是否符合项目预算批复或合同规定的用途；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④是否存在截留、挤占、挪用、虚列支出等情况。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出现以上任一违规现象不得分。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①符合国家财经法规和财务管理制度等规定；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②资金的拨付有完整的审批程序和手续；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③符合项目预算批复或合同规定的用途；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④不存在截留、挤占、挪用、虚列支出等情况。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5"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项目管理制度健全性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项目实施单位的财务和业务管理制度是否健全，用以反映和考核财务和业务管理制度对项目顺利实施的保障情况。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①制定或具有相应的财务和业务管理制度，占20%权重分；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②财务和业务管理制度合法、合规、完整，合法、合规各占20%权重，完整占40%权重分；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符合一项得对应得权重分，否则扣除对应权重分。      </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根据获取的制度文件，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①制定或具有相应的财务和业务管理制度；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②财务和业务管理制度合法、合规、完整；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政府采购合规性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考察政府采购申请规范性、政府采购计划备案规范性、信息发布规范及及时性、采购流程规范性等，反映政府采购的规范性。</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检查项目同时满足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①按照政府采购相关规定进行采购，采购流程符合规范；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②签订有合同，合同金额与中标金额一致；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③相关采购文件（包括招标文件、投标文件、评审意见、中标通知书、合同等）齐全，归档完备。得满分，否则不得分。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抽检项目100%“采购规范”得满分，每发现一例，扣除10%的权重分，扣完为止。</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按检查项目资料的结果：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①抽检项目按照政府采购相关规定进行采购，采购流程符合规范。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②抽检项目签订有合同，合同金额与中标金额一致；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③抽检项目的相关采购文件（包括招标文件、投标文件、评审意见、中标通知书、合同等）齐全，归档完备。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抽检项目100%符合“采购规范”得满分。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制度执行有效性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项目实施是否符合相关管理规定，用以反映和考核相关管理制度的有效执行情况。</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①遵守相关法律法规和相关管理规定，10%权重分；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②项目调整及支出调整手续完备，权重20%权重分；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③项目开工、监理、验收、技术鉴定等资料齐全并及时归档，权重40%权重分；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④项目实施的人员条件、场地设备、信息支撑等是否落实到位，权重30%权重分。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根据项目资料的结果：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①遵守相关法律法规和相关管理规定；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②项目调整及支出调整手续完备；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③项目开工、监理、验收、技术鉴定等资料齐全并及时归档；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④项目实施的人员条件、场地设备、信息支撑等落实到位。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项目产出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（35分）</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产出数量</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项目工程量计划完成率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项目实施的实际产出工程量与计划产出工程量的比率，用以反映和考核项目产出数量目标的实现程度。</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项目工程量计划完成率=实际产出工程量/计划完成工程量*100%。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完成率每偏差1%，扣减0.2分。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 </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根据项目资料，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项目工程量计划完成率=16360/15066*100%=108.58%。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偏差率为9%，按照打分规则扣1.8分。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产出质量</w:t>
            </w: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项目质量达标率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项目完成的质量达标产出数与实际产出数的比率，用以反映和考核项目产出质量目标的实现程度。</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质量达标率达到100%得满分，每降低1%，扣减0.5分。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根据项目验收报告和质量评估报告，质量达标率100%，根据评分规则，该指标得100%权重分。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产出时效</w:t>
            </w: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项目完成及时性</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项目完成时间与计划完成时间的比较，用以反映和考核项目产出时效目标的实现程度。</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项目完成及时率达到100%得满分，完成率每降低1%，扣减0.5分。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根据项目过程资料，项目在合同工期内完工。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按照打分规则得100%权重分。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产出成本</w:t>
            </w: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计划成本控制率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考察建设项目实际成本与计划成本的比率</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计划成本控制率≤100%得满分，每增加1%，扣减0.5分。</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招标控制价评审金额：197.998027万元，结算金额：194.385177万元。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计划成本控制率=194.385177/197.998027*100%=98.16%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按照打分规则计算总得100%权重分。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（25分）</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项目受益户数率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考察项目实施直接受益户数占全村户数比例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直接受益户数，指日常出行必须通行此道路的住户</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项目受益户数率≥50%得满分，每下降1%，0.2分，扣完为止。</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根据基础数据表项目所在村在册户数712户，项目直接受益户数492户，项目受益户数率=492/712*100%=69.10%。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根据评分规则，该指标得分为10分。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道路设计使用年限率</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考察农村公路使用年限可持续影响效益</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标准年限按照《小交通量农村公路工程设计规范》（JTGT 3311-2021)水泥混凝土路面设计使用年限不应小于10年。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道路设计使用年限率≥100%得满分，每降低1%，扣0.1分。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项目设计使用年限为10年，满足《小交通量农村公路工程设计规范》（JTGT 3311-2021)标准。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根据评分规则，道路设计使用年限率=10/10*100%=100%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公路沿线农村居民满意度</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考察公路建设范围受益村民的满意度。</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①满意度≥90%，得10分；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②85%≤满意度＜90%，得6分；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③80%≤满意度≤85%，得3分；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④满意度＜80%，得0分</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线下、线上共收集满意度调查问卷56份，非常满意比例97.83%，满意比例1.24%，一般比例0.93%，不满意比例0%。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满意度为99.07%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根据评分规则，该指标得100%权重分。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5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97.90 </w:t>
            </w:r>
          </w:p>
        </w:tc>
        <w:tc>
          <w:tcPr>
            <w:tcW w:w="1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val="en-US" w:eastAsia="zh-CN"/>
        </w:rPr>
      </w:pPr>
      <w:r>
        <w:rPr>
          <w:rFonts w:hint="eastAsia"/>
          <w:lang w:val="en-US" w:eastAsia="zh-CN"/>
        </w:rPr>
        <w:br w:type="page"/>
      </w:r>
    </w:p>
    <w:p>
      <w:pPr>
        <w:pStyle w:val="4"/>
        <w:bidi w:val="0"/>
        <w:rPr>
          <w:rFonts w:hint="eastAsia"/>
          <w:lang w:val="en-US" w:eastAsia="zh-CN"/>
        </w:rPr>
        <w:sectPr>
          <w:pgSz w:w="16838" w:h="11906" w:orient="landscape"/>
          <w:pgMar w:top="1009" w:right="1100" w:bottom="1066" w:left="1157" w:header="851" w:footer="992" w:gutter="0"/>
          <w:pgNumType w:fmt="decimal"/>
          <w:cols w:space="0" w:num="1"/>
          <w:rtlGutter w:val="0"/>
          <w:docGrid w:type="lines" w:linePitch="436" w:charSpace="0"/>
        </w:sectPr>
      </w:pPr>
    </w:p>
    <w:p>
      <w:pPr>
        <w:pStyle w:val="4"/>
        <w:bidi w:val="0"/>
        <w:rPr>
          <w:rFonts w:hint="default"/>
          <w:lang w:val="en-US" w:eastAsia="zh-CN"/>
        </w:rPr>
      </w:pPr>
      <w:bookmarkStart w:id="24" w:name="_Toc14016"/>
      <w:r>
        <w:rPr>
          <w:rFonts w:hint="eastAsia"/>
          <w:lang w:val="en-US" w:eastAsia="zh-CN"/>
        </w:rPr>
        <w:t>附件2 满意度调查问卷分析报告</w:t>
      </w:r>
      <w:bookmarkEnd w:id="24"/>
    </w:p>
    <w:p>
      <w:pPr>
        <w:jc w:val="center"/>
        <w:rPr>
          <w:rFonts w:hint="eastAsia" w:eastAsia="仿宋_GB2312"/>
          <w:b/>
          <w:bCs/>
          <w:sz w:val="30"/>
          <w:szCs w:val="30"/>
          <w:lang w:eastAsia="zh-CN"/>
        </w:rPr>
      </w:pPr>
      <w:r>
        <w:rPr>
          <w:b/>
          <w:bCs/>
          <w:sz w:val="30"/>
          <w:szCs w:val="30"/>
        </w:rPr>
        <w:t>保定市徐水区</w:t>
      </w:r>
      <w:r>
        <w:rPr>
          <w:rFonts w:hint="eastAsia"/>
          <w:b/>
          <w:bCs/>
          <w:sz w:val="30"/>
          <w:szCs w:val="30"/>
          <w:lang w:eastAsia="zh-CN"/>
        </w:rPr>
        <w:t>东史端镇南胡渠村道路改造工程项目</w:t>
      </w:r>
    </w:p>
    <w:p>
      <w:pPr>
        <w:jc w:val="center"/>
        <w:rPr>
          <w:b/>
          <w:bCs/>
          <w:sz w:val="30"/>
          <w:szCs w:val="30"/>
        </w:rPr>
      </w:pPr>
      <w:r>
        <w:rPr>
          <w:b/>
          <w:bCs/>
          <w:sz w:val="30"/>
          <w:szCs w:val="30"/>
        </w:rPr>
        <w:t>周边常住居民满意度问卷报告</w:t>
      </w:r>
    </w:p>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一、调研对象与调研内容</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（一）调研对象</w:t>
      </w:r>
    </w:p>
    <w:p>
      <w:pPr>
        <w:spacing w:line="500" w:lineRule="exact"/>
        <w:ind w:firstLine="480" w:firstLineChars="200"/>
        <w:jc w:val="left"/>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本次调研对象为该项目的周边常住居民</w:t>
      </w:r>
      <w:r>
        <w:rPr>
          <w:rFonts w:hint="eastAsia" w:ascii="Times New Roman" w:hAnsi="Times New Roman" w:eastAsia="仿宋_GB2312" w:cs="Times New Roman"/>
          <w:sz w:val="24"/>
          <w:szCs w:val="24"/>
          <w:lang w:eastAsia="zh-CN"/>
        </w:rPr>
        <w:t>。</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（二）调研内容</w:t>
      </w:r>
    </w:p>
    <w:p>
      <w:pPr>
        <w:spacing w:line="500" w:lineRule="exact"/>
        <w:ind w:firstLine="480" w:firstLineChars="200"/>
        <w:jc w:val="left"/>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单选题</w:t>
      </w:r>
      <w:r>
        <w:rPr>
          <w:rFonts w:ascii="Times New Roman" w:hAnsi="Times New Roman" w:eastAsia="仿宋_GB2312" w:cs="Times New Roman"/>
          <w:sz w:val="24"/>
          <w:szCs w:val="24"/>
        </w:rPr>
        <w:t>：</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您的年龄</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您的身份是</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您对建设工程的施工工期评价为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您对建设工程施工中采取安全防护措施的评价为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您对建设工程施工中采取环境保护措施的评价为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您对东史端镇南胡渠村道路改造工程的建设质量评价为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您对项目建成后道路的通畅性评价为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您对项目建成后解决道路积水问题的评价为</w:t>
      </w:r>
    </w:p>
    <w:p>
      <w:pPr>
        <w:spacing w:line="500" w:lineRule="exact"/>
        <w:ind w:firstLine="480" w:firstLineChars="200"/>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ab/>
      </w:r>
      <w:r>
        <w:rPr>
          <w:rFonts w:hint="eastAsia" w:ascii="Times New Roman" w:hAnsi="Times New Roman" w:eastAsia="仿宋_GB2312" w:cs="Times New Roman"/>
          <w:sz w:val="24"/>
          <w:szCs w:val="24"/>
        </w:rPr>
        <w:tab/>
      </w:r>
      <w:r>
        <w:rPr>
          <w:rFonts w:ascii="Times New Roman" w:hAnsi="Times New Roman" w:eastAsia="仿宋_GB2312" w:cs="Times New Roman"/>
          <w:sz w:val="24"/>
          <w:szCs w:val="24"/>
        </w:rPr>
        <w:t>您对东史端镇南胡渠村道路改造工程项目总体评价为</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二、调研方法与抽样方式</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（一）调研方法</w:t>
      </w:r>
    </w:p>
    <w:p>
      <w:pPr>
        <w:spacing w:line="50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针对上述问卷对象开展问卷调查，在全面调研开展之前先进行论证，根据论证结果对问卷和抽样方式进行一次修改调整。</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（二）抽样方式</w:t>
      </w:r>
    </w:p>
    <w:p>
      <w:pPr>
        <w:spacing w:line="500" w:lineRule="exact"/>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本次问卷调查采</w:t>
      </w:r>
      <w:r>
        <w:rPr>
          <w:rFonts w:hint="eastAsia" w:ascii="Times New Roman" w:hAnsi="Times New Roman" w:eastAsia="仿宋_GB2312" w:cs="Times New Roman"/>
          <w:sz w:val="24"/>
          <w:szCs w:val="24"/>
        </w:rPr>
        <w:t>用的</w:t>
      </w:r>
      <w:r>
        <w:rPr>
          <w:rFonts w:ascii="Times New Roman" w:hAnsi="Times New Roman" w:eastAsia="仿宋_GB2312" w:cs="Times New Roman"/>
          <w:sz w:val="24"/>
          <w:szCs w:val="24"/>
        </w:rPr>
        <w:t>方式</w:t>
      </w:r>
      <w:r>
        <w:rPr>
          <w:rFonts w:hint="eastAsia" w:ascii="Times New Roman" w:hAnsi="Times New Roman" w:eastAsia="仿宋_GB2312" w:cs="Times New Roman"/>
          <w:sz w:val="24"/>
          <w:szCs w:val="24"/>
        </w:rPr>
        <w:t>。</w:t>
      </w:r>
    </w:p>
    <w:p>
      <w:pPr>
        <w:spacing w:line="500" w:lineRule="exact"/>
        <w:ind w:firstLine="482" w:firstLineChars="200"/>
        <w:jc w:val="left"/>
        <w:rPr>
          <w:rFonts w:ascii="Times New Roman" w:hAnsi="Times New Roman" w:eastAsia="仿宋_GB2312" w:cs="Times New Roman"/>
          <w:b/>
          <w:sz w:val="24"/>
          <w:szCs w:val="24"/>
        </w:rPr>
      </w:pPr>
      <w:r>
        <w:rPr>
          <w:rFonts w:ascii="Times New Roman" w:hAnsi="Times New Roman" w:eastAsia="仿宋_GB2312" w:cs="Times New Roman"/>
          <w:b/>
          <w:sz w:val="24"/>
          <w:szCs w:val="24"/>
        </w:rPr>
        <w:t>三、问卷的发放和回收</w:t>
      </w:r>
    </w:p>
    <w:p>
      <w:pPr>
        <w:spacing w:line="50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四、调查问卷的信度与效度分析</w:t>
      </w:r>
    </w:p>
    <w:p>
      <w:pPr>
        <w:spacing w:line="50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1.信度分析</w:t>
      </w:r>
    </w:p>
    <w:p>
      <w:pPr>
        <w:pStyle w:val="19"/>
        <w:ind w:firstLine="480"/>
        <w:rPr>
          <w:sz w:val="24"/>
          <w:szCs w:val="24"/>
        </w:rPr>
      </w:pPr>
      <w:r>
        <w:rPr>
          <w:sz w:val="24"/>
          <w:szCs w:val="24"/>
        </w:rPr>
        <w:t>信度（Reliability）是指测量结果的一致性、稳定性及可靠性。本次问卷调查运用克朗巴哈信度系数法（Cronbach α）来测量满意度问题的信度，其计算公式为：</w:t>
      </w:r>
    </w:p>
    <w:p>
      <w:pPr>
        <w:jc w:val="center"/>
      </w:pPr>
      <w:r>
        <w:drawing>
          <wp:inline distT="0" distB="0" distL="0" distR="0">
            <wp:extent cx="2401570" cy="1296035"/>
            <wp:effectExtent l="0" t="0" r="8255" b="889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5"/>
                    <a:srcRect/>
                    <a:stretch>
                      <a:fillRect/>
                    </a:stretch>
                  </pic:blipFill>
                  <pic:spPr>
                    <a:xfrm>
                      <a:off x="0" y="0"/>
                      <a:ext cx="2401570" cy="1296035"/>
                    </a:xfrm>
                    <a:prstGeom prst="rect">
                      <a:avLst/>
                    </a:prstGeom>
                    <a:noFill/>
                    <a:ln w="9525">
                      <a:noFill/>
                      <a:miter lim="800000"/>
                      <a:headEnd/>
                      <a:tailEnd/>
                    </a:ln>
                  </pic:spPr>
                </pic:pic>
              </a:graphicData>
            </a:graphic>
          </wp:inline>
        </w:drawing>
      </w:r>
    </w:p>
    <w:p>
      <w:pPr>
        <w:pStyle w:val="19"/>
        <w:ind w:firstLine="480"/>
        <w:rPr>
          <w:sz w:val="24"/>
          <w:szCs w:val="24"/>
        </w:rPr>
      </w:pPr>
      <w:r>
        <w:rPr>
          <w:sz w:val="24"/>
          <w:szCs w:val="24"/>
        </w:rPr>
        <w:t>其中</w:t>
      </w:r>
      <w:r>
        <w:rPr>
          <w:sz w:val="24"/>
          <w:szCs w:val="24"/>
        </w:rPr>
        <w:drawing>
          <wp:inline distT="0" distB="0" distL="0" distR="0">
            <wp:extent cx="142875" cy="142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sz w:val="24"/>
          <w:szCs w:val="24"/>
        </w:rPr>
        <w:t>表示问卷中问题的数目，</w:t>
      </w:r>
      <w:r>
        <w:rPr>
          <w:sz w:val="24"/>
          <w:szCs w:val="24"/>
        </w:rPr>
        <w:drawing>
          <wp:inline distT="0" distB="0" distL="0" distR="0">
            <wp:extent cx="19050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sz w:val="24"/>
          <w:szCs w:val="24"/>
        </w:rPr>
        <w:t>为第</w:t>
      </w:r>
      <w:r>
        <w:rPr>
          <w:sz w:val="24"/>
          <w:szCs w:val="24"/>
        </w:rPr>
        <w:drawing>
          <wp:inline distT="0" distB="0" distL="0" distR="0">
            <wp:extent cx="85725" cy="1428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sz w:val="24"/>
          <w:szCs w:val="24"/>
        </w:rPr>
        <w:t>个问题得分的方差，</w:t>
      </w:r>
      <w:r>
        <w:rPr>
          <w:sz w:val="24"/>
          <w:szCs w:val="24"/>
        </w:rPr>
        <w:drawing>
          <wp:inline distT="0" distB="0" distL="0" distR="0">
            <wp:extent cx="190500" cy="2190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sz w:val="24"/>
          <w:szCs w:val="24"/>
        </w:rPr>
        <w:t>为总得分的方差。</w:t>
      </w:r>
    </w:p>
    <w:p>
      <w:pPr>
        <w:pStyle w:val="19"/>
        <w:ind w:firstLine="480"/>
        <w:rPr>
          <w:sz w:val="24"/>
          <w:szCs w:val="24"/>
        </w:rPr>
      </w:pPr>
      <w:r>
        <w:rPr>
          <w:sz w:val="24"/>
          <w:szCs w:val="24"/>
        </w:rPr>
        <w:t>通常，克朗巴哈系数的值在0和1之间。通常情况下，信度系数在0.9以上，则认为量表的内在信度高；信度系数在0.8～0.9之间，则表示量表信度较高；信度系数在0.7～0.8之间，表示量表具有相当的信度；信度系数不超过0.7，一般认为内部一致信度不足。</w:t>
      </w:r>
    </w:p>
    <w:p>
      <w:pPr>
        <w:pStyle w:val="19"/>
        <w:ind w:firstLine="480"/>
        <w:rPr>
          <w:rFonts w:hint="eastAsia" w:eastAsia="仿宋_GB2312"/>
          <w:sz w:val="24"/>
          <w:szCs w:val="24"/>
          <w:lang w:val="en-US" w:eastAsia="zh-CN"/>
        </w:rPr>
      </w:pPr>
      <w:r>
        <w:rPr>
          <w:sz w:val="24"/>
          <w:szCs w:val="24"/>
        </w:rPr>
        <w:t>分析结果显示，本次保定市徐水区东史端镇南胡渠村道路改造工程项目周边常住居民满意度问卷的信度为</w:t>
      </w:r>
      <w:r>
        <w:rPr>
          <w:rFonts w:hint="eastAsia"/>
          <w:sz w:val="24"/>
          <w:szCs w:val="24"/>
          <w:lang w:val="en-US" w:eastAsia="zh-CN"/>
        </w:rPr>
        <w:t>0.85，</w:t>
      </w:r>
      <w:r>
        <w:rPr>
          <w:sz w:val="24"/>
          <w:szCs w:val="24"/>
        </w:rPr>
        <w:t>表示量表信度较高</w:t>
      </w:r>
      <w:r>
        <w:rPr>
          <w:rFonts w:hint="eastAsia"/>
          <w:sz w:val="24"/>
          <w:szCs w:val="24"/>
          <w:lang w:eastAsia="zh-CN"/>
        </w:rPr>
        <w:t>。</w:t>
      </w:r>
    </w:p>
    <w:p>
      <w:pPr>
        <w:spacing w:before="120" w:after="60" w:line="50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2.效度分析</w:t>
      </w:r>
    </w:p>
    <w:p>
      <w:pPr>
        <w:pStyle w:val="19"/>
        <w:ind w:firstLine="480"/>
        <w:rPr>
          <w:sz w:val="24"/>
          <w:szCs w:val="24"/>
        </w:rPr>
      </w:pPr>
      <w:r>
        <w:rPr>
          <w:sz w:val="24"/>
          <w:szCs w:val="24"/>
        </w:rPr>
        <w:t>效度（Validity）用于评价量表的准确度、有效性和正确性，即检验问卷是否能简洁、准确地描述抽样数据的属性和特征以及它们之间的复杂关系。本次问卷调查运用相关系数来估算满意度问题的效度。其计算公式为：</w:t>
      </w:r>
    </w:p>
    <w:p>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1788795" cy="803275"/>
            <wp:effectExtent l="0" t="0" r="1905" b="6350"/>
            <wp:docPr id="39" name="图片 39"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guhj.guhj-PC\AppData\Roaming\Tencent\Users\272031237\QQ\WinTemp\RichOle\2TI[4LD0HV7YK@`SS2C4EML.png"/>
                    <pic:cNvPicPr>
                      <a:picLocks noChangeAspect="1" noChangeArrowheads="1"/>
                    </pic:cNvPicPr>
                  </pic:nvPicPr>
                  <pic:blipFill>
                    <a:blip r:embed="rId10"/>
                    <a:srcRect/>
                    <a:stretch>
                      <a:fillRect/>
                    </a:stretch>
                  </pic:blipFill>
                  <pic:spPr>
                    <a:xfrm>
                      <a:off x="0" y="0"/>
                      <a:ext cx="1788795" cy="803275"/>
                    </a:xfrm>
                    <a:prstGeom prst="rect">
                      <a:avLst/>
                    </a:prstGeom>
                    <a:noFill/>
                    <a:ln w="9525">
                      <a:noFill/>
                      <a:miter lim="800000"/>
                      <a:headEnd/>
                      <a:tailEnd/>
                    </a:ln>
                  </pic:spPr>
                </pic:pic>
              </a:graphicData>
            </a:graphic>
          </wp:inline>
        </w:drawing>
      </w:r>
    </w:p>
    <w:p>
      <w:pPr>
        <w:pStyle w:val="19"/>
        <w:ind w:firstLine="480"/>
        <w:rPr>
          <w:bCs/>
          <w:sz w:val="24"/>
          <w:szCs w:val="24"/>
        </w:rPr>
      </w:pPr>
      <w:r>
        <w:rPr>
          <w:bCs/>
          <w:sz w:val="24"/>
          <w:szCs w:val="24"/>
        </w:rPr>
        <w:t>其中，</w:t>
      </w:r>
      <w:r>
        <w:rPr>
          <w:sz w:val="24"/>
          <w:szCs w:val="24"/>
        </w:rPr>
        <w:drawing>
          <wp:inline distT="0" distB="0" distL="0" distR="0">
            <wp:extent cx="600075" cy="2476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sz w:val="24"/>
          <w:szCs w:val="24"/>
        </w:rPr>
        <w:t>，表示题目得分偏差；</w:t>
      </w:r>
      <w:r>
        <w:rPr>
          <w:sz w:val="24"/>
          <w:szCs w:val="24"/>
        </w:rPr>
        <w:drawing>
          <wp:inline distT="0" distB="0" distL="0" distR="0">
            <wp:extent cx="600075" cy="2476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sz w:val="24"/>
          <w:szCs w:val="24"/>
        </w:rPr>
        <w:t>，表示问卷得分偏差。</w:t>
      </w:r>
    </w:p>
    <w:p>
      <w:pPr>
        <w:spacing w:line="500" w:lineRule="exact"/>
        <w:ind w:firstLine="480" w:firstLineChars="200"/>
        <w:rPr>
          <w:rFonts w:ascii="Times New Roman" w:hAnsi="Times New Roman" w:eastAsia="仿宋_GB2312" w:cs="Times New Roman"/>
          <w:kern w:val="0"/>
          <w:sz w:val="24"/>
          <w:szCs w:val="24"/>
        </w:rPr>
      </w:pPr>
      <w:r>
        <w:rPr>
          <w:rFonts w:ascii="Times New Roman" w:hAnsi="Times New Roman" w:eastAsia="仿宋_GB2312" w:cs="Times New Roman"/>
          <w:bCs/>
          <w:sz w:val="24"/>
          <w:szCs w:val="24"/>
        </w:rPr>
        <w:t>通常，相关系数的值介于</w:t>
      </w:r>
      <w:r>
        <w:rPr>
          <w:rFonts w:ascii="Times New Roman" w:hAnsi="Times New Roman" w:eastAsia="微软雅黑" w:cs="Times New Roman"/>
          <w:sz w:val="24"/>
          <w:szCs w:val="24"/>
        </w:rPr>
        <w:t>–</w:t>
      </w:r>
      <w:r>
        <w:rPr>
          <w:rFonts w:ascii="Times New Roman" w:hAnsi="Times New Roman" w:eastAsia="仿宋_GB2312" w:cs="Times New Roman"/>
          <w:sz w:val="24"/>
          <w:szCs w:val="24"/>
        </w:rPr>
        <w:t>1</w:t>
      </w:r>
      <w:r>
        <w:rPr>
          <w:rFonts w:ascii="Times New Roman" w:hAnsi="Times New Roman" w:eastAsia="仿宋_GB2312" w:cs="Times New Roman"/>
          <w:bCs/>
          <w:sz w:val="24"/>
          <w:szCs w:val="24"/>
        </w:rPr>
        <w:t>与</w:t>
      </w:r>
      <w:r>
        <w:rPr>
          <w:rFonts w:ascii="Times New Roman" w:hAnsi="Times New Roman" w:eastAsia="仿宋_GB2312" w:cs="Times New Roman"/>
          <w:sz w:val="24"/>
          <w:szCs w:val="24"/>
        </w:rPr>
        <w:t>+1</w:t>
      </w:r>
      <w:r>
        <w:rPr>
          <w:rFonts w:ascii="Times New Roman" w:hAnsi="Times New Roman" w:eastAsia="仿宋_GB2312" w:cs="Times New Roman"/>
          <w:bCs/>
          <w:sz w:val="24"/>
          <w:szCs w:val="24"/>
        </w:rPr>
        <w:t>之间。</w:t>
      </w:r>
      <w:r>
        <w:rPr>
          <w:rFonts w:ascii="Times New Roman" w:hAnsi="Times New Roman" w:eastAsia="仿宋_GB2312" w:cs="Times New Roman"/>
          <w:kern w:val="0"/>
          <w:sz w:val="24"/>
          <w:szCs w:val="24"/>
        </w:rPr>
        <w:t>即</w:t>
      </w:r>
      <w:r>
        <w:rPr>
          <w:rFonts w:ascii="Times New Roman" w:hAnsi="Times New Roman" w:eastAsia="仿宋_GB2312" w:cs="Times New Roman"/>
          <w:kern w:val="0"/>
          <w:sz w:val="24"/>
          <w:szCs w:val="24"/>
        </w:rPr>
        <w:drawing>
          <wp:inline distT="0" distB="0" distL="0" distR="0">
            <wp:extent cx="695325" cy="1619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ascii="Times New Roman" w:hAnsi="Times New Roman" w:eastAsia="仿宋_GB2312" w:cs="Times New Roman"/>
          <w:kern w:val="0"/>
          <w:sz w:val="24"/>
          <w:szCs w:val="24"/>
        </w:rPr>
        <w:t>。其中，</w:t>
      </w:r>
      <w:r>
        <w:rPr>
          <w:rFonts w:ascii="Times New Roman" w:hAnsi="Times New Roman" w:eastAsia="仿宋_GB2312" w:cs="Times New Roman"/>
          <w:kern w:val="0"/>
          <w:sz w:val="24"/>
          <w:szCs w:val="24"/>
        </w:rPr>
        <w:drawing>
          <wp:inline distT="0" distB="0" distL="0" distR="0">
            <wp:extent cx="342900" cy="1809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表示两变量正相关；</w:t>
      </w:r>
      <w:r>
        <w:rPr>
          <w:rFonts w:ascii="Times New Roman" w:hAnsi="Times New Roman" w:eastAsia="仿宋_GB2312" w:cs="Times New Roman"/>
          <w:kern w:val="0"/>
          <w:sz w:val="24"/>
          <w:szCs w:val="24"/>
        </w:rPr>
        <w:drawing>
          <wp:inline distT="0" distB="0" distL="0" distR="0">
            <wp:extent cx="34290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表示两变量负相关；</w:t>
      </w:r>
      <w:r>
        <w:rPr>
          <w:rFonts w:ascii="Times New Roman" w:hAnsi="Times New Roman" w:eastAsia="仿宋_GB2312" w:cs="Times New Roman"/>
          <w:kern w:val="0"/>
          <w:sz w:val="24"/>
          <w:szCs w:val="24"/>
        </w:rPr>
        <w:drawing>
          <wp:inline distT="0" distB="0" distL="0" distR="0">
            <wp:extent cx="400050" cy="247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表示两变量间不存在线性相关关系；</w:t>
      </w:r>
      <w:r>
        <w:rPr>
          <w:rFonts w:ascii="Times New Roman" w:hAnsi="Times New Roman" w:eastAsia="仿宋_GB2312" w:cs="Times New Roman"/>
          <w:kern w:val="0"/>
          <w:sz w:val="24"/>
          <w:szCs w:val="24"/>
        </w:rPr>
        <w:drawing>
          <wp:inline distT="0" distB="0" distL="0" distR="0">
            <wp:extent cx="361950"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表示两变量为完全线性相关；</w:t>
      </w:r>
      <w:r>
        <w:rPr>
          <w:rFonts w:ascii="Times New Roman" w:hAnsi="Times New Roman" w:eastAsia="仿宋_GB2312" w:cs="Times New Roman"/>
          <w:kern w:val="0"/>
          <w:sz w:val="24"/>
          <w:szCs w:val="24"/>
        </w:rPr>
        <w:drawing>
          <wp:inline distT="0" distB="0" distL="0" distR="0">
            <wp:extent cx="581025" cy="2476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ascii="Times New Roman" w:hAnsi="Times New Roman" w:eastAsia="仿宋_GB2312" w:cs="Times New Roman"/>
          <w:kern w:val="0"/>
          <w:sz w:val="24"/>
          <w:szCs w:val="24"/>
        </w:rPr>
        <w:t>表示两变量存在一定程度的线性相关，其中</w:t>
      </w:r>
      <w:r>
        <w:rPr>
          <w:rFonts w:ascii="Times New Roman" w:hAnsi="Times New Roman" w:eastAsia="仿宋_GB2312" w:cs="Times New Roman"/>
          <w:kern w:val="0"/>
          <w:sz w:val="24"/>
          <w:szCs w:val="24"/>
        </w:rPr>
        <w:drawing>
          <wp:inline distT="0" distB="0" distL="0" distR="0">
            <wp:extent cx="723900" cy="247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ascii="Times New Roman" w:hAnsi="Times New Roman" w:eastAsia="仿宋_GB2312" w:cs="Times New Roman"/>
          <w:kern w:val="0"/>
          <w:sz w:val="24"/>
          <w:szCs w:val="24"/>
        </w:rPr>
        <w:t>为微弱相关，</w:t>
      </w:r>
      <w:r>
        <w:rPr>
          <w:rFonts w:ascii="Times New Roman" w:hAnsi="Times New Roman" w:eastAsia="仿宋_GB2312" w:cs="Times New Roman"/>
          <w:kern w:val="0"/>
          <w:sz w:val="24"/>
          <w:szCs w:val="24"/>
        </w:rPr>
        <w:drawing>
          <wp:inline distT="0" distB="0" distL="0" distR="0">
            <wp:extent cx="847725" cy="247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hAnsi="Times New Roman" w:eastAsia="仿宋_GB2312" w:cs="Times New Roman"/>
          <w:kern w:val="0"/>
          <w:sz w:val="24"/>
          <w:szCs w:val="24"/>
        </w:rPr>
        <w:t>为低度相关，</w:t>
      </w:r>
      <w:r>
        <w:rPr>
          <w:rFonts w:ascii="Times New Roman" w:hAnsi="Times New Roman" w:eastAsia="仿宋_GB2312" w:cs="Times New Roman"/>
          <w:kern w:val="0"/>
          <w:sz w:val="24"/>
          <w:szCs w:val="24"/>
        </w:rPr>
        <w:drawing>
          <wp:inline distT="0" distB="0" distL="0" distR="0">
            <wp:extent cx="847725" cy="247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ascii="Times New Roman" w:hAnsi="Times New Roman" w:eastAsia="仿宋_GB2312" w:cs="Times New Roman"/>
          <w:kern w:val="0"/>
          <w:sz w:val="24"/>
          <w:szCs w:val="24"/>
        </w:rPr>
        <w:t>为显著相关，</w:t>
      </w:r>
      <w:r>
        <w:rPr>
          <w:rFonts w:ascii="Times New Roman" w:hAnsi="Times New Roman" w:eastAsia="仿宋_GB2312" w:cs="Times New Roman"/>
          <w:kern w:val="0"/>
          <w:sz w:val="24"/>
          <w:szCs w:val="24"/>
        </w:rPr>
        <w:drawing>
          <wp:inline distT="0" distB="0" distL="0" distR="0">
            <wp:extent cx="695325" cy="247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ascii="Times New Roman" w:hAnsi="Times New Roman" w:eastAsia="仿宋_GB2312" w:cs="Times New Roman"/>
          <w:kern w:val="0"/>
          <w:sz w:val="24"/>
          <w:szCs w:val="24"/>
        </w:rPr>
        <w:t>为高度相关。</w:t>
      </w:r>
    </w:p>
    <w:p>
      <w:pPr>
        <w:pStyle w:val="19"/>
        <w:ind w:firstLine="480"/>
        <w:rPr>
          <w:bCs/>
          <w:sz w:val="24"/>
          <w:szCs w:val="24"/>
        </w:rPr>
      </w:pPr>
      <w:r>
        <w:rPr>
          <w:bCs/>
          <w:sz w:val="24"/>
          <w:szCs w:val="24"/>
        </w:rPr>
        <w:t>调查数据计算结果</w:t>
      </w:r>
      <w:r>
        <w:rPr>
          <w:rFonts w:hint="eastAsia"/>
          <w:bCs/>
          <w:sz w:val="24"/>
          <w:szCs w:val="24"/>
          <w:lang w:val="en-US" w:eastAsia="zh-CN"/>
        </w:rPr>
        <w:t>r=0.82，</w:t>
      </w:r>
      <w:r>
        <w:rPr>
          <w:bCs/>
          <w:sz w:val="24"/>
          <w:szCs w:val="24"/>
        </w:rPr>
        <w:t>表明此次问卷效度较高，因此能够很好地反映的满意程度。</w:t>
      </w:r>
    </w:p>
    <w:p>
      <w:pPr>
        <w:spacing w:line="500" w:lineRule="exact"/>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t>五、调查问卷的分析</w:t>
      </w:r>
    </w:p>
    <w:p>
      <w:pPr>
        <w:pStyle w:val="19"/>
        <w:ind w:firstLine="480"/>
        <w:rPr>
          <w:rFonts w:hint="eastAsia"/>
          <w:sz w:val="24"/>
          <w:szCs w:val="24"/>
        </w:rPr>
      </w:pPr>
      <w:r>
        <w:rPr>
          <w:rFonts w:hint="eastAsia"/>
          <w:sz w:val="24"/>
          <w:szCs w:val="24"/>
        </w:rPr>
        <w:t>1.单选题</w:t>
      </w:r>
    </w:p>
    <w:p>
      <w:pPr>
        <w:pStyle w:val="19"/>
        <w:ind w:firstLine="480"/>
        <w:rPr>
          <w:rFonts w:hint="eastAsia"/>
          <w:sz w:val="24"/>
          <w:szCs w:val="24"/>
        </w:rPr>
      </w:pPr>
      <w:r>
        <w:rPr>
          <w:rFonts w:hint="eastAsia"/>
          <w:sz w:val="24"/>
          <w:szCs w:val="24"/>
        </w:rPr>
        <w:t>1)您的年龄</w:t>
      </w:r>
    </w:p>
    <w:p>
      <w:pPr>
        <w:pStyle w:val="19"/>
        <w:ind w:firstLine="480"/>
        <w:rPr>
          <w:rFonts w:hint="eastAsia"/>
          <w:sz w:val="24"/>
          <w:szCs w:val="24"/>
        </w:rPr>
      </w:pPr>
      <w:r>
        <w:rPr>
          <w:rFonts w:hint="eastAsia"/>
          <w:sz w:val="24"/>
          <w:szCs w:val="24"/>
        </w:rPr>
        <w:t>在56份有效问卷中，被调查对象中选25岁及以下的比例为0%，选26-40（含）岁的比例为17.86%，选41-60（含）岁的比例为37.5%，选61岁以上的比例为44.64%。</w:t>
      </w:r>
    </w:p>
    <w:p>
      <w:pPr>
        <w:pStyle w:val="19"/>
        <w:ind w:firstLine="480"/>
        <w:rPr>
          <w:rFonts w:hint="eastAsia"/>
          <w:sz w:val="24"/>
          <w:szCs w:val="24"/>
        </w:rPr>
      </w:pPr>
      <w:r>
        <w:rPr>
          <w:rFonts w:hint="eastAsia"/>
          <w:sz w:val="24"/>
          <w:szCs w:val="24"/>
        </w:rPr>
        <w:t>2)您的身份是</w:t>
      </w:r>
    </w:p>
    <w:p>
      <w:pPr>
        <w:pStyle w:val="19"/>
        <w:ind w:firstLine="480"/>
        <w:rPr>
          <w:rFonts w:hint="eastAsia"/>
          <w:sz w:val="24"/>
          <w:szCs w:val="24"/>
        </w:rPr>
      </w:pPr>
      <w:r>
        <w:rPr>
          <w:rFonts w:hint="eastAsia"/>
          <w:sz w:val="24"/>
          <w:szCs w:val="24"/>
        </w:rPr>
        <w:t>在56份有效问卷中，被调查对象中选农民的比例为100%，选企业职工的比例为0%，选学生的比例为0%，选公职人员的比例为0%，选其他的比例为0%。</w:t>
      </w:r>
    </w:p>
    <w:p>
      <w:pPr>
        <w:pStyle w:val="19"/>
        <w:ind w:firstLine="480"/>
        <w:rPr>
          <w:rFonts w:hint="eastAsia"/>
          <w:sz w:val="24"/>
          <w:szCs w:val="24"/>
        </w:rPr>
      </w:pPr>
      <w:r>
        <w:rPr>
          <w:rFonts w:hint="eastAsia"/>
          <w:sz w:val="24"/>
          <w:szCs w:val="24"/>
        </w:rPr>
        <w:t>3)您对建设工程的施工工期评价为</w:t>
      </w:r>
    </w:p>
    <w:p>
      <w:pPr>
        <w:pStyle w:val="19"/>
        <w:ind w:firstLine="480"/>
        <w:rPr>
          <w:rFonts w:hint="eastAsia"/>
          <w:sz w:val="24"/>
          <w:szCs w:val="24"/>
        </w:rPr>
      </w:pPr>
      <w:r>
        <w:rPr>
          <w:rFonts w:hint="eastAsia"/>
          <w:sz w:val="24"/>
          <w:szCs w:val="24"/>
        </w:rPr>
        <w:t>在56份有效问卷中，被调查对象中选非常满意的比例为96.43%，选满意的比例为0%，选一般的比例为3.57%，选不满意的比例为0%。</w:t>
      </w:r>
    </w:p>
    <w:p>
      <w:pPr>
        <w:pStyle w:val="19"/>
        <w:ind w:firstLine="480"/>
        <w:rPr>
          <w:rFonts w:hint="eastAsia"/>
          <w:sz w:val="24"/>
          <w:szCs w:val="24"/>
        </w:rPr>
      </w:pPr>
      <w:r>
        <w:rPr>
          <w:rFonts w:hint="eastAsia"/>
          <w:sz w:val="24"/>
          <w:szCs w:val="24"/>
        </w:rPr>
        <w:t>4)您对建设工程施工中采取安全防护措施的评价为</w:t>
      </w:r>
    </w:p>
    <w:p>
      <w:pPr>
        <w:pStyle w:val="19"/>
        <w:ind w:firstLine="480"/>
        <w:rPr>
          <w:rFonts w:hint="eastAsia"/>
          <w:sz w:val="24"/>
          <w:szCs w:val="24"/>
        </w:rPr>
      </w:pPr>
      <w:r>
        <w:rPr>
          <w:rFonts w:hint="eastAsia"/>
          <w:sz w:val="24"/>
          <w:szCs w:val="24"/>
        </w:rPr>
        <w:t>在56份有效问卷中，被调查对象中选非常满意的比例为98.21%，选满意的比例为1.79%，选一般的比例为0%，选不满意的比例为0%。</w:t>
      </w:r>
    </w:p>
    <w:p>
      <w:pPr>
        <w:pStyle w:val="19"/>
        <w:ind w:firstLine="480"/>
        <w:rPr>
          <w:rFonts w:hint="eastAsia"/>
          <w:sz w:val="24"/>
          <w:szCs w:val="24"/>
        </w:rPr>
      </w:pPr>
      <w:r>
        <w:rPr>
          <w:rFonts w:hint="eastAsia"/>
          <w:sz w:val="24"/>
          <w:szCs w:val="24"/>
        </w:rPr>
        <w:t>5)您对建设工程施工中采取环境保护措施的评价为</w:t>
      </w:r>
    </w:p>
    <w:p>
      <w:pPr>
        <w:pStyle w:val="19"/>
        <w:ind w:firstLine="480"/>
        <w:rPr>
          <w:rFonts w:hint="eastAsia"/>
          <w:sz w:val="24"/>
          <w:szCs w:val="24"/>
        </w:rPr>
      </w:pPr>
      <w:r>
        <w:rPr>
          <w:rFonts w:hint="eastAsia"/>
          <w:sz w:val="24"/>
          <w:szCs w:val="24"/>
        </w:rPr>
        <w:t>在56份有效问卷中，被调查对象中选非常满意的比例为98.21%，选满意的比例为0%，选一般的比例为1.79%，选不满意的比例为0%。</w:t>
      </w:r>
    </w:p>
    <w:p>
      <w:pPr>
        <w:pStyle w:val="19"/>
        <w:ind w:firstLine="480"/>
        <w:rPr>
          <w:rFonts w:hint="eastAsia"/>
          <w:sz w:val="24"/>
          <w:szCs w:val="24"/>
        </w:rPr>
      </w:pPr>
      <w:r>
        <w:rPr>
          <w:rFonts w:hint="eastAsia"/>
          <w:sz w:val="24"/>
          <w:szCs w:val="24"/>
        </w:rPr>
        <w:t>6)您对东史端镇南胡渠村道路改造工程的建设质量评价为</w:t>
      </w:r>
    </w:p>
    <w:p>
      <w:pPr>
        <w:pStyle w:val="19"/>
        <w:ind w:firstLine="480"/>
        <w:rPr>
          <w:rFonts w:hint="eastAsia"/>
          <w:sz w:val="24"/>
          <w:szCs w:val="24"/>
        </w:rPr>
      </w:pPr>
      <w:r>
        <w:rPr>
          <w:rFonts w:hint="eastAsia"/>
          <w:sz w:val="24"/>
          <w:szCs w:val="24"/>
        </w:rPr>
        <w:t>在56份有效问卷中，被调查对象中选非常满意的比例为98.21%，选满意的比例为1.79%，选一般的比例为0%，选不满意的比例为0%。</w:t>
      </w:r>
    </w:p>
    <w:p>
      <w:pPr>
        <w:pStyle w:val="19"/>
        <w:ind w:firstLine="480"/>
        <w:rPr>
          <w:rFonts w:hint="eastAsia"/>
          <w:sz w:val="24"/>
          <w:szCs w:val="24"/>
        </w:rPr>
      </w:pPr>
      <w:r>
        <w:rPr>
          <w:rFonts w:hint="eastAsia"/>
          <w:sz w:val="24"/>
          <w:szCs w:val="24"/>
        </w:rPr>
        <w:t>7)您对项目建成后道路的通畅性评价为</w:t>
      </w:r>
    </w:p>
    <w:p>
      <w:pPr>
        <w:pStyle w:val="19"/>
        <w:ind w:firstLine="480"/>
        <w:rPr>
          <w:rFonts w:hint="eastAsia"/>
          <w:sz w:val="24"/>
          <w:szCs w:val="24"/>
        </w:rPr>
      </w:pPr>
      <w:r>
        <w:rPr>
          <w:rFonts w:hint="eastAsia"/>
          <w:sz w:val="24"/>
          <w:szCs w:val="24"/>
        </w:rPr>
        <w:t>在56份有效问卷中，被调查对象中选非常满意的比例为100%，选满意的比例为0%，选一般的比例为0%，选不满意的比例为0%。</w:t>
      </w:r>
    </w:p>
    <w:p>
      <w:pPr>
        <w:pStyle w:val="19"/>
        <w:ind w:firstLine="480"/>
        <w:rPr>
          <w:rFonts w:hint="eastAsia"/>
          <w:sz w:val="24"/>
          <w:szCs w:val="24"/>
        </w:rPr>
      </w:pPr>
      <w:r>
        <w:rPr>
          <w:rFonts w:hint="eastAsia"/>
          <w:sz w:val="24"/>
          <w:szCs w:val="24"/>
        </w:rPr>
        <w:t>8)您对项目建成后解决道路积水问题的评价为</w:t>
      </w:r>
    </w:p>
    <w:p>
      <w:pPr>
        <w:pStyle w:val="19"/>
        <w:ind w:firstLine="480"/>
        <w:rPr>
          <w:rFonts w:hint="eastAsia"/>
          <w:sz w:val="24"/>
          <w:szCs w:val="24"/>
        </w:rPr>
      </w:pPr>
      <w:r>
        <w:rPr>
          <w:rFonts w:hint="eastAsia"/>
          <w:sz w:val="24"/>
          <w:szCs w:val="24"/>
        </w:rPr>
        <w:t>在56份有效问卷中，被调查对象中选非常满意的比例为98.21%，选满意的比例为1.79%，选一般的比例为0%，选不满意的比例为0%。</w:t>
      </w:r>
    </w:p>
    <w:p>
      <w:pPr>
        <w:pStyle w:val="19"/>
        <w:ind w:firstLine="480"/>
        <w:rPr>
          <w:rFonts w:hint="eastAsia"/>
          <w:sz w:val="24"/>
          <w:szCs w:val="24"/>
        </w:rPr>
      </w:pPr>
      <w:r>
        <w:rPr>
          <w:rFonts w:hint="eastAsia"/>
          <w:sz w:val="24"/>
          <w:szCs w:val="24"/>
        </w:rPr>
        <w:t>9)您对东史端镇南胡渠村道路改造工程项目总体评价为</w:t>
      </w:r>
    </w:p>
    <w:p>
      <w:pPr>
        <w:pStyle w:val="19"/>
        <w:ind w:firstLine="480"/>
        <w:rPr>
          <w:rFonts w:hint="eastAsia"/>
          <w:sz w:val="24"/>
          <w:szCs w:val="24"/>
        </w:rPr>
      </w:pPr>
      <w:r>
        <w:rPr>
          <w:rFonts w:hint="eastAsia"/>
          <w:sz w:val="24"/>
          <w:szCs w:val="24"/>
        </w:rPr>
        <w:t>在56份有效问卷中，被调查对象中选非常满意的比例为98.21%，选满意的比例为1.79%，选一般的比例为0%，选不满意的比例为0%。</w:t>
      </w:r>
    </w:p>
    <w:p>
      <w:pPr>
        <w:spacing w:line="500" w:lineRule="exact"/>
        <w:ind w:firstLine="480" w:firstLineChars="200"/>
        <w:rPr>
          <w:rFonts w:hint="default"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lang w:val="en-US" w:eastAsia="zh-CN" w:bidi="ar-SA"/>
        </w:rPr>
        <w:t>综合统计，非常满意比例97.83%，满意比例1.24%，一般比例0.93%，不满意比例0%。</w:t>
      </w:r>
    </w:p>
    <w:p>
      <w:pPr>
        <w:numPr>
          <w:ilvl w:val="0"/>
          <w:numId w:val="0"/>
        </w:numPr>
        <w:ind w:firstLine="482" w:firstLineChars="200"/>
        <w:rPr>
          <w:rFonts w:hint="default"/>
          <w:lang w:val="en-US" w:eastAsia="zh-CN"/>
        </w:rPr>
      </w:pPr>
      <w:r>
        <w:rPr>
          <w:rFonts w:hint="eastAsia" w:ascii="Times New Roman" w:hAnsi="Times New Roman" w:eastAsia="仿宋_GB2312" w:cs="Times New Roman"/>
          <w:b/>
          <w:sz w:val="24"/>
          <w:szCs w:val="24"/>
        </w:rPr>
        <w:t>六、</w:t>
      </w:r>
      <w:r>
        <w:rPr>
          <w:rFonts w:ascii="Times New Roman" w:hAnsi="Times New Roman" w:eastAsia="仿宋_GB2312" w:cs="Times New Roman"/>
          <w:b/>
          <w:sz w:val="24"/>
          <w:szCs w:val="24"/>
        </w:rPr>
        <w:t>意见及建议</w:t>
      </w:r>
    </w:p>
    <w:p>
      <w:pPr>
        <w:numPr>
          <w:ilvl w:val="0"/>
          <w:numId w:val="0"/>
        </w:numPr>
        <w:rPr>
          <w:rFonts w:hint="default"/>
          <w:lang w:val="en-US" w:eastAsia="zh-CN"/>
        </w:rPr>
      </w:pPr>
    </w:p>
    <w:p>
      <w:pPr>
        <w:numPr>
          <w:ilvl w:val="0"/>
          <w:numId w:val="0"/>
        </w:numPr>
        <w:rPr>
          <w:rFonts w:hint="default"/>
          <w:lang w:val="en-US" w:eastAsia="zh-CN"/>
        </w:rPr>
      </w:pPr>
    </w:p>
    <w:sectPr>
      <w:pgSz w:w="11906" w:h="16838"/>
      <w:pgMar w:top="1440" w:right="1463" w:bottom="1440" w:left="1519" w:header="851" w:footer="992" w:gutter="0"/>
      <w:pgNumType w:fmt="decimal"/>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GM2ZTA5YWYzZmVmNTZjNmI5YmVhMTNmODQ2Y2MifQ=="/>
  </w:docVars>
  <w:rsids>
    <w:rsidRoot w:val="3CED382C"/>
    <w:rsid w:val="00D72258"/>
    <w:rsid w:val="03101C94"/>
    <w:rsid w:val="03724869"/>
    <w:rsid w:val="045B52FD"/>
    <w:rsid w:val="055333C6"/>
    <w:rsid w:val="06D84AD0"/>
    <w:rsid w:val="06E45A7E"/>
    <w:rsid w:val="08964B56"/>
    <w:rsid w:val="09092C22"/>
    <w:rsid w:val="0C41127C"/>
    <w:rsid w:val="0C9526EF"/>
    <w:rsid w:val="0D36419F"/>
    <w:rsid w:val="0D625D59"/>
    <w:rsid w:val="0DD32D48"/>
    <w:rsid w:val="10B63772"/>
    <w:rsid w:val="13A57706"/>
    <w:rsid w:val="146D1429"/>
    <w:rsid w:val="15EB4733"/>
    <w:rsid w:val="163360DA"/>
    <w:rsid w:val="198B6C64"/>
    <w:rsid w:val="1A0E251F"/>
    <w:rsid w:val="1C9377D7"/>
    <w:rsid w:val="1D1F2402"/>
    <w:rsid w:val="1DB75C08"/>
    <w:rsid w:val="20384A18"/>
    <w:rsid w:val="208A2D9A"/>
    <w:rsid w:val="21CD73E2"/>
    <w:rsid w:val="23D95C44"/>
    <w:rsid w:val="252C2672"/>
    <w:rsid w:val="267A1834"/>
    <w:rsid w:val="27670751"/>
    <w:rsid w:val="2806176C"/>
    <w:rsid w:val="2B0D4CF3"/>
    <w:rsid w:val="2F506315"/>
    <w:rsid w:val="2F6B40C6"/>
    <w:rsid w:val="2FC5115F"/>
    <w:rsid w:val="2FE219A0"/>
    <w:rsid w:val="309E2DC2"/>
    <w:rsid w:val="35944047"/>
    <w:rsid w:val="36301896"/>
    <w:rsid w:val="37003EE2"/>
    <w:rsid w:val="3AD9074E"/>
    <w:rsid w:val="3CED382C"/>
    <w:rsid w:val="3EA979C9"/>
    <w:rsid w:val="3EBD5502"/>
    <w:rsid w:val="405E0D86"/>
    <w:rsid w:val="40E44382"/>
    <w:rsid w:val="41F410CA"/>
    <w:rsid w:val="427C5B2B"/>
    <w:rsid w:val="43E73A30"/>
    <w:rsid w:val="44C256FE"/>
    <w:rsid w:val="45812155"/>
    <w:rsid w:val="48B119FB"/>
    <w:rsid w:val="4948541D"/>
    <w:rsid w:val="49B21370"/>
    <w:rsid w:val="4C6B4F7E"/>
    <w:rsid w:val="50BB2978"/>
    <w:rsid w:val="52ED65CB"/>
    <w:rsid w:val="54CE4AE4"/>
    <w:rsid w:val="56783DDB"/>
    <w:rsid w:val="59590F80"/>
    <w:rsid w:val="5BB44948"/>
    <w:rsid w:val="5D3708F7"/>
    <w:rsid w:val="64F4459D"/>
    <w:rsid w:val="67E90042"/>
    <w:rsid w:val="6CDB7349"/>
    <w:rsid w:val="6CF7545B"/>
    <w:rsid w:val="6FE40706"/>
    <w:rsid w:val="70111815"/>
    <w:rsid w:val="728670E0"/>
    <w:rsid w:val="739C3AEB"/>
    <w:rsid w:val="73DD5247"/>
    <w:rsid w:val="74B86703"/>
    <w:rsid w:val="76047592"/>
    <w:rsid w:val="76C375E1"/>
    <w:rsid w:val="76E47147"/>
    <w:rsid w:val="778D031B"/>
    <w:rsid w:val="78C23FF4"/>
    <w:rsid w:val="79991D8E"/>
    <w:rsid w:val="7C211032"/>
    <w:rsid w:val="7DD86068"/>
    <w:rsid w:val="7E515910"/>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outlineLvl w:val="0"/>
    </w:pPr>
    <w:rPr>
      <w:rFonts w:eastAsia="黑体"/>
      <w:b/>
      <w:kern w:val="44"/>
      <w:sz w:val="32"/>
    </w:rPr>
  </w:style>
  <w:style w:type="paragraph" w:styleId="5">
    <w:name w:val="heading 2"/>
    <w:basedOn w:val="1"/>
    <w:next w:val="1"/>
    <w:unhideWhenUsed/>
    <w:qFormat/>
    <w:uiPriority w:val="0"/>
    <w:pPr>
      <w:keepNext/>
      <w:keepLines/>
      <w:spacing w:beforeLines="0" w:beforeAutospacing="0" w:afterLines="0" w:afterAutospacing="0" w:line="360" w:lineRule="auto"/>
      <w:ind w:firstLine="640" w:firstLineChars="200"/>
      <w:outlineLvl w:val="1"/>
    </w:pPr>
    <w:rPr>
      <w:rFonts w:ascii="Times New Roman" w:hAnsi="Times New Roman"/>
    </w:rPr>
  </w:style>
  <w:style w:type="paragraph" w:styleId="6">
    <w:name w:val="heading 3"/>
    <w:basedOn w:val="1"/>
    <w:next w:val="1"/>
    <w:unhideWhenUsed/>
    <w:qFormat/>
    <w:uiPriority w:val="0"/>
    <w:pPr>
      <w:keepNext/>
      <w:keepLines/>
      <w:spacing w:beforeLines="0" w:beforeAutospacing="0" w:afterLines="0" w:afterAutospacing="0" w:line="360" w:lineRule="auto"/>
      <w:ind w:firstLine="640" w:firstLineChars="200"/>
      <w:outlineLvl w:val="2"/>
    </w:pPr>
  </w:style>
  <w:style w:type="paragraph" w:styleId="7">
    <w:name w:val="heading 4"/>
    <w:basedOn w:val="1"/>
    <w:next w:val="1"/>
    <w:link w:val="18"/>
    <w:unhideWhenUsed/>
    <w:qFormat/>
    <w:uiPriority w:val="0"/>
    <w:pPr>
      <w:keepNext/>
      <w:keepLines/>
      <w:spacing w:beforeLines="0" w:beforeAutospacing="0" w:afterLines="0" w:afterAutospacing="0" w:line="360" w:lineRule="auto"/>
      <w:ind w:firstLine="640" w:firstLineChars="200"/>
      <w:outlineLvl w:val="3"/>
    </w:p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style>
  <w:style w:type="paragraph" w:styleId="3">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line="480" w:lineRule="exact"/>
    </w:pPr>
    <w:rPr>
      <w:sz w:val="28"/>
    </w:rPr>
  </w:style>
  <w:style w:type="paragraph" w:styleId="11">
    <w:name w:val="toc 2"/>
    <w:basedOn w:val="1"/>
    <w:next w:val="1"/>
    <w:qFormat/>
    <w:uiPriority w:val="0"/>
    <w:pPr>
      <w:spacing w:line="460" w:lineRule="exact"/>
      <w:ind w:left="420" w:leftChars="200"/>
    </w:pPr>
    <w:rPr>
      <w:sz w:val="2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 w:type="character" w:customStyle="1" w:styleId="18">
    <w:name w:val="标题 4 Char"/>
    <w:link w:val="7"/>
    <w:qFormat/>
    <w:uiPriority w:val="0"/>
  </w:style>
  <w:style w:type="paragraph" w:customStyle="1" w:styleId="19">
    <w:name w:val="闻政正文"/>
    <w:basedOn w:val="1"/>
    <w:qFormat/>
    <w:uiPriority w:val="0"/>
    <w:pPr>
      <w:spacing w:line="500" w:lineRule="exact"/>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8.wmf"/><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2023-07-12T09:23:00Z</dcterms:created>
  <dc:creator>Guo Yong</dc:creator>
  <cp:lastModifiedBy>lenovo</cp:lastModifiedBy>
  <dcterms:modified xsi:type="dcterms:W3CDTF">2024-01-08T02:25:21Z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A2A0BB69B7154E30A6F6C12CDC0E076D</vt:lpwstr>
  </property>
</Properties>
</file>