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eastAsia="zh-CN"/>
        </w:rPr>
        <w:t>市场监督管理局</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2</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pPr>
        <w:widowControl w:val="0"/>
        <w:adjustRightInd/>
        <w:snapToGrid/>
        <w:spacing w:after="0" w:line="480" w:lineRule="auto"/>
        <w:jc w:val="center"/>
        <w:rPr>
          <w:rFonts w:ascii="黑体" w:hAnsi="黑体" w:eastAsia="黑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3</w:t>
      </w:r>
      <w:r>
        <w:rPr>
          <w:rFonts w:hint="eastAsia" w:cs="Times New Roman" w:asciiTheme="minorEastAsia" w:hAnsiTheme="minorEastAsia" w:eastAsiaTheme="minorEastAsia"/>
          <w:bCs/>
          <w:kern w:val="2"/>
          <w:sz w:val="36"/>
          <w:szCs w:val="36"/>
        </w:rPr>
        <w:t>年</w:t>
      </w:r>
      <w:r>
        <w:rPr>
          <w:rFonts w:hint="default" w:cs="Times New Roman" w:asciiTheme="minorEastAsia" w:hAnsiTheme="minorEastAsia" w:eastAsiaTheme="minorEastAsia"/>
          <w:bCs/>
          <w:kern w:val="2"/>
          <w:sz w:val="36"/>
          <w:szCs w:val="36"/>
          <w:lang w:val="en-US"/>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eastAsia="zh-CN"/>
            </w:rPr>
            <w:t>市场监督管理局</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年部门整体支出情况开展了绩效自评价工作。</w:t>
      </w:r>
    </w:p>
    <w:p>
      <w:pPr>
        <w:pStyle w:val="74"/>
        <w:widowControl/>
        <w:spacing w:line="520" w:lineRule="exact"/>
        <w:ind w:firstLine="640" w:firstLineChars="200"/>
        <w:jc w:val="both"/>
        <w:rPr>
          <w:rFonts w:ascii="仿宋_GB2312" w:hAnsi="仿宋" w:eastAsia="仿宋_GB2312" w:cs="仿宋_GB2312"/>
          <w:sz w:val="32"/>
          <w:szCs w:val="32"/>
        </w:rPr>
      </w:pPr>
      <w:r>
        <w:rPr>
          <w:rFonts w:hint="eastAsia" w:ascii="仿宋_GB2312" w:eastAsia="仿宋_GB2312" w:cs="DengXian-Regular"/>
          <w:sz w:val="32"/>
          <w:szCs w:val="32"/>
        </w:rPr>
        <w:t>保定市徐水区市场监督管理局为正科级行政单位，经费保障形式为财政拨款，下设19个股室，分别为</w:t>
      </w:r>
      <w:r>
        <w:rPr>
          <w:rFonts w:hint="eastAsia" w:ascii="仿宋_GB2312" w:hAnsi="仿宋" w:eastAsia="仿宋_GB2312" w:cs="仿宋_GB2312"/>
          <w:sz w:val="32"/>
          <w:szCs w:val="32"/>
        </w:rPr>
        <w:t>综合股、政策法规股、食品药品安全综合协调检查股、价格监督检查股、市场维权消保股、信用监督管理股、知识产权和广告监督管理股、质量发展和认证认可股、产品质量安全监督管理股、医疗器械营监督管理股、药品监督管理股、保健食品、化妆品监督管理股、餐饮监督管理股、特种设备安全监察股、食品生产安全监督管理股、食品流通监督管理股、计量和标准技术管理股、燃煤和成品油监督管理股、反垄断和反不正当竞争执法股； 派出机构行政编制10个，分别为市场监督管理局执法稽查大队、城东市场监督管理所、城西市场监督管理所、崔庄市场监督管理所、遂城市场监督管理所、漕河市场监督管理所、高林村市场监督管理所、大王店市场监督管理所、瀑河市场监督管理所、大因市场监督管理所。</w:t>
      </w:r>
    </w:p>
    <w:p>
      <w:pPr>
        <w:spacing w:line="560" w:lineRule="exact"/>
        <w:ind w:firstLine="640" w:firstLineChars="200"/>
        <w:rPr>
          <w:rFonts w:ascii="仿宋" w:hAnsi="仿宋" w:eastAsia="仿宋" w:cs="DengXian-Regular"/>
          <w:sz w:val="32"/>
          <w:szCs w:val="32"/>
        </w:rPr>
      </w:pPr>
      <w:r>
        <w:rPr>
          <w:rFonts w:hint="eastAsia" w:ascii="仿宋_GB2312" w:eastAsia="仿宋_GB2312" w:cs="DengXian-Regular"/>
          <w:sz w:val="32"/>
          <w:szCs w:val="32"/>
        </w:rPr>
        <w:t>主要职责有：</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一）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施；规范和维护市场秩序，营造诚实守信、公平竞争的市场环境。</w:t>
      </w:r>
    </w:p>
    <w:p>
      <w:pPr>
        <w:spacing w:line="500" w:lineRule="exact"/>
        <w:ind w:firstLine="640" w:firstLineChars="200"/>
        <w:rPr>
          <w:rFonts w:ascii="仿宋" w:hAnsi="仿宋" w:eastAsia="仿宋"/>
          <w:sz w:val="32"/>
          <w:szCs w:val="32"/>
        </w:rPr>
      </w:pPr>
      <w:r>
        <w:rPr>
          <w:rFonts w:ascii="仿宋" w:hAnsi="仿宋" w:eastAsia="仿宋"/>
          <w:sz w:val="32"/>
          <w:szCs w:val="32"/>
        </w:rPr>
        <w:pict>
          <v:shape id="_tx_id_1_" o:spid="_x0000_s1026" o:spt="202" type="#_x0000_t202" style="position:absolute;left:0pt;margin-left:114.3pt;margin-top:116.65pt;height:3.55pt;width:3.55pt;mso-wrap-distance-bottom:0pt;mso-wrap-distance-left:0pt;mso-wrap-distance-right:0pt;mso-wrap-distance-top:0pt;z-index:251663360;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r>
                    <w:t>1</w:t>
                  </w:r>
                </w:p>
              </w:txbxContent>
            </v:textbox>
            <w10:wrap type="square"/>
          </v:shape>
        </w:pict>
      </w:r>
      <w:r>
        <w:rPr>
          <w:rFonts w:hint="eastAsia" w:ascii="仿宋" w:hAnsi="仿宋" w:eastAsia="仿宋" w:cs="微软雅黑"/>
          <w:sz w:val="32"/>
          <w:szCs w:val="32"/>
        </w:rP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三）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四）负责全区消费者权益保护。负责处理与市场监督管理相关的咨询、投诉、举报，组织开展有关服务领域消费维权工作；依法查处侵害消费者权益的违法行为；建立完善消费者权益保护网络体系，保护消费者、经营者合法权益。指导区消费者协会开展消费维权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（五）负责反垄断统一执法。组织推进竞争政策实施，指导实施公平竞争审查制度。依法对经营者集中行为进行反垄断审查，负责垄断协议、滥用市场支配地位和滥用行政权力排除、限制竞争等反垄断执法工作。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六）负责全区宏观质量管理。拟订并组织实施全区质量发展的制度措施。会同有关部门组织实施重大工程设备质量监理制度，按职责范围组织产品质量事故调查，组织实施缺陷产品召回制度，监督管理产品防伪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七）负责产品质量安全监督管理工作。组织开展辖区内产品质量监督抽查等工作；负责辖区内工业产品生产许可证管理和纤维产品质量监督检验工作；组织开展产品质量安全专项整治工作，依法查处产品质量违法行为；按分工打击假冒伪劣违法活动，组织协调辖区内有关专项打假活动。</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（八）负责全区特种设备安全监督管理。承担本行政区域内特种设备安全监察、监督工作，监督检查高耗能特种设备节能标准和锅炉环境保护标准的执行情况。</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九）负责食品安全监督管理综合协调。承担区政府食品安全委员会日常工作；组织制定全区食品安全重大政策并组织实施。负责食品药品安全监督管理综合协调，推动健全食品安全地方党政同责和跨部门协调联动机制，督促检查乡镇和有关部门履行食品药品安全监督管理职责并负责考核评价。负责食品安全应急体系建设，组织指导全区重大食品安全事件应急处置和调查处理工作，建立健全食品安全信息统一公布和重要信息直报制度。</w:t>
      </w:r>
    </w:p>
    <w:p>
      <w:pPr>
        <w:spacing w:line="500" w:lineRule="exact"/>
        <w:ind w:firstLine="640" w:firstLineChars="200"/>
        <w:rPr>
          <w:rFonts w:ascii="仿宋" w:hAnsi="仿宋" w:eastAsia="仿宋"/>
          <w:sz w:val="32"/>
          <w:szCs w:val="32"/>
        </w:rPr>
      </w:pPr>
      <w:r>
        <w:rPr>
          <w:rFonts w:ascii="仿宋" w:hAnsi="仿宋" w:eastAsia="仿宋"/>
          <w:sz w:val="32"/>
          <w:szCs w:val="32"/>
        </w:rPr>
        <w:pict>
          <v:shape id="_tx_id_2_" o:spid="_x0000_s1027" o:spt="202" type="#_x0000_t202" style="position:absolute;left:0pt;margin-left:17.35pt;margin-top:76.8pt;height:6.15pt;width:9.95pt;mso-wrap-distance-bottom:0pt;mso-wrap-distance-left:0pt;mso-wrap-distance-right:0pt;mso-wrap-distance-top:0pt;z-index:251664384;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txbxContent>
            </v:textbox>
            <w10:wrap type="square"/>
          </v:shape>
        </w:pict>
      </w:r>
      <w:r>
        <w:rPr>
          <w:rFonts w:hint="eastAsia" w:ascii="仿宋" w:hAnsi="仿宋" w:eastAsia="仿宋" w:cs="微软雅黑"/>
          <w:sz w:val="32"/>
          <w:szCs w:val="32"/>
        </w:rPr>
        <w:t>（十）负责食品安全监督管理。建立覆盖食品（含食品添加剂、保健食品、酒类、调味品，下同）生产、流通、消费全过程的监督检查制度和隐患排查治理机制并组织实施，防范区域性、系统性食品安全风险。推动建立食品生产经营者落实主体责任的机制，健全食品安全追溯体系。建立完善食品安全隐患排查治理机制；制定食品安全检查年度计划、重大整顿治理方案并组织落实。参与食品安全风险监测，组织开展食品安全监督抽检、核查处置和风险预警、风险交流工作。按职责分工组织实施特殊食品监督管理。组织指导重大活动食品安全保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一）负责药品（含中药、民族药，下同）、医疗器械和化妆品的质量管理工作。依法查处药品、医疗器械和化妆品生产环节的违法行为。贯彻执行囯家药品、医疗器械和化妆品法律法规。负责监督实施国家药品、医疗器械和化妆品标准和质量管理规范，组织落实分类管理制度。配合实施国家基本药物制度。组织实施中药饮片炮制规范。建立药品不良反应、医疗器械不良事件和药物滥用监测体系，并开展监测和处置工作；负责化妆品的监督管理和不良反应监测的管理。负责制定药品、医疗器械、化妆品监督管理的稽查制度并组织实施，组织查处重大违法行为；监督实施问题产品召回和处置制度。依法承担药品、医疗器械和化妆品安全应急管理工作。配合实施国家基本药物制度。</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二）负责监督管理标准化工作。配合市局依法组织制定区域内市级地方标准。宣传贯彻强制性、推荐性国家标准和行业标准、地方标准。依法协调指导和监督团体标准、企业标准制定工作。协助开展标准化合作，组织开展采用国际标准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三）负责计量工作。推行法定计量单位和国家计量制度，管理和监督地方计量标准和标准物质，依法管理计量器具；组织本地量值传递和比对工作，监督管理商品量、市场计量行为；组织开展能源计量、能效标识监督管理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（十四）负责认证认可工作。依法对本辖区内实验室和检验机构进行监督管理；对认证认可相关的社会中介服务机构实施监督管理；协调和监督强制性认证和自愿认证工作，引导企业按国际惯例进行各种认证。</w:t>
      </w:r>
    </w:p>
    <w:p>
      <w:pPr>
        <w:spacing w:line="500" w:lineRule="exact"/>
        <w:ind w:firstLine="640" w:firstLineChars="200"/>
        <w:rPr>
          <w:rFonts w:ascii="仿宋" w:hAnsi="仿宋" w:eastAsia="仿宋"/>
          <w:sz w:val="32"/>
          <w:szCs w:val="32"/>
        </w:rPr>
      </w:pPr>
      <w:r>
        <w:rPr>
          <w:rFonts w:ascii="仿宋" w:hAnsi="仿宋" w:eastAsia="仿宋"/>
          <w:sz w:val="32"/>
          <w:szCs w:val="32"/>
        </w:rPr>
        <w:pict>
          <v:shape id="_tx_id_4_" o:spid="_x0000_s1028" o:spt="202" type="#_x0000_t202" style="position:absolute;left:0pt;margin-left:159.85pt;margin-top:81.7pt;height:3.55pt;width:3.55pt;mso-wrap-distance-bottom:0pt;mso-wrap-distance-left:0pt;mso-wrap-distance-right:0pt;mso-wrap-distance-top:0pt;z-index:251665408;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r>
                    <w:t>4</w:t>
                  </w:r>
                </w:p>
              </w:txbxContent>
            </v:textbox>
            <w10:wrap type="square"/>
          </v:shape>
        </w:pict>
      </w:r>
      <w:r>
        <w:rPr>
          <w:rFonts w:ascii="仿宋" w:hAnsi="仿宋" w:eastAsia="仿宋"/>
          <w:sz w:val="32"/>
          <w:szCs w:val="32"/>
        </w:rPr>
        <w:pict>
          <v:shape id="_tx_id_3_" o:spid="_x0000_s1029" o:spt="202" type="#_x0000_t202" style="position:absolute;left:0pt;margin-left:21.3pt;margin-top:81.7pt;height:3.55pt;width:3.95pt;mso-wrap-distance-bottom:0pt;mso-wrap-distance-left:0pt;mso-wrap-distance-right:0pt;mso-wrap-distance-top:0pt;z-index:251666432;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r>
                    <w:t>3</w:t>
                  </w:r>
                </w:p>
              </w:txbxContent>
            </v:textbox>
            <w10:wrap type="square"/>
          </v:shape>
        </w:pict>
      </w:r>
      <w:r>
        <w:rPr>
          <w:rFonts w:hint="eastAsia" w:ascii="仿宋" w:hAnsi="仿宋" w:eastAsia="仿宋" w:cs="微软雅黑"/>
          <w:sz w:val="32"/>
          <w:szCs w:val="32"/>
        </w:rPr>
        <w:t>（十五）负责保护知识产权。拟订严格保护商标、专利、原产地地理标志、集成电路布图设计等知识产权地方性法规、规章草案并监督实施。按照国家知识产权保护体系建设方案，推动建设知识产权保护体系。负责开展商标、专利执法工作，负责知识产权争议处理、维权援助和纠纷调处工作。拟订知识产权运用和规范交易的政策，促进知识产权转移转化。负责建立知识产权公共服务体系。推动商标、专利等知识产权信息的传播利用。负责知识产权宣传、人才培训工作。组织实施原产地地理标志统一认定制度。</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（十六）负责指导和监督规范行政执法行为，推动法制建设，完善行政执法与刑事司法衔接机制。</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（十七）负责全区市场监督管理科技和信息化建设、新闻宣传、对外交流与合作。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（十八）承办区委、区政府交办的其他任务。</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指标体系共设置4个一级指标、7个二级指标、27个三级指标，从投入、过程、产出、效果四个方面对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保定市徐水区市场监督管理局2020年部门整体支出综合评价得分为</w:t>
      </w:r>
      <w:r>
        <w:rPr>
          <w:rFonts w:hint="default" w:ascii="仿宋_GB2312" w:eastAsia="仿宋_GB2312" w:cs="DengXian-Regular"/>
          <w:sz w:val="32"/>
          <w:szCs w:val="32"/>
          <w:lang w:val="en-US"/>
        </w:rPr>
        <w:t>97</w:t>
      </w:r>
      <w:r>
        <w:rPr>
          <w:rFonts w:hint="eastAsia" w:ascii="仿宋_GB2312" w:eastAsia="仿宋_GB2312" w:cs="DengXian-Regular"/>
          <w:sz w:val="32"/>
          <w:szCs w:val="32"/>
        </w:rPr>
        <w:t>分，评价等级为“</w:t>
      </w:r>
      <w:r>
        <w:rPr>
          <w:rFonts w:hint="eastAsia" w:ascii="仿宋_GB2312" w:eastAsia="仿宋_GB2312" w:cs="DengXian-Regular"/>
          <w:sz w:val="32"/>
          <w:szCs w:val="32"/>
          <w:lang w:eastAsia="zh-CN"/>
        </w:rPr>
        <w:t>优</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ind w:firstLine="640" w:firstLineChars="200"/>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预算文本—部门职责工作活动绩效目标表中各项支出有个别项目支出时间未按预算支出时间完成 ，不利于对绩效目标实际完成情况进行考核。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r>
        <w:rPr>
          <w:rFonts w:hint="eastAsia" w:ascii="仿宋_GB2312" w:eastAsia="仿宋_GB2312" w:cs="Times New Roman" w:hAnsiTheme="minorEastAsia"/>
          <w:sz w:val="32"/>
          <w:szCs w:val="32"/>
          <w:u w:color="000000"/>
        </w:rPr>
        <w:t>2.预算决算比较。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年单位预算收入</w:t>
      </w:r>
      <w:r>
        <w:rPr>
          <w:rFonts w:hint="default" w:ascii="仿宋_GB2312" w:eastAsia="仿宋_GB2312" w:cs="DengXian-Regular"/>
          <w:sz w:val="32"/>
          <w:szCs w:val="32"/>
          <w:lang w:val="en-US"/>
        </w:rPr>
        <w:t>4846.077641</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，决算4787</w:t>
      </w:r>
      <w:r>
        <w:rPr>
          <w:rFonts w:hint="default" w:ascii="仿宋_GB2312" w:eastAsia="仿宋_GB2312" w:cs="DengXian-Regular"/>
          <w:sz w:val="32"/>
          <w:szCs w:val="32"/>
          <w:lang w:val="en-US" w:eastAsia="zh-CN"/>
        </w:rPr>
        <w:t>.</w:t>
      </w:r>
      <w:r>
        <w:rPr>
          <w:rFonts w:hint="eastAsia" w:ascii="仿宋_GB2312" w:eastAsia="仿宋_GB2312" w:cs="DengXian-Regular"/>
          <w:sz w:val="32"/>
          <w:szCs w:val="32"/>
          <w:lang w:eastAsia="zh-CN"/>
        </w:rPr>
        <w:t>94701万元，较预算减少</w:t>
      </w:r>
      <w:r>
        <w:rPr>
          <w:rFonts w:hint="default" w:ascii="仿宋_GB2312" w:eastAsia="仿宋_GB2312" w:cs="DengXian-Regular"/>
          <w:sz w:val="32"/>
          <w:szCs w:val="32"/>
          <w:lang w:val="en-US" w:eastAsia="zh-CN"/>
        </w:rPr>
        <w:t>58.130631</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决算数较预算数完成基本达到要求，但有个别项目如人员经费支出，有退休因素，影响了个别支出；省级财政厉行节约支出，</w:t>
      </w:r>
      <w:r>
        <w:rPr>
          <w:rFonts w:ascii="仿宋_GB2312" w:eastAsia="仿宋_GB2312" w:cs="DengXian-Regular"/>
          <w:sz w:val="32"/>
          <w:szCs w:val="32"/>
        </w:rPr>
        <w:t>致使决算数据较预算数据较少</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default" w:ascii="仿宋_GB2312" w:eastAsia="仿宋_GB2312" w:cs="DengXian-Regular"/>
          <w:sz w:val="32"/>
          <w:szCs w:val="32"/>
          <w:lang w:val="en-US"/>
        </w:rPr>
        <w:t>3</w:t>
      </w:r>
      <w:r>
        <w:rPr>
          <w:rFonts w:hint="eastAsia" w:ascii="仿宋_GB2312" w:eastAsia="仿宋_GB2312" w:cs="DengXian-Regular"/>
          <w:sz w:val="32"/>
          <w:szCs w:val="32"/>
        </w:rPr>
        <w:t>.政府采购方面</w:t>
      </w:r>
      <w:r>
        <w:rPr>
          <w:rFonts w:hint="eastAsia" w:ascii="仿宋_GB2312" w:eastAsia="仿宋_GB2312" w:cs="Times New Roman" w:hAnsiTheme="minorEastAsia"/>
          <w:sz w:val="32"/>
          <w:szCs w:val="32"/>
          <w:u w:color="000000"/>
        </w:rPr>
        <w:t>政府采购方面</w:t>
      </w:r>
      <w:r>
        <w:rPr>
          <w:rFonts w:hint="eastAsia" w:ascii="仿宋_GB2312" w:eastAsia="仿宋_GB2312" w:cs="Times New Roman" w:hAnsiTheme="minorEastAsia"/>
          <w:sz w:val="32"/>
          <w:szCs w:val="32"/>
          <w:u w:color="000000"/>
          <w:lang w:eastAsia="zh-CN"/>
        </w:rPr>
        <w:t>。严格按照政府采购文件，对集采项目进行统计申报，按招投标手续开展工作，高效使用政府采购资金。</w:t>
      </w:r>
    </w:p>
    <w:p>
      <w:pPr>
        <w:spacing w:after="0" w:line="360" w:lineRule="auto"/>
        <w:ind w:firstLine="640" w:firstLineChars="200"/>
        <w:jc w:val="both"/>
        <w:textAlignment w:val="baseline"/>
        <w:rPr>
          <w:rFonts w:ascii="仿宋_GB2312" w:eastAsia="仿宋_GB2312" w:cs="DengXian-Regular"/>
          <w:sz w:val="32"/>
          <w:szCs w:val="32"/>
        </w:rPr>
      </w:pPr>
      <w:r>
        <w:rPr>
          <w:rFonts w:hint="default" w:ascii="仿宋_GB2312" w:eastAsia="仿宋_GB2312" w:cs="DengXian-Regular"/>
          <w:sz w:val="32"/>
          <w:szCs w:val="32"/>
          <w:lang w:val="en-US"/>
        </w:rPr>
        <w:t>4</w:t>
      </w:r>
      <w:r>
        <w:rPr>
          <w:rFonts w:hint="eastAsia" w:ascii="仿宋_GB2312" w:eastAsia="仿宋_GB2312" w:cs="DengXian-Regular"/>
          <w:sz w:val="32"/>
          <w:szCs w:val="32"/>
        </w:rPr>
        <w:t>.项目资金使用率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default" w:ascii="仿宋_GB2312" w:eastAsia="仿宋_GB2312" w:cs="DengXian-Regular"/>
          <w:sz w:val="32"/>
          <w:szCs w:val="32"/>
          <w:lang w:val="en-US"/>
        </w:rPr>
        <w:t>5</w:t>
      </w:r>
      <w:r>
        <w:rPr>
          <w:rFonts w:hint="eastAsia" w:ascii="仿宋_GB2312" w:eastAsia="仿宋_GB2312" w:cs="DengXian-Regular"/>
          <w:sz w:val="32"/>
          <w:szCs w:val="32"/>
        </w:rPr>
        <w:t>.部分基础数据信息方面部分基础数据信息不完整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徐水区市场监督管理局</w:t>
      </w:r>
      <w:r>
        <w:rPr>
          <w:rFonts w:ascii="仿宋_GB2312" w:eastAsia="仿宋_GB2312" w:cs="DengXian-Regular"/>
          <w:sz w:val="32"/>
          <w:szCs w:val="32"/>
        </w:rPr>
        <w:t>缴纳的五险一金记账凭证</w:t>
      </w:r>
      <w:r>
        <w:rPr>
          <w:rFonts w:hint="eastAsia" w:ascii="仿宋_GB2312" w:eastAsia="仿宋_GB2312" w:cs="DengXian-Regular"/>
          <w:sz w:val="32"/>
          <w:szCs w:val="32"/>
        </w:rPr>
        <w:t>只保留了</w:t>
      </w:r>
      <w:r>
        <w:rPr>
          <w:rFonts w:ascii="仿宋_GB2312" w:eastAsia="仿宋_GB2312" w:cs="DengXian-Regular"/>
          <w:sz w:val="32"/>
          <w:szCs w:val="32"/>
        </w:rPr>
        <w:t>缴费票据，没有付个人明细</w:t>
      </w:r>
      <w:r>
        <w:rPr>
          <w:rFonts w:hint="eastAsia" w:ascii="仿宋_GB2312" w:eastAsia="仿宋_GB2312" w:cs="DengXian-Regular"/>
          <w:sz w:val="32"/>
          <w:szCs w:val="32"/>
        </w:rPr>
        <w:t>，部分基础数据信息缺乏完整性。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w:t>
      </w:r>
      <w:r>
        <w:rPr>
          <w:rFonts w:hint="default" w:ascii="仿宋_GB2312" w:eastAsia="仿宋_GB2312" w:cs="DengXian-Regular"/>
          <w:sz w:val="32"/>
          <w:szCs w:val="32"/>
          <w:lang w:val="en-US"/>
        </w:rPr>
        <w:t>22</w:t>
      </w:r>
      <w:r>
        <w:rPr>
          <w:rFonts w:ascii="仿宋_GB2312" w:eastAsia="仿宋_GB2312" w:cs="DengXian-Regular"/>
          <w:sz w:val="32"/>
          <w:szCs w:val="32"/>
        </w:rPr>
        <w:t>年基本支出决算数较预算数增加比例较大，主要原因为</w:t>
      </w:r>
      <w:r>
        <w:rPr>
          <w:rFonts w:hint="eastAsia" w:ascii="仿宋_GB2312" w:eastAsia="仿宋_GB2312" w:cs="DengXian-Regular"/>
          <w:sz w:val="32"/>
          <w:szCs w:val="32"/>
          <w:lang w:eastAsia="zh-CN"/>
        </w:rPr>
        <w:t>人员工资增长</w:t>
      </w:r>
      <w:r>
        <w:rPr>
          <w:rFonts w:ascii="仿宋_GB2312" w:eastAsia="仿宋_GB2312" w:cs="DengXian-Regular"/>
          <w:sz w:val="32"/>
          <w:szCs w:val="32"/>
        </w:rPr>
        <w:t>，建议202</w:t>
      </w:r>
      <w:r>
        <w:rPr>
          <w:rFonts w:hint="default" w:ascii="仿宋_GB2312" w:eastAsia="仿宋_GB2312" w:cs="DengXian-Regular"/>
          <w:sz w:val="32"/>
          <w:szCs w:val="32"/>
          <w:lang w:val="en-US"/>
        </w:rPr>
        <w:t>3</w:t>
      </w:r>
      <w:r>
        <w:rPr>
          <w:rFonts w:ascii="仿宋_GB2312" w:eastAsia="仿宋_GB2312" w:cs="DengXian-Regular"/>
          <w:sz w:val="32"/>
          <w:szCs w:val="32"/>
        </w:rPr>
        <w:t>年预算根据</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年实际发生人员经费支出、人员数量和工资标准适当安排人员经费预算。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w:t>
      </w:r>
      <w:r>
        <w:rPr>
          <w:rFonts w:hint="default" w:ascii="仿宋_GB2312" w:eastAsia="仿宋_GB2312" w:cs="DengXian-Regular"/>
          <w:sz w:val="32"/>
          <w:szCs w:val="32"/>
          <w:lang w:val="en-US"/>
        </w:rPr>
        <w:t>22</w:t>
      </w:r>
      <w:r>
        <w:rPr>
          <w:rFonts w:ascii="仿宋_GB2312" w:eastAsia="仿宋_GB2312" w:cs="DengXian-Regular"/>
          <w:sz w:val="32"/>
          <w:szCs w:val="32"/>
        </w:rPr>
        <w:t>年项目支出资金使用率较低，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w:t>
      </w:r>
      <w:r>
        <w:rPr>
          <w:rFonts w:hint="default" w:ascii="仿宋_GB2312" w:eastAsia="仿宋_GB2312" w:cs="DengXian-Regular"/>
          <w:sz w:val="32"/>
          <w:szCs w:val="32"/>
          <w:lang w:val="en-US"/>
        </w:rPr>
        <w:t>3</w:t>
      </w:r>
      <w:r>
        <w:rPr>
          <w:rFonts w:ascii="仿宋_GB2312" w:eastAsia="仿宋_GB2312" w:cs="DengXian-Regular"/>
          <w:sz w:val="32"/>
          <w:szCs w:val="32"/>
        </w:rPr>
        <w:t>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eastAsia="zh-CN"/>
        </w:rPr>
        <w:t>市场监督管理局</w:t>
      </w:r>
      <w:r>
        <w:rPr>
          <w:rFonts w:hint="eastAsia" w:ascii="楷体" w:hAnsi="楷体" w:eastAsia="楷体" w:cs="楷体"/>
        </w:rPr>
        <w:t>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bookmarkStart w:id="6" w:name="_Toc465149499"/>
      <w:bookmarkStart w:id="7" w:name="_Toc7075"/>
      <w:bookmarkStart w:id="8" w:name="_Toc492652765"/>
      <w:r>
        <w:rPr>
          <w:rFonts w:hint="eastAsia" w:ascii="仿宋_GB2312" w:eastAsia="仿宋_GB2312" w:cs="DengXian-Regular"/>
          <w:sz w:val="32"/>
          <w:szCs w:val="32"/>
        </w:rPr>
        <w:t>根据保定市徐水区委办公室、保定市徐水区人民政府办公室关于印发《保定市徐水区市场监督管理局职能配置内设机构和人员编制规定》的通知，保定市徐水区市场监督管理局为区行政部门，正科级单位，下设19个股室根据绩效预算管理改革的相关要求，按照“部门职责—工作活动绩效目标”的层级设立了绩效预算架构，职责活动包括</w:t>
      </w:r>
      <w:r>
        <w:rPr>
          <w:rFonts w:hint="eastAsia" w:ascii="仿宋" w:hAnsi="仿宋" w:eastAsia="仿宋" w:cs="微软雅黑"/>
          <w:sz w:val="32"/>
          <w:szCs w:val="32"/>
        </w:rPr>
        <w:t>全区市场综合监督管理、市场主体信用体系建设、全区消费者权益保护、反垄断统一执法、产品质量安全监督管理工作、全区特种设备安全监督管理、食品安全监督管理综合协调监督管理、药品（含中药、民族药，下同）、医疗器械和化妆品的质量管理工作、监督管理标准化工作、计量认证认可工作、保护知识产权</w:t>
      </w:r>
      <w:r>
        <w:rPr>
          <w:rFonts w:hint="eastAsia" w:ascii="仿宋_GB2312" w:eastAsia="仿宋_GB2312" w:cs="DengXian-Regular"/>
          <w:sz w:val="32"/>
          <w:szCs w:val="32"/>
        </w:rPr>
        <w:t>共11部分。</w:t>
      </w:r>
    </w:p>
    <w:p>
      <w:pPr>
        <w:pStyle w:val="4"/>
        <w:spacing w:before="0" w:after="0"/>
        <w:ind w:firstLine="643" w:firstLineChars="200"/>
        <w:jc w:val="both"/>
        <w:rPr>
          <w:rFonts w:ascii="仿宋_GB2312" w:hAnsi="Tahoma" w:cs="DengXian-Regular"/>
          <w:sz w:val="32"/>
        </w:rPr>
      </w:pPr>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92652766"/>
      <w:bookmarkStart w:id="11" w:name="_Toc465149500"/>
      <w:r>
        <w:rPr>
          <w:rFonts w:hint="eastAsia" w:ascii="仿宋_GB2312" w:eastAsia="仿宋_GB2312" w:cs="DengXian-Regular"/>
          <w:sz w:val="32"/>
          <w:szCs w:val="32"/>
        </w:rPr>
        <w:t>按照202</w:t>
      </w:r>
      <w:r>
        <w:rPr>
          <w:rFonts w:hint="default" w:ascii="仿宋_GB2312" w:eastAsia="仿宋_GB2312" w:cs="DengXian-Regular"/>
          <w:sz w:val="32"/>
          <w:szCs w:val="32"/>
          <w:lang w:val="en-US"/>
        </w:rPr>
        <w:t>2</w:t>
      </w:r>
      <w:r>
        <w:rPr>
          <w:rFonts w:hint="eastAsia" w:ascii="仿宋_GB2312" w:eastAsia="仿宋_GB2312" w:cs="DengXian-Regular"/>
          <w:sz w:val="32"/>
          <w:szCs w:val="32"/>
        </w:rPr>
        <w:t>年绩效预算编制要求，保定市徐水区市场监督管理局设置的年度发展规划总体目标为：</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1）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施；规范和维护市场秩序，营造诚实守信、公平竞争的市场环境。</w:t>
      </w:r>
    </w:p>
    <w:p>
      <w:pPr>
        <w:spacing w:line="500" w:lineRule="exact"/>
        <w:ind w:firstLine="640" w:firstLineChars="200"/>
        <w:rPr>
          <w:rFonts w:ascii="仿宋" w:hAnsi="仿宋" w:eastAsia="仿宋"/>
          <w:sz w:val="32"/>
          <w:szCs w:val="32"/>
        </w:rPr>
      </w:pPr>
      <w:r>
        <w:rPr>
          <w:rFonts w:ascii="仿宋" w:hAnsi="仿宋" w:eastAsia="仿宋"/>
          <w:sz w:val="32"/>
          <w:szCs w:val="32"/>
        </w:rPr>
        <w:pict>
          <v:shape id="_x0000_s1030" o:spid="_x0000_s1030" o:spt="202" type="#_x0000_t202" style="position:absolute;left:0pt;margin-left:114.3pt;margin-top:116.65pt;height:3.55pt;width:3.55pt;mso-wrap-distance-bottom:0pt;mso-wrap-distance-left:0pt;mso-wrap-distance-right:0pt;mso-wrap-distance-top:0pt;z-index:251667456;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r>
                    <w:t>1</w:t>
                  </w:r>
                </w:p>
              </w:txbxContent>
            </v:textbox>
            <w10:wrap type="square"/>
          </v:shape>
        </w:pict>
      </w:r>
      <w:r>
        <w:rPr>
          <w:rFonts w:hint="eastAsia" w:ascii="仿宋" w:hAnsi="仿宋" w:eastAsia="仿宋" w:cs="微软雅黑"/>
          <w:sz w:val="32"/>
          <w:szCs w:val="32"/>
        </w:rPr>
        <w:t>（2）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3）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4）负责全区消费者权益保护。负责处理与市场监督管理相关的咨询、投诉、举报，组织开展有关服务领域消费维权工作；依法查处侵害消费者权益的违法行为；建立完善消费者权益保护网络体系，保护消费者、经营者合法权益。指导区消费者协会开展消费维权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（5）负责反垄断统一执法。组织推进竞争政策实施，指导实施公平竞争审查制度。依法对经营者集中行为进行反垄断审查，负责垄断协议、滥用市场支配地位和滥用行政权力排除、限制竞争等反垄断执法工作。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6）负责全区宏观质量管理。拟订并组织实施全区质量发展的制度措施。会同有关部门组织实施重大工程设备质量监理制度，按职责范围组织产品质量事故调查，组织实施缺陷产品召回制度，监督管理产品防伪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7）负责产品质量安全监督管理工作。组织开展辖区内产品质量监督抽查等工作；负责辖区内工业产品生产许可证管理和纤维产品质量监督检验工作；组织开展产品质量安全专项整治工作，依法查处产品质量违法行为；按分工打击假冒伪劣违法活动，组织协调辖区内有关专项打假活动。</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（8）负责全区特种设备安全监督管理。承担本行政区域内特种设备安全监察、监督工作，监督检查高耗能特种设备节能标准和锅炉环境保护标准的执行情况。</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9）负责食品安全监督管理综合协调。承担区政府食品安全委员会日常工作；组织制定全区食品安全重大政策并组织实施。负责食品药品安全监督管理综合协调，推动健全食品安全地方党政同责和跨部门协调联动机制，督促检查乡镇和有关部门履行食品药品安全监督管理职责并负责考核评价。负责食品安全应急体系建设，组织指导全区重大食品安全事件应急处置和调查处理工作，建立健全食品安全信息统一公布和重要信息直报制度。</w:t>
      </w:r>
    </w:p>
    <w:p>
      <w:pPr>
        <w:spacing w:line="500" w:lineRule="exact"/>
        <w:ind w:firstLine="640" w:firstLineChars="200"/>
        <w:rPr>
          <w:rFonts w:ascii="仿宋" w:hAnsi="仿宋" w:eastAsia="仿宋"/>
          <w:sz w:val="32"/>
          <w:szCs w:val="32"/>
        </w:rPr>
      </w:pPr>
      <w:r>
        <w:rPr>
          <w:rFonts w:ascii="仿宋" w:hAnsi="仿宋" w:eastAsia="仿宋"/>
          <w:sz w:val="32"/>
          <w:szCs w:val="32"/>
        </w:rPr>
        <w:pict>
          <v:shape id="_x0000_s1031" o:spid="_x0000_s1031" o:spt="202" type="#_x0000_t202" style="position:absolute;left:0pt;margin-left:17.35pt;margin-top:76.8pt;height:6.15pt;width:9.95pt;mso-wrap-distance-bottom:0pt;mso-wrap-distance-left:0pt;mso-wrap-distance-right:0pt;mso-wrap-distance-top:0pt;z-index:251668480;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txbxContent>
            </v:textbox>
            <w10:wrap type="square"/>
          </v:shape>
        </w:pict>
      </w:r>
      <w:r>
        <w:rPr>
          <w:rFonts w:hint="eastAsia" w:ascii="仿宋" w:hAnsi="仿宋" w:eastAsia="仿宋" w:cs="微软雅黑"/>
          <w:sz w:val="32"/>
          <w:szCs w:val="32"/>
        </w:rPr>
        <w:t>（10）负责食品安全监督管理。建立覆盖食品（含食品添加剂、保健食品、酒类、调味品，下同）生产、流通、消费全过程的监督检查制度和隐患排查治理机制并组织实施，防范区域性、系统性食品安全风险。推动建立食品生产经营者落实主体责任的机制，健全食品安全追溯体系。建立完善食品安全隐患排查治理机制；制定食品安全检查年度计划、重大整顿治理方案并组织落实。参与食品安全风险监测，组织开展食品安全监督抽检、核查处置和风险预警、风险交流工作。按职责分工组织实施特殊食品监督管理。组织指导重大活动食品安全保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11）负责药品（含中药、民族药，下同）、医疗器械和化妆品的质量管理工作。依法查处药品、医疗器械和化妆品生产环节的违法行为。贯彻执行囯家药品、医疗器械和化妆品法律法规。负责监督实施国家药品、医疗器械和化妆品标准和质量管理规范，组织落实分类管理制度。配合实施国家基本药物制度。组织实施中药饮片炮制规范。建立药品不良反应、医疗器械不良事件和药物滥用监测体系，并开展监测和处置工作；负责化妆品的监督管理和不良反应监测的管理。负责制定药品、医疗器械、化妆品监督管理的稽查制度并组织实施，组织查处重大违法行为；监督实施问题产品召回和处置制度。依法承担药品、医疗器械和化妆品安全应急管理工作。配合实施国家基本药物制度。</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12）负责监督管理标准化工作。配合市局依法组织制定区域内市级地方标准。宣传贯彻强制性、推荐性国家标准和行业标准、地方标准。依法协调指导和监督团体标准、企业标准制定工作。协助开展标准化合作，组织开展采用国际标准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13）负责计量工作。推行法定计量单位和国家计量制度，管理和监督地方计量标准和标准物质，依法管理计量器具；组织本地量值传递和比对工作，监督管理商品量、市场计量行为；组织开展能源计量、能效标识监督管理工作。</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（14）负责认证认可工作。依法对本辖区内实验室和检验机构进行监督管理；对认证认可相关的社会中介服务机构实施监督管理；协调和监督强制性认证和自愿认证工作，引导企业按国际惯例进行各种认证。</w:t>
      </w:r>
    </w:p>
    <w:p>
      <w:pPr>
        <w:spacing w:line="500" w:lineRule="exact"/>
        <w:ind w:firstLine="640" w:firstLineChars="200"/>
        <w:rPr>
          <w:rFonts w:ascii="仿宋" w:hAnsi="仿宋" w:eastAsia="仿宋"/>
          <w:sz w:val="32"/>
          <w:szCs w:val="32"/>
        </w:rPr>
      </w:pPr>
      <w:r>
        <w:rPr>
          <w:rFonts w:ascii="仿宋" w:hAnsi="仿宋" w:eastAsia="仿宋"/>
          <w:sz w:val="32"/>
          <w:szCs w:val="32"/>
        </w:rPr>
        <w:pict>
          <v:shape id="_x0000_s1032" o:spid="_x0000_s1032" o:spt="202" type="#_x0000_t202" style="position:absolute;left:0pt;margin-left:159.85pt;margin-top:81.7pt;height:3.55pt;width:3.55pt;mso-wrap-distance-bottom:0pt;mso-wrap-distance-left:0pt;mso-wrap-distance-right:0pt;mso-wrap-distance-top:0pt;z-index:251669504;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r>
                    <w:t>4</w:t>
                  </w:r>
                </w:p>
              </w:txbxContent>
            </v:textbox>
            <w10:wrap type="square"/>
          </v:shape>
        </w:pict>
      </w:r>
      <w:r>
        <w:rPr>
          <w:rFonts w:ascii="仿宋" w:hAnsi="仿宋" w:eastAsia="仿宋"/>
          <w:sz w:val="32"/>
          <w:szCs w:val="32"/>
        </w:rPr>
        <w:pict>
          <v:shape id="_x0000_s1033" o:spid="_x0000_s1033" o:spt="202" type="#_x0000_t202" style="position:absolute;left:0pt;margin-left:21.3pt;margin-top:81.7pt;height:3.55pt;width:3.95pt;mso-wrap-distance-bottom:0pt;mso-wrap-distance-left:0pt;mso-wrap-distance-right:0pt;mso-wrap-distance-top:0pt;z-index:251670528;mso-width-relative:page;mso-height-relative:page;" stroked="f" coordsize="21600,21600">
            <v:path/>
            <v:fill focussize="0,0"/>
            <v:stroke on="f" joinstyle="miter"/>
            <v:imagedata o:title=""/>
            <o:lock v:ext="edit"/>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r>
                    <w:t>3</w:t>
                  </w:r>
                </w:p>
              </w:txbxContent>
            </v:textbox>
            <w10:wrap type="square"/>
          </v:shape>
        </w:pict>
      </w:r>
      <w:r>
        <w:rPr>
          <w:rFonts w:hint="eastAsia" w:ascii="仿宋" w:hAnsi="仿宋" w:eastAsia="仿宋" w:cs="微软雅黑"/>
          <w:sz w:val="32"/>
          <w:szCs w:val="32"/>
        </w:rPr>
        <w:t>（15）负责保护知识产权。拟订严格保护商标、专利、原产地地理标志、集成电路布图设计等知识产权地方性法规、规章草案并监督实施。按照国家知识产权保护体系建设方案，推动建设知识产权保护体系。负责开展商标、专利执法工作，负责知识产权争议处理、维权援助和纠纷调处工作。拟订知识产权运用和规范交易的政策，促进知识产权转移转化。负责建立知识产权公共服务体系。推动商标、专利等知识产权信息的传播利用。负责知识产权宣传、人才培训工作。组织实施原产地地理标志统一认定制度。</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（16）负责指导和监督规范行政执法行为，推动法制建设，完善行政执法与刑事司法衔接机制。</w:t>
      </w:r>
    </w:p>
    <w:p>
      <w:pPr>
        <w:spacing w:line="500" w:lineRule="exact"/>
        <w:ind w:firstLine="640" w:firstLineChars="200"/>
        <w:rPr>
          <w:rFonts w:ascii="仿宋" w:hAnsi="仿宋" w:eastAsia="仿宋"/>
          <w:sz w:val="32"/>
          <w:szCs w:val="32"/>
        </w:rPr>
      </w:pPr>
      <w:r>
        <w:rPr>
          <w:rFonts w:hint="eastAsia" w:ascii="仿宋" w:hAnsi="仿宋" w:eastAsia="仿宋" w:cs="微软雅黑"/>
          <w:sz w:val="32"/>
          <w:szCs w:val="32"/>
        </w:rPr>
        <w:t>（17）负责全区市场监督管理科技和信息化建设、新闻宣传、对外交流与合作。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1.开展辖区食品安全检验检测工作。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2.开展市场监督管理工作。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3.开展市场生产流通领域商品质量抽检工作。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4.市场监管事务管理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年单位预算收入</w:t>
      </w:r>
      <w:r>
        <w:rPr>
          <w:rFonts w:hint="default" w:ascii="仿宋_GB2312" w:eastAsia="仿宋_GB2312" w:cs="DengXian-Regular"/>
          <w:sz w:val="32"/>
          <w:szCs w:val="32"/>
          <w:lang w:val="en-US"/>
        </w:rPr>
        <w:t>4846.077641</w:t>
      </w:r>
      <w:r>
        <w:rPr>
          <w:rFonts w:hint="eastAsia" w:ascii="仿宋_GB2312" w:eastAsia="仿宋_GB2312" w:cs="DengXian-Regular"/>
          <w:sz w:val="32"/>
          <w:szCs w:val="32"/>
        </w:rPr>
        <w:t>万元，均为一般公共预算拨款，其中：财政拨款</w:t>
      </w:r>
      <w:r>
        <w:rPr>
          <w:rFonts w:hint="default" w:ascii="仿宋_GB2312" w:eastAsia="仿宋_GB2312" w:cs="DengXian-Regular"/>
          <w:sz w:val="32"/>
          <w:szCs w:val="32"/>
          <w:lang w:val="en-US"/>
        </w:rPr>
        <w:t>4846.077641</w:t>
      </w:r>
      <w:r>
        <w:rPr>
          <w:rFonts w:hint="eastAsia" w:ascii="仿宋_GB2312" w:eastAsia="仿宋_GB2312" w:cs="DengXian-Regular"/>
          <w:sz w:val="32"/>
          <w:szCs w:val="32"/>
        </w:rPr>
        <w:t>万元。预算收入按功能分类包含：</w:t>
      </w:r>
      <w:r>
        <w:rPr>
          <w:rFonts w:hint="eastAsia" w:ascii="仿宋_GB2312" w:eastAsia="仿宋_GB2312" w:cs="DengXian-Regular"/>
          <w:sz w:val="32"/>
          <w:szCs w:val="32"/>
          <w:lang w:eastAsia="zh-CN"/>
        </w:rPr>
        <w:t>一般公共服务支出4080</w:t>
      </w:r>
      <w:r>
        <w:rPr>
          <w:rFonts w:hint="default" w:ascii="仿宋_GB2312" w:eastAsia="仿宋_GB2312" w:cs="DengXian-Regular"/>
          <w:sz w:val="32"/>
          <w:szCs w:val="32"/>
          <w:lang w:val="en-US" w:eastAsia="zh-CN"/>
        </w:rPr>
        <w:t>.</w:t>
      </w:r>
      <w:r>
        <w:rPr>
          <w:rFonts w:hint="eastAsia" w:ascii="仿宋_GB2312" w:eastAsia="仿宋_GB2312" w:cs="DengXian-Regular"/>
          <w:sz w:val="32"/>
          <w:szCs w:val="32"/>
          <w:lang w:eastAsia="zh-CN"/>
        </w:rPr>
        <w:t>588681万元</w:t>
      </w:r>
      <w:r>
        <w:rPr>
          <w:rFonts w:hint="eastAsia" w:ascii="仿宋_GB2312" w:eastAsia="仿宋_GB2312" w:cs="DengXian-Regular"/>
          <w:sz w:val="32"/>
          <w:szCs w:val="32"/>
        </w:rPr>
        <w:t>，社会保障和就业支出424</w:t>
      </w:r>
      <w:r>
        <w:rPr>
          <w:rFonts w:hint="default" w:ascii="仿宋_GB2312" w:eastAsia="仿宋_GB2312" w:cs="DengXian-Regular"/>
          <w:sz w:val="32"/>
          <w:szCs w:val="32"/>
          <w:lang w:val="en-US"/>
        </w:rPr>
        <w:t>.</w:t>
      </w:r>
      <w:r>
        <w:rPr>
          <w:rFonts w:hint="eastAsia" w:ascii="仿宋_GB2312" w:eastAsia="仿宋_GB2312" w:cs="DengXian-Regular"/>
          <w:sz w:val="32"/>
          <w:szCs w:val="32"/>
        </w:rPr>
        <w:t>382924万元，</w:t>
      </w:r>
      <w:r>
        <w:rPr>
          <w:rFonts w:hint="eastAsia" w:ascii="仿宋_GB2312" w:eastAsia="仿宋_GB2312" w:cs="DengXian-Regular"/>
          <w:sz w:val="32"/>
          <w:szCs w:val="32"/>
          <w:lang w:eastAsia="zh-CN"/>
        </w:rPr>
        <w:t>卫生健康</w:t>
      </w:r>
      <w:r>
        <w:rPr>
          <w:rFonts w:hint="eastAsia" w:ascii="仿宋_GB2312" w:eastAsia="仿宋_GB2312" w:cs="DengXian-Regular"/>
          <w:sz w:val="32"/>
          <w:szCs w:val="32"/>
        </w:rPr>
        <w:t>支出155</w:t>
      </w:r>
      <w:r>
        <w:rPr>
          <w:rFonts w:hint="default" w:ascii="仿宋_GB2312" w:eastAsia="仿宋_GB2312" w:cs="DengXian-Regular"/>
          <w:sz w:val="32"/>
          <w:szCs w:val="32"/>
          <w:lang w:val="en-US"/>
        </w:rPr>
        <w:t>.</w:t>
      </w:r>
      <w:r>
        <w:rPr>
          <w:rFonts w:hint="eastAsia" w:ascii="仿宋_GB2312" w:eastAsia="仿宋_GB2312" w:cs="DengXian-Regular"/>
          <w:sz w:val="32"/>
          <w:szCs w:val="32"/>
        </w:rPr>
        <w:t>999593万元，住房保障支出185</w:t>
      </w:r>
      <w:r>
        <w:rPr>
          <w:rFonts w:hint="default" w:ascii="仿宋_GB2312" w:eastAsia="仿宋_GB2312" w:cs="DengXian-Regular"/>
          <w:sz w:val="32"/>
          <w:szCs w:val="32"/>
          <w:lang w:val="en-US"/>
        </w:rPr>
        <w:t>.</w:t>
      </w:r>
      <w:r>
        <w:rPr>
          <w:rFonts w:hint="eastAsia" w:ascii="仿宋_GB2312" w:eastAsia="仿宋_GB2312" w:cs="DengXian-Regular"/>
          <w:sz w:val="32"/>
          <w:szCs w:val="32"/>
        </w:rPr>
        <w:t>606443万元。具体预算收入详见附件2。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年决算收入4787</w:t>
      </w:r>
      <w:r>
        <w:rPr>
          <w:rFonts w:hint="default" w:ascii="仿宋_GB2312" w:eastAsia="仿宋_GB2312" w:cs="DengXian-Regular"/>
          <w:sz w:val="32"/>
          <w:szCs w:val="32"/>
          <w:lang w:val="en-US"/>
        </w:rPr>
        <w:t>.</w:t>
      </w:r>
      <w:r>
        <w:rPr>
          <w:rFonts w:hint="eastAsia" w:ascii="仿宋_GB2312" w:eastAsia="仿宋_GB2312" w:cs="DengXian-Regular"/>
          <w:sz w:val="32"/>
          <w:szCs w:val="32"/>
        </w:rPr>
        <w:t>94701万元，其中：财政拨款收入4787</w:t>
      </w:r>
      <w:r>
        <w:rPr>
          <w:rFonts w:hint="default" w:ascii="仿宋_GB2312" w:eastAsia="仿宋_GB2312" w:cs="DengXian-Regular"/>
          <w:sz w:val="32"/>
          <w:szCs w:val="32"/>
          <w:lang w:val="en-US"/>
        </w:rPr>
        <w:t>.</w:t>
      </w:r>
      <w:r>
        <w:rPr>
          <w:rFonts w:hint="eastAsia" w:ascii="仿宋_GB2312" w:eastAsia="仿宋_GB2312" w:cs="DengXian-Regular"/>
          <w:sz w:val="32"/>
          <w:szCs w:val="32"/>
        </w:rPr>
        <w:t>94701万元。决算收入按功能分类包含：</w:t>
      </w:r>
      <w:r>
        <w:rPr>
          <w:rFonts w:hint="eastAsia" w:ascii="仿宋_GB2312" w:eastAsia="仿宋_GB2312" w:cs="DengXian-Regular"/>
          <w:sz w:val="32"/>
          <w:szCs w:val="32"/>
          <w:lang w:eastAsia="zh-CN"/>
        </w:rPr>
        <w:t>一般公共服务支出</w:t>
      </w:r>
      <w:r>
        <w:rPr>
          <w:rFonts w:hint="eastAsia" w:ascii="仿宋_GB2312" w:eastAsia="仿宋_GB2312" w:cs="DengXian-Regular"/>
          <w:sz w:val="32"/>
          <w:szCs w:val="32"/>
        </w:rPr>
        <w:t>4021</w:t>
      </w:r>
      <w:r>
        <w:rPr>
          <w:rFonts w:hint="default" w:ascii="仿宋_GB2312" w:eastAsia="仿宋_GB2312" w:cs="DengXian-Regular"/>
          <w:sz w:val="32"/>
          <w:szCs w:val="32"/>
          <w:lang w:val="en-US"/>
        </w:rPr>
        <w:t>.</w:t>
      </w:r>
      <w:r>
        <w:rPr>
          <w:rFonts w:hint="eastAsia" w:ascii="仿宋_GB2312" w:eastAsia="仿宋_GB2312" w:cs="DengXian-Regular"/>
          <w:sz w:val="32"/>
          <w:szCs w:val="32"/>
        </w:rPr>
        <w:t>95805万元，占比</w:t>
      </w:r>
      <w:r>
        <w:rPr>
          <w:rFonts w:hint="default" w:ascii="仿宋_GB2312" w:eastAsia="仿宋_GB2312" w:cs="DengXian-Regular"/>
          <w:sz w:val="32"/>
          <w:szCs w:val="32"/>
          <w:lang w:val="en-US"/>
        </w:rPr>
        <w:t>84</w:t>
      </w:r>
      <w:r>
        <w:rPr>
          <w:rFonts w:hint="eastAsia" w:ascii="仿宋_GB2312" w:eastAsia="仿宋_GB2312" w:cs="DengXian-Regular"/>
          <w:sz w:val="32"/>
          <w:szCs w:val="32"/>
        </w:rPr>
        <w:t>%；社会保障和就业支出421</w:t>
      </w:r>
      <w:r>
        <w:rPr>
          <w:rFonts w:hint="default" w:ascii="仿宋_GB2312" w:eastAsia="仿宋_GB2312" w:cs="DengXian-Regular"/>
          <w:sz w:val="32"/>
          <w:szCs w:val="32"/>
          <w:lang w:val="en-US"/>
        </w:rPr>
        <w:t>.</w:t>
      </w:r>
      <w:r>
        <w:rPr>
          <w:rFonts w:hint="eastAsia" w:ascii="仿宋_GB2312" w:eastAsia="仿宋_GB2312" w:cs="DengXian-Regular"/>
          <w:sz w:val="32"/>
          <w:szCs w:val="32"/>
        </w:rPr>
        <w:t>834595万元，占比</w:t>
      </w:r>
      <w:r>
        <w:rPr>
          <w:rFonts w:hint="default" w:ascii="仿宋_GB2312" w:eastAsia="仿宋_GB2312" w:cs="DengXian-Regular"/>
          <w:sz w:val="32"/>
          <w:szCs w:val="32"/>
          <w:lang w:val="en-US"/>
        </w:rPr>
        <w:t>8.79</w:t>
      </w:r>
      <w:r>
        <w:rPr>
          <w:rFonts w:hint="eastAsia" w:ascii="仿宋_GB2312" w:eastAsia="仿宋_GB2312" w:cs="DengXian-Regular"/>
          <w:sz w:val="32"/>
          <w:szCs w:val="32"/>
        </w:rPr>
        <w:t>%；医疗卫生与计划生育支出135</w:t>
      </w:r>
      <w:r>
        <w:rPr>
          <w:rFonts w:hint="default" w:ascii="仿宋_GB2312" w:eastAsia="仿宋_GB2312" w:cs="DengXian-Regular"/>
          <w:sz w:val="32"/>
          <w:szCs w:val="32"/>
          <w:lang w:val="en-US" w:eastAsia="zh-CN"/>
        </w:rPr>
        <w:t>.</w:t>
      </w:r>
      <w:r>
        <w:rPr>
          <w:rFonts w:hint="eastAsia" w:ascii="仿宋_GB2312" w:eastAsia="仿宋_GB2312" w:cs="DengXian-Regular"/>
          <w:sz w:val="32"/>
          <w:szCs w:val="32"/>
        </w:rPr>
        <w:t>561285万元，占比</w:t>
      </w:r>
      <w:r>
        <w:rPr>
          <w:rFonts w:hint="default" w:ascii="仿宋_GB2312" w:eastAsia="仿宋_GB2312" w:cs="DengXian-Regular"/>
          <w:sz w:val="32"/>
          <w:szCs w:val="32"/>
          <w:lang w:val="en-US"/>
        </w:rPr>
        <w:t>2.83</w:t>
      </w:r>
      <w:r>
        <w:rPr>
          <w:rFonts w:hint="eastAsia" w:ascii="仿宋_GB2312" w:eastAsia="仿宋_GB2312" w:cs="DengXian-Regular"/>
          <w:sz w:val="32"/>
          <w:szCs w:val="32"/>
        </w:rPr>
        <w:t>%；住房保障支出170</w:t>
      </w:r>
      <w:r>
        <w:rPr>
          <w:rFonts w:hint="default" w:ascii="仿宋_GB2312" w:eastAsia="仿宋_GB2312" w:cs="DengXian-Regular"/>
          <w:sz w:val="32"/>
          <w:szCs w:val="32"/>
          <w:lang w:val="en-US"/>
        </w:rPr>
        <w:t>.</w:t>
      </w:r>
      <w:r>
        <w:rPr>
          <w:rFonts w:hint="eastAsia" w:ascii="仿宋_GB2312" w:eastAsia="仿宋_GB2312" w:cs="DengXian-Regular"/>
          <w:sz w:val="32"/>
          <w:szCs w:val="32"/>
        </w:rPr>
        <w:t>512660万元，占比</w:t>
      </w:r>
      <w:r>
        <w:rPr>
          <w:rFonts w:hint="default" w:ascii="仿宋_GB2312" w:eastAsia="仿宋_GB2312" w:cs="DengXian-Regular"/>
          <w:sz w:val="32"/>
          <w:szCs w:val="32"/>
          <w:lang w:val="en-US"/>
        </w:rPr>
        <w:t>4.38</w:t>
      </w:r>
      <w:r>
        <w:rPr>
          <w:rFonts w:hint="eastAsia" w:ascii="仿宋_GB2312" w:eastAsia="仿宋_GB2312" w:cs="DengXian-Regular"/>
          <w:sz w:val="32"/>
          <w:szCs w:val="32"/>
        </w:rPr>
        <w:t>%。具体决算收入详见附件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2</w:t>
      </w:r>
      <w:r>
        <w:rPr>
          <w:rFonts w:hint="eastAsia" w:asciiTheme="minorEastAsia" w:hAnsiTheme="minorEastAsia" w:eastAsiaTheme="minorEastAsia" w:cstheme="minorEastAsia"/>
          <w:b/>
          <w:bCs/>
          <w:sz w:val="32"/>
          <w:szCs w:val="32"/>
        </w:rPr>
        <w:t>年度</w:t>
      </w:r>
      <w:r>
        <w:rPr>
          <w:rFonts w:hint="eastAsia" w:asciiTheme="minorEastAsia" w:hAnsiTheme="minorEastAsia" w:eastAsiaTheme="minorEastAsia" w:cstheme="minorEastAsia"/>
          <w:b/>
          <w:bCs/>
          <w:sz w:val="32"/>
          <w:szCs w:val="32"/>
          <w:lang w:eastAsia="zh-CN"/>
        </w:rPr>
        <w:t>市场监督管理局</w:t>
      </w:r>
      <w:r>
        <w:rPr>
          <w:rFonts w:hint="eastAsia" w:asciiTheme="minorEastAsia" w:hAnsiTheme="minorEastAsia" w:eastAsiaTheme="minorEastAsia" w:cstheme="minorEastAsia"/>
          <w:b/>
          <w:bCs/>
          <w:sz w:val="32"/>
          <w:szCs w:val="32"/>
        </w:rPr>
        <w:t>决算收入结构图</w:t>
      </w:r>
    </w:p>
    <w:p>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394970</wp:posOffset>
            </wp:positionH>
            <wp:positionV relativeFrom="paragraph">
              <wp:posOffset>56515</wp:posOffset>
            </wp:positionV>
            <wp:extent cx="4562475" cy="286639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一般公共预算财政拨款决算收入比年初预算减少</w:t>
      </w:r>
      <w:r>
        <w:rPr>
          <w:rFonts w:hint="default" w:ascii="仿宋_GB2312" w:eastAsia="仿宋_GB2312" w:cs="DengXian-Regular"/>
          <w:sz w:val="32"/>
          <w:szCs w:val="32"/>
          <w:lang w:val="en-US"/>
        </w:rPr>
        <w:t>58.130631</w:t>
      </w:r>
      <w:r>
        <w:rPr>
          <w:rFonts w:hint="eastAsia" w:ascii="仿宋_GB2312" w:eastAsia="仿宋_GB2312" w:cs="DengXian-Regular"/>
          <w:sz w:val="32"/>
          <w:szCs w:val="32"/>
        </w:rPr>
        <w:t>万元，完成年初预算的</w:t>
      </w:r>
      <w:r>
        <w:rPr>
          <w:rFonts w:hint="default" w:ascii="仿宋_GB2312" w:eastAsia="仿宋_GB2312" w:cs="DengXian-Regular"/>
          <w:sz w:val="32"/>
          <w:szCs w:val="32"/>
          <w:lang w:val="en-US"/>
        </w:rPr>
        <w:t>98.78</w:t>
      </w:r>
      <w:r>
        <w:rPr>
          <w:rFonts w:hint="eastAsia" w:ascii="仿宋_GB2312" w:eastAsia="仿宋_GB2312" w:cs="DengXian-Regular"/>
          <w:sz w:val="32"/>
          <w:szCs w:val="32"/>
        </w:rPr>
        <w:t>%。决算收入小于预算收入的主要原因为202</w:t>
      </w:r>
      <w:r>
        <w:rPr>
          <w:rFonts w:hint="default" w:ascii="仿宋_GB2312" w:eastAsia="仿宋_GB2312" w:cs="DengXian-Regular"/>
          <w:sz w:val="32"/>
          <w:szCs w:val="32"/>
          <w:lang w:val="en-US"/>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底有未支付项目资金，资金收回</w:t>
      </w:r>
      <w:r>
        <w:rPr>
          <w:rFonts w:hint="eastAsia" w:ascii="仿宋_GB2312" w:eastAsia="仿宋_GB2312" w:cs="DengXian-Regular"/>
          <w:sz w:val="32"/>
          <w:szCs w:val="32"/>
        </w:rPr>
        <w:t>。预算收入与决算收入对比情况见图2。</w:t>
      </w:r>
    </w:p>
    <w:p>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202</w:t>
      </w:r>
      <w:r>
        <w:rPr>
          <w:rFonts w:hint="default" w:ascii="仿宋_GB2312" w:eastAsia="仿宋_GB2312" w:cs="DengXian-Regular"/>
          <w:sz w:val="32"/>
          <w:szCs w:val="32"/>
          <w:lang w:val="en-US"/>
        </w:rPr>
        <w:t>2</w:t>
      </w:r>
      <w:r>
        <w:rPr>
          <w:rFonts w:hint="eastAsia" w:asciiTheme="minorEastAsia" w:hAnsiTheme="minorEastAsia" w:eastAsiaTheme="minorEastAsia" w:cstheme="minorEastAsia"/>
          <w:b/>
          <w:sz w:val="32"/>
          <w:szCs w:val="32"/>
          <w:u w:color="000000"/>
        </w:rPr>
        <w:t>年度预算收入与决算收入对比图</w: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drawing>
          <wp:anchor distT="0" distB="0" distL="114300" distR="114300" simplePos="0" relativeHeight="251660288" behindDoc="0" locked="0" layoutInCell="1" allowOverlap="1">
            <wp:simplePos x="0" y="0"/>
            <wp:positionH relativeFrom="column">
              <wp:posOffset>77470</wp:posOffset>
            </wp:positionH>
            <wp:positionV relativeFrom="paragraph">
              <wp:posOffset>126365</wp:posOffset>
            </wp:positionV>
            <wp:extent cx="5122545" cy="2747010"/>
            <wp:effectExtent l="0" t="0" r="0" b="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年度单位</w:t>
      </w:r>
      <w:r>
        <w:rPr>
          <w:rFonts w:hint="eastAsia" w:ascii="仿宋_GB2312" w:eastAsia="仿宋_GB2312" w:cs="Times New Roman" w:hAnsiTheme="minorEastAsia"/>
          <w:sz w:val="32"/>
          <w:szCs w:val="32"/>
          <w:u w:color="000000"/>
        </w:rPr>
        <w:t>预算支出安排</w:t>
      </w:r>
      <w:r>
        <w:rPr>
          <w:rFonts w:hint="default" w:ascii="仿宋_GB2312" w:eastAsia="仿宋_GB2312" w:cs="DengXian-Regular"/>
          <w:sz w:val="32"/>
          <w:szCs w:val="32"/>
          <w:lang w:val="en-US"/>
        </w:rPr>
        <w:t>4846.077641</w:t>
      </w:r>
      <w:r>
        <w:rPr>
          <w:rFonts w:hint="eastAsia" w:ascii="仿宋_GB2312" w:eastAsia="仿宋_GB2312" w:cs="Times New Roman" w:hAnsiTheme="minorEastAsia"/>
          <w:sz w:val="32"/>
          <w:szCs w:val="32"/>
          <w:u w:color="000000"/>
        </w:rPr>
        <w:t>万元，其中：基本支出4389</w:t>
      </w:r>
      <w:r>
        <w:rPr>
          <w:rFonts w:hint="default"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114776万元，项目支出457</w:t>
      </w:r>
      <w:r>
        <w:rPr>
          <w:rFonts w:hint="default"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4628.65万元。预算支出按功能分类包含：</w:t>
      </w:r>
      <w:r>
        <w:rPr>
          <w:rFonts w:hint="eastAsia" w:ascii="仿宋_GB2312" w:eastAsia="仿宋_GB2312" w:cs="DengXian-Regular"/>
          <w:sz w:val="32"/>
          <w:szCs w:val="32"/>
          <w:lang w:eastAsia="zh-CN"/>
        </w:rPr>
        <w:t>一般公共服务支出4080</w:t>
      </w:r>
      <w:r>
        <w:rPr>
          <w:rFonts w:hint="default" w:ascii="仿宋_GB2312" w:eastAsia="仿宋_GB2312" w:cs="DengXian-Regular"/>
          <w:sz w:val="32"/>
          <w:szCs w:val="32"/>
          <w:lang w:val="en-US" w:eastAsia="zh-CN"/>
        </w:rPr>
        <w:t>.</w:t>
      </w:r>
      <w:r>
        <w:rPr>
          <w:rFonts w:hint="eastAsia" w:ascii="仿宋_GB2312" w:eastAsia="仿宋_GB2312" w:cs="DengXian-Regular"/>
          <w:sz w:val="32"/>
          <w:szCs w:val="32"/>
          <w:lang w:eastAsia="zh-CN"/>
        </w:rPr>
        <w:t>588681万元</w:t>
      </w:r>
      <w:r>
        <w:rPr>
          <w:rFonts w:hint="eastAsia" w:ascii="仿宋_GB2312" w:eastAsia="仿宋_GB2312" w:cs="DengXian-Regular"/>
          <w:sz w:val="32"/>
          <w:szCs w:val="32"/>
        </w:rPr>
        <w:t>，社会保障和就业支出424</w:t>
      </w:r>
      <w:r>
        <w:rPr>
          <w:rFonts w:hint="default" w:ascii="仿宋_GB2312" w:eastAsia="仿宋_GB2312" w:cs="DengXian-Regular"/>
          <w:sz w:val="32"/>
          <w:szCs w:val="32"/>
          <w:lang w:val="en-US"/>
        </w:rPr>
        <w:t>.</w:t>
      </w:r>
      <w:r>
        <w:rPr>
          <w:rFonts w:hint="eastAsia" w:ascii="仿宋_GB2312" w:eastAsia="仿宋_GB2312" w:cs="DengXian-Regular"/>
          <w:sz w:val="32"/>
          <w:szCs w:val="32"/>
        </w:rPr>
        <w:t>382924万元，</w:t>
      </w:r>
      <w:r>
        <w:rPr>
          <w:rFonts w:hint="eastAsia" w:ascii="仿宋_GB2312" w:eastAsia="仿宋_GB2312" w:cs="DengXian-Regular"/>
          <w:sz w:val="32"/>
          <w:szCs w:val="32"/>
          <w:lang w:eastAsia="zh-CN"/>
        </w:rPr>
        <w:t>卫生健康</w:t>
      </w:r>
      <w:r>
        <w:rPr>
          <w:rFonts w:hint="eastAsia" w:ascii="仿宋_GB2312" w:eastAsia="仿宋_GB2312" w:cs="DengXian-Regular"/>
          <w:sz w:val="32"/>
          <w:szCs w:val="32"/>
        </w:rPr>
        <w:t>支出155</w:t>
      </w:r>
      <w:r>
        <w:rPr>
          <w:rFonts w:hint="default" w:ascii="仿宋_GB2312" w:eastAsia="仿宋_GB2312" w:cs="DengXian-Regular"/>
          <w:sz w:val="32"/>
          <w:szCs w:val="32"/>
          <w:lang w:val="en-US"/>
        </w:rPr>
        <w:t>.</w:t>
      </w:r>
      <w:r>
        <w:rPr>
          <w:rFonts w:hint="eastAsia" w:ascii="仿宋_GB2312" w:eastAsia="仿宋_GB2312" w:cs="DengXian-Regular"/>
          <w:sz w:val="32"/>
          <w:szCs w:val="32"/>
        </w:rPr>
        <w:t>999593万元，住房保障支出185</w:t>
      </w:r>
      <w:r>
        <w:rPr>
          <w:rFonts w:hint="default" w:ascii="仿宋_GB2312" w:eastAsia="仿宋_GB2312" w:cs="DengXian-Regular"/>
          <w:sz w:val="32"/>
          <w:szCs w:val="32"/>
          <w:lang w:val="en-US"/>
        </w:rPr>
        <w:t>.</w:t>
      </w:r>
      <w:r>
        <w:rPr>
          <w:rFonts w:hint="eastAsia" w:ascii="仿宋_GB2312" w:eastAsia="仿宋_GB2312" w:cs="DengXian-Regular"/>
          <w:sz w:val="32"/>
          <w:szCs w:val="32"/>
        </w:rPr>
        <w:t>606443万元</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202X年度单位</w:t>
      </w:r>
      <w:r>
        <w:rPr>
          <w:rFonts w:hint="eastAsia" w:ascii="仿宋_GB2312" w:eastAsia="仿宋_GB2312" w:cs="Times New Roman" w:hAnsiTheme="minorEastAsia"/>
          <w:sz w:val="32"/>
          <w:szCs w:val="32"/>
          <w:u w:color="000000"/>
        </w:rPr>
        <w:t>决算支出为</w:t>
      </w:r>
      <w:r>
        <w:rPr>
          <w:rFonts w:hint="eastAsia" w:ascii="仿宋_GB2312" w:eastAsia="仿宋_GB2312" w:cs="DengXian-Regular"/>
          <w:sz w:val="32"/>
          <w:szCs w:val="32"/>
        </w:rPr>
        <w:t>4787</w:t>
      </w:r>
      <w:r>
        <w:rPr>
          <w:rFonts w:hint="default" w:ascii="仿宋_GB2312" w:eastAsia="仿宋_GB2312" w:cs="DengXian-Regular"/>
          <w:sz w:val="32"/>
          <w:szCs w:val="32"/>
          <w:lang w:val="en-US"/>
        </w:rPr>
        <w:t>.</w:t>
      </w:r>
      <w:r>
        <w:rPr>
          <w:rFonts w:hint="eastAsia" w:ascii="仿宋_GB2312" w:eastAsia="仿宋_GB2312" w:cs="DengXian-Regular"/>
          <w:sz w:val="32"/>
          <w:szCs w:val="32"/>
        </w:rPr>
        <w:t>94701</w:t>
      </w:r>
      <w:r>
        <w:rPr>
          <w:rFonts w:hint="eastAsia" w:ascii="仿宋_GB2312" w:eastAsia="仿宋_GB2312" w:cs="Times New Roman" w:hAnsiTheme="minorEastAsia"/>
          <w:sz w:val="32"/>
          <w:szCs w:val="32"/>
          <w:u w:color="000000"/>
        </w:rPr>
        <w:t>万元，其中：基本支出4338</w:t>
      </w:r>
      <w:r>
        <w:rPr>
          <w:rFonts w:hint="default"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587425万元，项目支出411</w:t>
      </w:r>
      <w:r>
        <w:rPr>
          <w:rFonts w:hint="default"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279165万元。决算支出按功能分类包含：</w:t>
      </w:r>
      <w:r>
        <w:rPr>
          <w:rFonts w:hint="eastAsia" w:ascii="仿宋_GB2312" w:eastAsia="仿宋_GB2312" w:cs="DengXian-Regular"/>
          <w:sz w:val="32"/>
          <w:szCs w:val="32"/>
          <w:lang w:eastAsia="zh-CN"/>
        </w:rPr>
        <w:t>一般公共服务支出</w:t>
      </w:r>
      <w:r>
        <w:rPr>
          <w:rFonts w:hint="eastAsia" w:ascii="仿宋_GB2312" w:eastAsia="仿宋_GB2312" w:cs="DengXian-Regular"/>
          <w:sz w:val="32"/>
          <w:szCs w:val="32"/>
        </w:rPr>
        <w:t>4021</w:t>
      </w:r>
      <w:r>
        <w:rPr>
          <w:rFonts w:hint="default" w:ascii="仿宋_GB2312" w:eastAsia="仿宋_GB2312" w:cs="DengXian-Regular"/>
          <w:sz w:val="32"/>
          <w:szCs w:val="32"/>
          <w:lang w:val="en-US"/>
        </w:rPr>
        <w:t>.</w:t>
      </w:r>
      <w:r>
        <w:rPr>
          <w:rFonts w:hint="eastAsia" w:ascii="仿宋_GB2312" w:eastAsia="仿宋_GB2312" w:cs="DengXian-Regular"/>
          <w:sz w:val="32"/>
          <w:szCs w:val="32"/>
        </w:rPr>
        <w:t>95805万元，占比</w:t>
      </w:r>
      <w:r>
        <w:rPr>
          <w:rFonts w:hint="default" w:ascii="仿宋_GB2312" w:eastAsia="仿宋_GB2312" w:cs="DengXian-Regular"/>
          <w:sz w:val="32"/>
          <w:szCs w:val="32"/>
          <w:lang w:val="en-US"/>
        </w:rPr>
        <w:t>84</w:t>
      </w:r>
      <w:r>
        <w:rPr>
          <w:rFonts w:hint="eastAsia" w:ascii="仿宋_GB2312" w:eastAsia="仿宋_GB2312" w:cs="DengXian-Regular"/>
          <w:sz w:val="32"/>
          <w:szCs w:val="32"/>
        </w:rPr>
        <w:t>%；社会保障和就业支出421</w:t>
      </w:r>
      <w:r>
        <w:rPr>
          <w:rFonts w:hint="default" w:ascii="仿宋_GB2312" w:eastAsia="仿宋_GB2312" w:cs="DengXian-Regular"/>
          <w:sz w:val="32"/>
          <w:szCs w:val="32"/>
          <w:lang w:val="en-US"/>
        </w:rPr>
        <w:t>.</w:t>
      </w:r>
      <w:r>
        <w:rPr>
          <w:rFonts w:hint="eastAsia" w:ascii="仿宋_GB2312" w:eastAsia="仿宋_GB2312" w:cs="DengXian-Regular"/>
          <w:sz w:val="32"/>
          <w:szCs w:val="32"/>
        </w:rPr>
        <w:t>834595万元，占比</w:t>
      </w:r>
      <w:r>
        <w:rPr>
          <w:rFonts w:hint="default" w:ascii="仿宋_GB2312" w:eastAsia="仿宋_GB2312" w:cs="DengXian-Regular"/>
          <w:sz w:val="32"/>
          <w:szCs w:val="32"/>
          <w:lang w:val="en-US"/>
        </w:rPr>
        <w:t>8.79</w:t>
      </w:r>
      <w:r>
        <w:rPr>
          <w:rFonts w:hint="eastAsia" w:ascii="仿宋_GB2312" w:eastAsia="仿宋_GB2312" w:cs="DengXian-Regular"/>
          <w:sz w:val="32"/>
          <w:szCs w:val="32"/>
        </w:rPr>
        <w:t>%；医疗卫生与计划生育支出135</w:t>
      </w:r>
      <w:r>
        <w:rPr>
          <w:rFonts w:hint="default" w:ascii="仿宋_GB2312" w:eastAsia="仿宋_GB2312" w:cs="DengXian-Regular"/>
          <w:sz w:val="32"/>
          <w:szCs w:val="32"/>
          <w:lang w:val="en-US" w:eastAsia="zh-CN"/>
        </w:rPr>
        <w:t>.</w:t>
      </w:r>
      <w:r>
        <w:rPr>
          <w:rFonts w:hint="eastAsia" w:ascii="仿宋_GB2312" w:eastAsia="仿宋_GB2312" w:cs="DengXian-Regular"/>
          <w:sz w:val="32"/>
          <w:szCs w:val="32"/>
        </w:rPr>
        <w:t>561285万元，占比</w:t>
      </w:r>
      <w:r>
        <w:rPr>
          <w:rFonts w:hint="default" w:ascii="仿宋_GB2312" w:eastAsia="仿宋_GB2312" w:cs="DengXian-Regular"/>
          <w:sz w:val="32"/>
          <w:szCs w:val="32"/>
          <w:lang w:val="en-US"/>
        </w:rPr>
        <w:t>2.83</w:t>
      </w:r>
      <w:r>
        <w:rPr>
          <w:rFonts w:hint="eastAsia" w:ascii="仿宋_GB2312" w:eastAsia="仿宋_GB2312" w:cs="DengXian-Regular"/>
          <w:sz w:val="32"/>
          <w:szCs w:val="32"/>
        </w:rPr>
        <w:t>%；住房保障支出170</w:t>
      </w:r>
      <w:r>
        <w:rPr>
          <w:rFonts w:hint="default" w:ascii="仿宋_GB2312" w:eastAsia="仿宋_GB2312" w:cs="DengXian-Regular"/>
          <w:sz w:val="32"/>
          <w:szCs w:val="32"/>
          <w:lang w:val="en-US"/>
        </w:rPr>
        <w:t>.</w:t>
      </w:r>
      <w:r>
        <w:rPr>
          <w:rFonts w:hint="eastAsia" w:ascii="仿宋_GB2312" w:eastAsia="仿宋_GB2312" w:cs="DengXian-Regular"/>
          <w:sz w:val="32"/>
          <w:szCs w:val="32"/>
        </w:rPr>
        <w:t>512660万元，占比</w:t>
      </w:r>
      <w:r>
        <w:rPr>
          <w:rFonts w:hint="default" w:ascii="仿宋_GB2312" w:eastAsia="仿宋_GB2312" w:cs="DengXian-Regular"/>
          <w:sz w:val="32"/>
          <w:szCs w:val="32"/>
          <w:lang w:val="en-US"/>
        </w:rPr>
        <w:t>4.38</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202X年度单位</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440" w:firstLineChars="200"/>
        <w:jc w:val="both"/>
        <w:rPr>
          <w:rFonts w:ascii="仿宋" w:hAnsi="仿宋" w:eastAsia="仿宋"/>
          <w:snapToGrid w:val="0"/>
          <w:sz w:val="32"/>
          <w:szCs w:val="32"/>
        </w:rPr>
      </w:pPr>
      <w:r>
        <w:drawing>
          <wp:anchor distT="0" distB="0" distL="90170" distR="90170" simplePos="0" relativeHeight="251661312" behindDoc="0" locked="0" layoutInCell="1" allowOverlap="1">
            <wp:simplePos x="0" y="0"/>
            <wp:positionH relativeFrom="column">
              <wp:posOffset>143510</wp:posOffset>
            </wp:positionH>
            <wp:positionV relativeFrom="paragraph">
              <wp:posOffset>109220</wp:posOffset>
            </wp:positionV>
            <wp:extent cx="4991100" cy="2790825"/>
            <wp:effectExtent l="0" t="0" r="0" b="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eastAsia="仿宋_GB2312" w:cs="DengXian-Regular"/>
          <w:sz w:val="32"/>
          <w:szCs w:val="32"/>
        </w:rPr>
        <w:t>财政拨款决算支出比年初预算</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rPr>
        <w:t>58.130631</w:t>
      </w:r>
      <w:r>
        <w:rPr>
          <w:rFonts w:hint="eastAsia" w:ascii="仿宋_GB2312" w:eastAsia="仿宋_GB2312" w:cs="DengXian-Regular"/>
          <w:sz w:val="32"/>
          <w:szCs w:val="32"/>
        </w:rPr>
        <w:t>万元。决算支出完成年初预算</w:t>
      </w:r>
      <w:r>
        <w:rPr>
          <w:rFonts w:hint="eastAsia" w:ascii="仿宋_GB2312" w:eastAsia="仿宋_GB2312" w:cs="DengXian-Regular"/>
          <w:sz w:val="32"/>
          <w:szCs w:val="32"/>
          <w:lang w:eastAsia="zh-CN"/>
        </w:rPr>
        <w:t>的</w:t>
      </w:r>
      <w:r>
        <w:rPr>
          <w:rFonts w:hint="default" w:ascii="仿宋_GB2312" w:eastAsia="仿宋_GB2312" w:cs="DengXian-Regular"/>
          <w:sz w:val="32"/>
          <w:szCs w:val="32"/>
          <w:lang w:val="en-US" w:eastAsia="zh-CN"/>
        </w:rPr>
        <w:t>98.78</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主要原因为202</w:t>
      </w:r>
      <w:r>
        <w:rPr>
          <w:rFonts w:hint="default" w:ascii="仿宋_GB2312" w:eastAsia="仿宋_GB2312" w:cs="DengXian-Regular"/>
          <w:sz w:val="32"/>
          <w:szCs w:val="32"/>
          <w:lang w:val="en-US"/>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底有未支付项目资金，资金收回</w:t>
      </w:r>
      <w:r>
        <w:rPr>
          <w:rFonts w:hint="eastAsia" w:ascii="仿宋" w:hAnsi="仿宋" w:eastAsia="仿宋"/>
          <w:snapToGrid w:val="0"/>
          <w:sz w:val="32"/>
          <w:szCs w:val="32"/>
        </w:rPr>
        <w:t>。预算支出与决算支出对比情况如图4。</w:t>
      </w:r>
    </w:p>
    <w:p>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drawing>
          <wp:anchor distT="0" distB="0" distL="114300" distR="114300" simplePos="0" relativeHeight="251662336" behindDoc="0" locked="0" layoutInCell="1" allowOverlap="1">
            <wp:simplePos x="0" y="0"/>
            <wp:positionH relativeFrom="column">
              <wp:posOffset>144145</wp:posOffset>
            </wp:positionH>
            <wp:positionV relativeFrom="paragraph">
              <wp:posOffset>499745</wp:posOffset>
            </wp:positionV>
            <wp:extent cx="5102225" cy="2717165"/>
            <wp:effectExtent l="0" t="0" r="0" b="0"/>
            <wp:wrapSquare wrapText="bothSides"/>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w:t>
      </w:r>
      <w:r>
        <w:rPr>
          <w:rFonts w:hint="eastAsia" w:asciiTheme="minorEastAsia" w:hAnsiTheme="minorEastAsia" w:eastAsiaTheme="minorEastAsia" w:cstheme="minorEastAsia"/>
          <w:b/>
          <w:bCs/>
          <w:sz w:val="32"/>
          <w:szCs w:val="32"/>
        </w:rPr>
        <w:t>预算支出与决算支出对比图</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年实际项目支出</w:t>
      </w:r>
      <w:r>
        <w:rPr>
          <w:rFonts w:hint="eastAsia" w:ascii="仿宋_GB2312" w:eastAsia="仿宋_GB2312" w:cs="Times New Roman" w:hAnsiTheme="minorEastAsia"/>
          <w:sz w:val="32"/>
          <w:szCs w:val="32"/>
          <w:u w:color="000000"/>
        </w:rPr>
        <w:t>411</w:t>
      </w:r>
      <w:r>
        <w:rPr>
          <w:rFonts w:hint="default"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279165</w:t>
      </w:r>
      <w:r>
        <w:rPr>
          <w:rFonts w:hint="eastAsia" w:ascii="仿宋_GB2312" w:eastAsia="仿宋_GB2312" w:cs="DengXian-Regular"/>
          <w:sz w:val="32"/>
          <w:szCs w:val="32"/>
        </w:rPr>
        <w:t>万元，决算报表中项目支出</w:t>
      </w:r>
      <w:r>
        <w:rPr>
          <w:rFonts w:hint="eastAsia" w:ascii="仿宋_GB2312" w:eastAsia="仿宋_GB2312" w:cs="Times New Roman" w:hAnsiTheme="minorEastAsia"/>
          <w:sz w:val="32"/>
          <w:szCs w:val="32"/>
          <w:u w:color="000000"/>
        </w:rPr>
        <w:t>411</w:t>
      </w:r>
      <w:r>
        <w:rPr>
          <w:rFonts w:hint="default"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279165</w:t>
      </w:r>
      <w:r>
        <w:rPr>
          <w:rFonts w:hint="eastAsia" w:ascii="仿宋_GB2312" w:eastAsia="仿宋_GB2312" w:cs="DengXian-Regular"/>
          <w:sz w:val="32"/>
          <w:szCs w:val="32"/>
        </w:rPr>
        <w:t>万元，实际支出与决算报表差</w:t>
      </w:r>
      <w:r>
        <w:rPr>
          <w:rFonts w:hint="default" w:ascii="仿宋_GB2312" w:eastAsia="仿宋_GB2312" w:cs="DengXian-Regular"/>
          <w:sz w:val="32"/>
          <w:szCs w:val="32"/>
          <w:lang w:val="en-US"/>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19291"/>
      <w:bookmarkStart w:id="14" w:name="_Toc492652769"/>
      <w:bookmarkStart w:id="15" w:name="_Toc465149503"/>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w:t>
      </w:r>
      <w:r>
        <w:rPr>
          <w:rFonts w:hint="default" w:ascii="仿宋_GB2312" w:eastAsia="仿宋_GB2312" w:cs="DengXian-Regular"/>
          <w:sz w:val="32"/>
          <w:szCs w:val="32"/>
          <w:lang w:val="en-US"/>
        </w:rPr>
        <w:t>22</w:t>
      </w:r>
      <w:r>
        <w:rPr>
          <w:rFonts w:hint="eastAsia" w:ascii="仿宋_GB2312" w:eastAsia="仿宋_GB2312" w:cs="DengXian-Regular"/>
          <w:sz w:val="32"/>
          <w:szCs w:val="32"/>
        </w:rPr>
        <w:t>年单位“三公”经费预算66</w:t>
      </w:r>
      <w:r>
        <w:rPr>
          <w:rFonts w:hint="default" w:ascii="仿宋_GB2312" w:eastAsia="仿宋_GB2312" w:cs="DengXian-Regular"/>
          <w:sz w:val="32"/>
          <w:szCs w:val="32"/>
          <w:lang w:val="en-US"/>
        </w:rPr>
        <w:t>.</w:t>
      </w:r>
      <w:r>
        <w:rPr>
          <w:rFonts w:hint="eastAsia" w:ascii="仿宋_GB2312" w:eastAsia="仿宋_GB2312" w:cs="DengXian-Regular"/>
          <w:sz w:val="32"/>
          <w:szCs w:val="32"/>
        </w:rPr>
        <w:t>500724万元（公务用车运行维护费66</w:t>
      </w:r>
      <w:r>
        <w:rPr>
          <w:rFonts w:hint="default" w:ascii="仿宋_GB2312" w:eastAsia="仿宋_GB2312" w:cs="DengXian-Regular"/>
          <w:sz w:val="32"/>
          <w:szCs w:val="32"/>
          <w:lang w:val="en-US"/>
        </w:rPr>
        <w:t>.</w:t>
      </w:r>
      <w:r>
        <w:rPr>
          <w:rFonts w:hint="eastAsia" w:ascii="仿宋_GB2312" w:eastAsia="仿宋_GB2312" w:cs="DengXian-Regular"/>
          <w:sz w:val="32"/>
          <w:szCs w:val="32"/>
        </w:rPr>
        <w:t>500724万元，公务接待费</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万元），实际支出52</w:t>
      </w:r>
      <w:r>
        <w:rPr>
          <w:rFonts w:hint="default" w:ascii="仿宋_GB2312" w:eastAsia="仿宋_GB2312" w:cs="DengXian-Regular"/>
          <w:sz w:val="32"/>
          <w:szCs w:val="32"/>
          <w:lang w:val="en-US"/>
        </w:rPr>
        <w:t>.</w:t>
      </w:r>
      <w:r>
        <w:rPr>
          <w:rFonts w:hint="eastAsia" w:ascii="仿宋_GB2312" w:eastAsia="仿宋_GB2312" w:cs="DengXian-Regular"/>
          <w:sz w:val="32"/>
          <w:szCs w:val="32"/>
        </w:rPr>
        <w:t>009537万元（公务用车运行维护费52</w:t>
      </w:r>
      <w:r>
        <w:rPr>
          <w:rFonts w:hint="default" w:ascii="仿宋_GB2312" w:eastAsia="仿宋_GB2312" w:cs="DengXian-Regular"/>
          <w:sz w:val="32"/>
          <w:szCs w:val="32"/>
          <w:lang w:val="en-US"/>
        </w:rPr>
        <w:t>.</w:t>
      </w:r>
      <w:r>
        <w:rPr>
          <w:rFonts w:hint="eastAsia" w:ascii="仿宋_GB2312" w:eastAsia="仿宋_GB2312" w:cs="DengXian-Regular"/>
          <w:sz w:val="32"/>
          <w:szCs w:val="32"/>
        </w:rPr>
        <w:t>009537万元，公务接待费</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14.491187</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21.79</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22</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22</w:t>
      </w:r>
      <w:r>
        <w:rPr>
          <w:rFonts w:hint="eastAsia" w:ascii="仿宋_GB2312" w:eastAsia="仿宋_GB2312" w:cs="DengXian-Regular"/>
          <w:sz w:val="32"/>
          <w:szCs w:val="32"/>
        </w:rPr>
        <w:t>年实际支出相比，减少</w:t>
      </w:r>
      <w:r>
        <w:rPr>
          <w:rFonts w:hint="default" w:ascii="仿宋_GB2312" w:eastAsia="仿宋_GB2312" w:cs="DengXian-Regular"/>
          <w:sz w:val="32"/>
          <w:szCs w:val="32"/>
          <w:lang w:val="en-US"/>
        </w:rPr>
        <w:t>14.491187</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  “三公”经费预算及决算明细表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84</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56.78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66.500724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52.009537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-17.499276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-9.720724</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-1.5</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r>
    </w:tbl>
    <w:p>
      <w:pPr>
        <w:numPr>
          <w:ilvl w:val="0"/>
          <w:numId w:val="1"/>
        </w:num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公务用车：202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年底单位车辆合计</w:t>
      </w:r>
      <w:r>
        <w:rPr>
          <w:rFonts w:hint="default" w:ascii="仿宋_GB2312" w:eastAsia="仿宋_GB2312" w:cs="DengXian-Regular"/>
          <w:sz w:val="32"/>
          <w:szCs w:val="32"/>
          <w:lang w:val="en-US"/>
        </w:rPr>
        <w:t>31</w:t>
      </w:r>
      <w:r>
        <w:rPr>
          <w:rFonts w:hint="eastAsia" w:ascii="仿宋_GB2312" w:eastAsia="仿宋_GB2312" w:cs="DengXian-Regular"/>
          <w:sz w:val="32"/>
          <w:szCs w:val="32"/>
        </w:rPr>
        <w:t>辆，其中</w:t>
      </w:r>
      <w:r>
        <w:rPr>
          <w:rFonts w:hint="eastAsia" w:ascii="仿宋_GB2312" w:eastAsia="仿宋_GB2312" w:cs="DengXian-Regular"/>
          <w:sz w:val="32"/>
          <w:szCs w:val="32"/>
          <w:lang w:eastAsia="zh-CN"/>
        </w:rPr>
        <w:t>办公</w:t>
      </w:r>
      <w:r>
        <w:rPr>
          <w:rFonts w:hint="eastAsia" w:ascii="仿宋_GB2312" w:eastAsia="仿宋_GB2312" w:cs="DengXian-Regular"/>
          <w:sz w:val="32"/>
          <w:szCs w:val="32"/>
        </w:rPr>
        <w:t>用车</w:t>
      </w:r>
      <w:r>
        <w:rPr>
          <w:rFonts w:hint="default" w:ascii="仿宋_GB2312" w:eastAsia="仿宋_GB2312" w:cs="DengXian-Regular"/>
          <w:sz w:val="32"/>
          <w:szCs w:val="32"/>
          <w:lang w:val="en-US"/>
        </w:rPr>
        <w:t>3</w:t>
      </w:r>
      <w:r>
        <w:rPr>
          <w:rFonts w:hint="eastAsia" w:ascii="仿宋_GB2312" w:eastAsia="仿宋_GB2312" w:cs="DengXian-Regular"/>
          <w:sz w:val="32"/>
          <w:szCs w:val="32"/>
        </w:rPr>
        <w:t>辆，其他用车</w:t>
      </w:r>
      <w:r>
        <w:rPr>
          <w:rFonts w:hint="default" w:ascii="仿宋_GB2312" w:eastAsia="仿宋_GB2312" w:cs="DengXian-Regular"/>
          <w:sz w:val="32"/>
          <w:szCs w:val="32"/>
          <w:lang w:val="en-US"/>
        </w:rPr>
        <w:t>28</w:t>
      </w:r>
      <w:r>
        <w:rPr>
          <w:rFonts w:hint="eastAsia" w:ascii="仿宋_GB2312" w:eastAsia="仿宋_GB2312" w:cs="DengXian-Regular"/>
          <w:sz w:val="32"/>
          <w:szCs w:val="32"/>
        </w:rPr>
        <w:t>辆。202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年公务用车购置及运维费年初预算66</w:t>
      </w:r>
      <w:r>
        <w:rPr>
          <w:rFonts w:hint="default" w:ascii="仿宋_GB2312" w:eastAsia="仿宋_GB2312" w:cs="DengXian-Regular"/>
          <w:sz w:val="32"/>
          <w:szCs w:val="32"/>
          <w:lang w:val="en-US"/>
        </w:rPr>
        <w:t>.</w:t>
      </w:r>
      <w:r>
        <w:rPr>
          <w:rFonts w:hint="eastAsia" w:ascii="仿宋_GB2312" w:eastAsia="仿宋_GB2312" w:cs="DengXian-Regular"/>
          <w:sz w:val="32"/>
          <w:szCs w:val="32"/>
        </w:rPr>
        <w:t>500724万元，全部为公务用车运行维护费，实际支出52</w:t>
      </w:r>
      <w:r>
        <w:rPr>
          <w:rFonts w:hint="default" w:ascii="仿宋_GB2312" w:eastAsia="仿宋_GB2312" w:cs="DengXian-Regular"/>
          <w:sz w:val="32"/>
          <w:szCs w:val="32"/>
          <w:lang w:val="en-US"/>
        </w:rPr>
        <w:t>.</w:t>
      </w:r>
      <w:r>
        <w:rPr>
          <w:rFonts w:hint="eastAsia" w:ascii="仿宋_GB2312" w:eastAsia="仿宋_GB2312" w:cs="DengXian-Regular"/>
          <w:sz w:val="32"/>
          <w:szCs w:val="32"/>
        </w:rPr>
        <w:t>009537万元，比预算减少</w:t>
      </w:r>
      <w:r>
        <w:rPr>
          <w:rFonts w:hint="default" w:ascii="仿宋_GB2312" w:eastAsia="仿宋_GB2312" w:cs="DengXian-Regular"/>
          <w:sz w:val="32"/>
          <w:szCs w:val="32"/>
          <w:lang w:val="en-US"/>
        </w:rPr>
        <w:t>14.491187</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21.79</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年预算相比</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17.499276</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年实际支出相比，减少</w:t>
      </w:r>
      <w:r>
        <w:rPr>
          <w:rFonts w:hint="default" w:ascii="仿宋_GB2312" w:eastAsia="仿宋_GB2312" w:cs="DengXian-Regular"/>
          <w:sz w:val="32"/>
          <w:szCs w:val="32"/>
          <w:lang w:val="en-US"/>
        </w:rPr>
        <w:t>9.720724</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年单位公务接待费年初预算</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万元，比预算减少了</w:t>
      </w:r>
      <w:r>
        <w:rPr>
          <w:rFonts w:hint="default" w:ascii="仿宋_GB2312" w:eastAsia="仿宋_GB2312" w:cs="DengXian-Regular"/>
          <w:sz w:val="32"/>
          <w:szCs w:val="32"/>
          <w:lang w:val="en-US"/>
        </w:rPr>
        <w:t>0</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0</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22</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22</w:t>
      </w:r>
      <w:r>
        <w:rPr>
          <w:rFonts w:hint="eastAsia" w:ascii="仿宋_GB2312" w:eastAsia="仿宋_GB2312" w:cs="DengXian-Regular"/>
          <w:sz w:val="32"/>
          <w:szCs w:val="32"/>
        </w:rPr>
        <w:t>年实际支出相比，增加</w:t>
      </w:r>
      <w:r>
        <w:rPr>
          <w:rFonts w:hint="default" w:ascii="仿宋_GB2312" w:eastAsia="仿宋_GB2312" w:cs="DengXian-Regular"/>
          <w:sz w:val="32"/>
          <w:szCs w:val="32"/>
          <w:lang w:val="en-US"/>
        </w:rPr>
        <w:t>0</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根据绩效预算管理改革的有关政策和文件规定，并与区xxx单位沟通，绩效评价工作组以绩效预算架构为指导，以部门预算文本及相关资料为基础，制定了部门整体支出绩效评价指标体系。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w:t>
      </w:r>
      <w:r>
        <w:rPr>
          <w:rFonts w:hint="eastAsia" w:ascii="仿宋_GB2312" w:eastAsia="仿宋_GB2312" w:cs="DengXian-Regular"/>
          <w:sz w:val="32"/>
          <w:szCs w:val="32"/>
          <w:lang w:eastAsia="zh-CN"/>
        </w:rPr>
        <w:t>本单位</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区xxx单位202</w:t>
      </w:r>
      <w:r>
        <w:rPr>
          <w:rFonts w:hint="default" w:ascii="仿宋_GB2312" w:eastAsia="仿宋_GB2312" w:cs="DengXian-Regular"/>
          <w:sz w:val="32"/>
          <w:szCs w:val="32"/>
          <w:lang w:val="en-US"/>
        </w:rPr>
        <w:t>X</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bookmarkStart w:id="54" w:name="_Toc492652781"/>
      <w:bookmarkStart w:id="55" w:name="_Toc465149511"/>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经与保定市徐水区市场监督管理局充分沟通，并充分收集相关资料，主要包括部门职责、工作活动、预决算文本、相关管理制度、资金使用等相关资料，为制定绩效评价实施方案和指标体系奠定了基础。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基于对保定市徐水区市场监督管理局相关资料的收集，制定绩效评价实施方案和体系,确定最终方案。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保定市徐水区市场监督管理局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lang w:eastAsia="zh-CN"/>
        </w:rPr>
        <w:t>本</w:t>
      </w:r>
      <w:r>
        <w:rPr>
          <w:rFonts w:hint="eastAsia" w:ascii="仿宋_GB2312" w:eastAsia="仿宋_GB2312" w:cs="DengXian-Regular"/>
          <w:sz w:val="32"/>
          <w:szCs w:val="32"/>
        </w:rPr>
        <w:t>单位部门整体支出绩效评价总得分为</w:t>
      </w:r>
      <w:r>
        <w:rPr>
          <w:rFonts w:hint="default" w:ascii="仿宋_GB2312" w:eastAsia="仿宋_GB2312" w:cs="DengXian-Regular"/>
          <w:sz w:val="32"/>
          <w:szCs w:val="32"/>
          <w:lang w:val="en-US"/>
        </w:rPr>
        <w:t>97</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eastAsia="zh-CN"/>
        </w:rPr>
        <w:t>优</w:t>
      </w:r>
      <w:bookmarkStart w:id="79" w:name="_GoBack"/>
      <w:bookmarkEnd w:id="79"/>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eastAsia="zh-CN"/>
        </w:rPr>
        <w:t>市场监督管理局</w:t>
      </w:r>
      <w:r>
        <w:rPr>
          <w:rFonts w:hint="eastAsia" w:ascii="仿宋_GB2312" w:eastAsia="仿宋_GB2312" w:cs="DengXian-Regular"/>
          <w:sz w:val="32"/>
          <w:szCs w:val="32"/>
        </w:rPr>
        <w:t>单位职能配置内设机构和人员编制规定》和徐水区</w:t>
      </w:r>
      <w:r>
        <w:rPr>
          <w:rFonts w:hint="eastAsia" w:ascii="仿宋_GB2312" w:eastAsia="仿宋_GB2312" w:cs="DengXian-Regular"/>
          <w:sz w:val="32"/>
          <w:szCs w:val="32"/>
          <w:lang w:eastAsia="zh-CN"/>
        </w:rPr>
        <w:t>市场监督管理局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职责工作活动绩效目标，评价工作组认为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本单位</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年预算文本—部门职责工作活动绩效目标,该指标实际得分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年预算文本及相关会计资料，单位所有收入均已纳入部门预算，部门支出按基本支出、项目支出分别编制。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年预算文本—部门项目支出预算表，</w:t>
      </w:r>
      <w:r>
        <w:rPr>
          <w:rFonts w:hint="eastAsia" w:ascii="仿宋_GB2312" w:eastAsia="仿宋_GB2312" w:cs="DengXian-Regular"/>
          <w:sz w:val="32"/>
          <w:szCs w:val="32"/>
          <w:lang w:val="en-US" w:eastAsia="zh-CN"/>
        </w:rPr>
        <w:t>市场监督管理局部门</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年预算项目共</w:t>
      </w:r>
      <w:r>
        <w:rPr>
          <w:rFonts w:hint="default" w:ascii="仿宋_GB2312" w:eastAsia="仿宋_GB2312" w:cs="DengXian-Regular"/>
          <w:sz w:val="32"/>
          <w:szCs w:val="32"/>
          <w:lang w:val="en-US"/>
        </w:rPr>
        <w:t>12</w:t>
      </w:r>
      <w:r>
        <w:rPr>
          <w:rFonts w:hint="eastAsia" w:ascii="仿宋_GB2312" w:eastAsia="仿宋_GB2312" w:cs="DengXian-Regular"/>
          <w:sz w:val="32"/>
          <w:szCs w:val="32"/>
        </w:rPr>
        <w:t>个（详见附件2-2-2），涉及资金</w:t>
      </w:r>
      <w:r>
        <w:rPr>
          <w:rFonts w:hint="eastAsia" w:ascii="仿宋_GB2312" w:eastAsia="仿宋_GB2312" w:cs="Times New Roman" w:hAnsiTheme="minorEastAsia"/>
          <w:sz w:val="32"/>
          <w:szCs w:val="32"/>
          <w:u w:color="000000"/>
        </w:rPr>
        <w:t>411</w:t>
      </w:r>
      <w:r>
        <w:rPr>
          <w:rFonts w:hint="default"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279165</w:t>
      </w:r>
      <w:r>
        <w:rPr>
          <w:rFonts w:hint="eastAsia" w:ascii="仿宋_GB2312" w:eastAsia="仿宋_GB2312" w:cs="DengXian-Regular"/>
          <w:sz w:val="32"/>
          <w:szCs w:val="32"/>
        </w:rPr>
        <w:t>万元，所有项目均细化到具体用款单位及项目资金额度。项目预算细化率=（</w:t>
      </w:r>
      <w:r>
        <w:rPr>
          <w:rFonts w:hint="default" w:ascii="仿宋_GB2312" w:eastAsia="仿宋_GB2312" w:cs="DengXian-Regular"/>
          <w:sz w:val="32"/>
          <w:szCs w:val="32"/>
          <w:lang w:val="en-US"/>
        </w:rPr>
        <w:t>411.279165</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411</w:t>
      </w:r>
      <w:r>
        <w:rPr>
          <w:rFonts w:hint="default" w:ascii="仿宋_GB2312" w:eastAsia="仿宋_GB2312" w:cs="Times New Roman" w:hAnsiTheme="minorEastAsia"/>
          <w:sz w:val="32"/>
          <w:szCs w:val="32"/>
          <w:u w:color="000000"/>
          <w:lang w:val="en-US"/>
        </w:rPr>
        <w:t>.</w:t>
      </w:r>
      <w:r>
        <w:rPr>
          <w:rFonts w:hint="eastAsia" w:ascii="仿宋_GB2312" w:eastAsia="仿宋_GB2312" w:cs="Times New Roman" w:hAnsiTheme="minorEastAsia"/>
          <w:sz w:val="32"/>
          <w:szCs w:val="32"/>
          <w:u w:color="000000"/>
        </w:rPr>
        <w:t>279165</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年底</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eastAsia="zh-CN"/>
        </w:rPr>
        <w:t>市场监督管理局</w:t>
      </w:r>
      <w:r>
        <w:rPr>
          <w:rFonts w:hint="eastAsia" w:ascii="仿宋_GB2312" w:eastAsia="仿宋_GB2312" w:cs="DengXian-Regular"/>
          <w:sz w:val="32"/>
          <w:szCs w:val="32"/>
        </w:rPr>
        <w:t>单位职能配置内设机构和人员编制规定》的通知，</w:t>
      </w:r>
      <w:r>
        <w:rPr>
          <w:rFonts w:hint="eastAsia" w:ascii="仿宋_GB2312" w:eastAsia="仿宋_GB2312" w:cs="DengXian-Regular"/>
          <w:sz w:val="32"/>
          <w:szCs w:val="32"/>
          <w:lang w:val="en-US" w:eastAsia="zh-CN"/>
        </w:rPr>
        <w:t>部门</w:t>
      </w:r>
      <w:r>
        <w:rPr>
          <w:rFonts w:hint="eastAsia" w:ascii="仿宋_GB2312" w:eastAsia="仿宋_GB2312" w:cs="DengXian-Regular"/>
          <w:sz w:val="32"/>
          <w:szCs w:val="32"/>
        </w:rPr>
        <w:t>人员编制为</w:t>
      </w:r>
      <w:r>
        <w:rPr>
          <w:rFonts w:hint="default" w:ascii="仿宋_GB2312" w:eastAsia="仿宋_GB2312" w:cs="DengXian-Regular"/>
          <w:sz w:val="32"/>
          <w:szCs w:val="32"/>
          <w:lang w:val="en-US"/>
        </w:rPr>
        <w:t>168</w:t>
      </w:r>
      <w:r>
        <w:rPr>
          <w:rFonts w:hint="eastAsia" w:ascii="仿宋_GB2312" w:eastAsia="仿宋_GB2312" w:cs="DengXian-Regular"/>
          <w:sz w:val="32"/>
          <w:szCs w:val="32"/>
        </w:rPr>
        <w:t>人，根据区单位202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年底，在职人员</w:t>
      </w:r>
      <w:r>
        <w:rPr>
          <w:rFonts w:hint="default" w:ascii="仿宋_GB2312" w:eastAsia="仿宋_GB2312" w:cs="DengXian-Regular"/>
          <w:sz w:val="32"/>
          <w:szCs w:val="32"/>
          <w:lang w:val="en-US"/>
        </w:rPr>
        <w:t>160</w:t>
      </w:r>
      <w:r>
        <w:rPr>
          <w:rFonts w:hint="eastAsia" w:ascii="仿宋_GB2312" w:eastAsia="仿宋_GB2312" w:cs="DengXian-Regular"/>
          <w:sz w:val="32"/>
          <w:szCs w:val="32"/>
        </w:rPr>
        <w:t>人，在职人员控制率=（</w:t>
      </w:r>
      <w:r>
        <w:rPr>
          <w:rFonts w:hint="default" w:ascii="仿宋_GB2312" w:eastAsia="仿宋_GB2312" w:cs="DengXian-Regular"/>
          <w:sz w:val="32"/>
          <w:szCs w:val="32"/>
          <w:lang w:val="en-US"/>
        </w:rPr>
        <w:t>160</w:t>
      </w:r>
      <w:r>
        <w:rPr>
          <w:rFonts w:hint="eastAsia" w:ascii="仿宋_GB2312" w:eastAsia="仿宋_GB2312" w:cs="DengXian-Regular"/>
          <w:sz w:val="32"/>
          <w:szCs w:val="32"/>
        </w:rPr>
        <w:t>/</w:t>
      </w:r>
      <w:r>
        <w:rPr>
          <w:rFonts w:hint="default" w:ascii="仿宋_GB2312" w:eastAsia="仿宋_GB2312" w:cs="DengXian-Regular"/>
          <w:sz w:val="32"/>
          <w:szCs w:val="32"/>
          <w:lang w:val="en-US"/>
        </w:rPr>
        <w:t>168</w:t>
      </w:r>
      <w:r>
        <w:rPr>
          <w:rFonts w:hint="eastAsia" w:ascii="仿宋_GB2312" w:eastAsia="仿宋_GB2312" w:cs="DengXian-Regular"/>
          <w:sz w:val="32"/>
          <w:szCs w:val="32"/>
        </w:rPr>
        <w:t>）*100%=</w:t>
      </w:r>
      <w:r>
        <w:rPr>
          <w:rFonts w:hint="default" w:ascii="仿宋_GB2312" w:eastAsia="仿宋_GB2312" w:cs="DengXian-Regular"/>
          <w:sz w:val="32"/>
          <w:szCs w:val="32"/>
          <w:lang w:val="en-US"/>
        </w:rPr>
        <w:t>95.23</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firstLineChars="0"/>
              <w:jc w:val="center"/>
              <w:rPr>
                <w:rFonts w:hint="default" w:cs="宋体" w:asciiTheme="minorEastAsia" w:hAnsiTheme="minorEastAsia" w:eastAsiaTheme="minorEastAsia"/>
                <w:sz w:val="21"/>
                <w:szCs w:val="21"/>
                <w:lang w:val="en-US"/>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ind w:firstLine="420" w:firstLineChars="0"/>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ind w:firstLine="420" w:firstLineChars="0"/>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47.2</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保定市徐水区市场监督管理局</w:t>
      </w:r>
      <w:r>
        <w:rPr>
          <w:rFonts w:hint="eastAsia" w:ascii="仿宋_GB2312" w:eastAsia="仿宋_GB2312" w:cs="DengXian-Regular"/>
          <w:sz w:val="32"/>
          <w:szCs w:val="32"/>
        </w:rPr>
        <w:t>预算指标文件，徐水区市场监督管理局202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年度预算收入的调减数</w:t>
      </w:r>
      <w:r>
        <w:rPr>
          <w:rFonts w:ascii="仿宋_GB2312" w:eastAsia="仿宋_GB2312" w:cs="DengXian-Regular"/>
          <w:sz w:val="32"/>
          <w:szCs w:val="32"/>
        </w:rPr>
        <w:t>为</w:t>
      </w:r>
      <w:r>
        <w:rPr>
          <w:rFonts w:hint="default" w:ascii="仿宋_GB2312" w:eastAsia="仿宋_GB2312" w:cs="DengXian-Regular"/>
          <w:sz w:val="32"/>
          <w:szCs w:val="32"/>
          <w:lang w:val="en-US"/>
        </w:rPr>
        <w:t>99.782359</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，预算收入调整率为</w:t>
      </w:r>
      <w:r>
        <w:rPr>
          <w:rFonts w:hint="default" w:ascii="仿宋_GB2312" w:eastAsia="仿宋_GB2312" w:cs="DengXian-Regular"/>
          <w:sz w:val="32"/>
          <w:szCs w:val="32"/>
          <w:lang w:val="en-US"/>
        </w:rPr>
        <w:t>2.01</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rPr>
        <w:t>预算调整减少</w:t>
      </w:r>
      <w:r>
        <w:rPr>
          <w:rFonts w:hint="default" w:ascii="仿宋_GB2312" w:eastAsia="仿宋_GB2312" w:cs="DengXian-Regular"/>
          <w:sz w:val="32"/>
          <w:szCs w:val="32"/>
          <w:lang w:val="en-US"/>
        </w:rPr>
        <w:t>2.02</w:t>
      </w:r>
      <w:r>
        <w:rPr>
          <w:rFonts w:hint="eastAsia" w:ascii="仿宋_GB2312" w:eastAsia="仿宋_GB2312" w:cs="DengXian-Regular"/>
          <w:sz w:val="32"/>
          <w:szCs w:val="32"/>
        </w:rPr>
        <w:t>个百分点</w:t>
      </w:r>
      <w:r>
        <w:rPr>
          <w:rFonts w:hint="eastAsia" w:ascii="仿宋_GB2312" w:eastAsia="仿宋_GB2312" w:cs="DengXian-Regular"/>
          <w:sz w:val="32"/>
          <w:szCs w:val="32"/>
          <w:lang w:eastAsia="zh-CN"/>
        </w:rPr>
        <w:t>，</w:t>
      </w:r>
      <w:r>
        <w:rPr>
          <w:rFonts w:hint="eastAsia" w:ascii="仿宋_GB2312" w:eastAsia="仿宋_GB2312" w:cs="DengXian-Regular"/>
          <w:sz w:val="32"/>
          <w:szCs w:val="32"/>
        </w:rPr>
        <w:t>扣</w:t>
      </w:r>
      <w:r>
        <w:rPr>
          <w:rFonts w:hint="default" w:ascii="仿宋_GB2312" w:eastAsia="仿宋_GB2312" w:cs="DengXian-Regular"/>
          <w:sz w:val="32"/>
          <w:szCs w:val="32"/>
          <w:lang w:val="en-US"/>
        </w:rPr>
        <w:t>2.02*2*0.1=0.4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年预算文本、决算文本，202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年收入预算数4846</w:t>
      </w:r>
      <w:r>
        <w:rPr>
          <w:rFonts w:hint="default" w:ascii="仿宋_GB2312" w:eastAsia="仿宋_GB2312" w:cs="DengXian-Regular"/>
          <w:sz w:val="32"/>
          <w:szCs w:val="32"/>
          <w:lang w:val="en-US"/>
        </w:rPr>
        <w:t>.</w:t>
      </w:r>
      <w:r>
        <w:rPr>
          <w:rFonts w:hint="eastAsia" w:ascii="仿宋_GB2312" w:eastAsia="仿宋_GB2312" w:cs="DengXian-Regular"/>
          <w:sz w:val="32"/>
          <w:szCs w:val="32"/>
        </w:rPr>
        <w:t>077641万元，收入决算数4787</w:t>
      </w:r>
      <w:r>
        <w:rPr>
          <w:rFonts w:hint="default" w:ascii="仿宋_GB2312" w:eastAsia="仿宋_GB2312" w:cs="DengXian-Regular"/>
          <w:sz w:val="32"/>
          <w:szCs w:val="32"/>
          <w:lang w:val="en-US"/>
        </w:rPr>
        <w:t>.</w:t>
      </w:r>
      <w:r>
        <w:rPr>
          <w:rFonts w:hint="eastAsia" w:ascii="仿宋_GB2312" w:eastAsia="仿宋_GB2312" w:cs="DengXian-Regular"/>
          <w:sz w:val="32"/>
          <w:szCs w:val="32"/>
        </w:rPr>
        <w:t>947010万元，收入完成率=（4787</w:t>
      </w:r>
      <w:r>
        <w:rPr>
          <w:rFonts w:hint="default" w:ascii="仿宋_GB2312" w:eastAsia="仿宋_GB2312" w:cs="DengXian-Regular"/>
          <w:sz w:val="32"/>
          <w:szCs w:val="32"/>
          <w:lang w:val="en-US"/>
        </w:rPr>
        <w:t>.</w:t>
      </w:r>
      <w:r>
        <w:rPr>
          <w:rFonts w:hint="eastAsia" w:ascii="仿宋_GB2312" w:eastAsia="仿宋_GB2312" w:cs="DengXian-Regular"/>
          <w:sz w:val="32"/>
          <w:szCs w:val="32"/>
        </w:rPr>
        <w:t>94701/4846</w:t>
      </w:r>
      <w:r>
        <w:rPr>
          <w:rFonts w:hint="default" w:ascii="仿宋_GB2312" w:eastAsia="仿宋_GB2312" w:cs="DengXian-Regular"/>
          <w:sz w:val="32"/>
          <w:szCs w:val="32"/>
          <w:lang w:val="en-US"/>
        </w:rPr>
        <w:t>.</w:t>
      </w:r>
      <w:r>
        <w:rPr>
          <w:rFonts w:hint="eastAsia" w:ascii="仿宋_GB2312" w:eastAsia="仿宋_GB2312" w:cs="DengXian-Regular"/>
          <w:sz w:val="32"/>
          <w:szCs w:val="32"/>
        </w:rPr>
        <w:t>077641）*100%=</w:t>
      </w:r>
      <w:r>
        <w:rPr>
          <w:rFonts w:hint="default" w:ascii="仿宋_GB2312" w:eastAsia="仿宋_GB2312" w:cs="DengXian-Regular"/>
          <w:sz w:val="32"/>
          <w:szCs w:val="32"/>
          <w:lang w:val="en-US"/>
        </w:rPr>
        <w:t>98.80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保定市徐水区市场监督管理局</w:t>
      </w:r>
      <w:r>
        <w:rPr>
          <w:rFonts w:hint="eastAsia" w:ascii="仿宋_GB2312" w:eastAsia="仿宋_GB2312" w:cs="DengXian-Regular"/>
          <w:sz w:val="32"/>
          <w:szCs w:val="32"/>
        </w:rPr>
        <w:t>提供的保定市财政局下发的预算指标文件，年初预算数为4945</w:t>
      </w:r>
      <w:r>
        <w:rPr>
          <w:rFonts w:hint="default" w:ascii="仿宋_GB2312" w:eastAsia="仿宋_GB2312" w:cs="DengXian-Regular"/>
          <w:sz w:val="32"/>
          <w:szCs w:val="32"/>
          <w:lang w:val="en-US"/>
        </w:rPr>
        <w:t>.</w:t>
      </w:r>
      <w:r>
        <w:rPr>
          <w:rFonts w:hint="eastAsia" w:ascii="仿宋_GB2312" w:eastAsia="仿宋_GB2312" w:cs="DengXian-Regular"/>
          <w:sz w:val="32"/>
          <w:szCs w:val="32"/>
        </w:rPr>
        <w:t>86万元，预算支出调整率为</w:t>
      </w:r>
      <w:r>
        <w:rPr>
          <w:rFonts w:hint="default" w:ascii="仿宋_GB2312" w:eastAsia="仿宋_GB2312" w:cs="DengXian-Regular"/>
          <w:sz w:val="32"/>
          <w:szCs w:val="32"/>
          <w:lang w:val="en-US"/>
        </w:rPr>
        <w:t>2.02</w:t>
      </w:r>
      <w:r>
        <w:rPr>
          <w:rFonts w:hint="eastAsia" w:ascii="仿宋_GB2312" w:eastAsia="仿宋_GB2312" w:cs="DengXian-Regular"/>
          <w:sz w:val="32"/>
          <w:szCs w:val="32"/>
        </w:rPr>
        <w:t>%，预算调整减少</w:t>
      </w:r>
      <w:r>
        <w:rPr>
          <w:rFonts w:hint="default" w:ascii="仿宋_GB2312" w:eastAsia="仿宋_GB2312" w:cs="DengXian-Regular"/>
          <w:sz w:val="32"/>
          <w:szCs w:val="32"/>
          <w:lang w:val="en-US"/>
        </w:rPr>
        <w:t>2.02</w:t>
      </w:r>
      <w:r>
        <w:rPr>
          <w:rFonts w:hint="eastAsia" w:ascii="仿宋_GB2312" w:eastAsia="仿宋_GB2312" w:cs="DengXian-Regular"/>
          <w:sz w:val="32"/>
          <w:szCs w:val="32"/>
        </w:rPr>
        <w:t>个百分点，扣</w:t>
      </w:r>
      <w:r>
        <w:rPr>
          <w:rFonts w:hint="default" w:ascii="仿宋_GB2312" w:eastAsia="仿宋_GB2312" w:cs="DengXian-Regular"/>
          <w:sz w:val="32"/>
          <w:szCs w:val="32"/>
          <w:lang w:val="en-US"/>
        </w:rPr>
        <w:t>2.02*2*0.1=0.4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1.6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年决算文本，部门决算财政拨款支出数4749</w:t>
      </w:r>
      <w:r>
        <w:rPr>
          <w:rFonts w:hint="default" w:ascii="仿宋_GB2312" w:eastAsia="仿宋_GB2312" w:cs="DengXian-Regular"/>
          <w:sz w:val="32"/>
          <w:szCs w:val="32"/>
          <w:lang w:val="en-US"/>
        </w:rPr>
        <w:t>.</w:t>
      </w:r>
      <w:r>
        <w:rPr>
          <w:rFonts w:hint="eastAsia" w:ascii="仿宋_GB2312" w:eastAsia="仿宋_GB2312" w:cs="DengXian-Regular"/>
          <w:sz w:val="32"/>
          <w:szCs w:val="32"/>
        </w:rPr>
        <w:t>86659万元，财政拨款收入数4749</w:t>
      </w:r>
      <w:r>
        <w:rPr>
          <w:rFonts w:hint="default" w:ascii="仿宋_GB2312" w:eastAsia="仿宋_GB2312" w:cs="DengXian-Regular"/>
          <w:sz w:val="32"/>
          <w:szCs w:val="32"/>
          <w:lang w:val="en-US"/>
        </w:rPr>
        <w:t>.</w:t>
      </w:r>
      <w:r>
        <w:rPr>
          <w:rFonts w:hint="eastAsia" w:ascii="仿宋_GB2312" w:eastAsia="仿宋_GB2312" w:cs="DengXian-Regular"/>
          <w:sz w:val="32"/>
          <w:szCs w:val="32"/>
        </w:rPr>
        <w:t>86659万元，财政拨款支出率=（财政拨款支出数/财政拨款收入数）*100%=xx%</w:t>
      </w:r>
      <w:r>
        <w:rPr>
          <w:rFonts w:ascii="Arial" w:hAnsi="Arial" w:eastAsia="仿宋_GB2312" w:cs="Arial"/>
          <w:sz w:val="32"/>
          <w:szCs w:val="32"/>
        </w:rPr>
        <w:t>≥</w:t>
      </w:r>
      <w:r>
        <w:rPr>
          <w:rFonts w:hint="eastAsia" w:ascii="仿宋_GB2312" w:eastAsia="仿宋_GB2312" w:cs="DengXian-Regular"/>
          <w:sz w:val="32"/>
          <w:szCs w:val="32"/>
        </w:rPr>
        <w:t>90%。202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年年初结转和结余</w:t>
      </w:r>
      <w:r>
        <w:rPr>
          <w:rFonts w:hint="default" w:ascii="仿宋_GB2312" w:eastAsia="仿宋_GB2312" w:cs="DengXian-Regular"/>
          <w:sz w:val="32"/>
          <w:szCs w:val="32"/>
          <w:lang w:val="en-US"/>
        </w:rPr>
        <w:t>0.5</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年预算文本及决算文本，“三公”经费年初预算数68</w:t>
      </w:r>
      <w:r>
        <w:rPr>
          <w:rFonts w:hint="default" w:ascii="仿宋_GB2312" w:eastAsia="仿宋_GB2312" w:cs="DengXian-Regular"/>
          <w:sz w:val="32"/>
          <w:szCs w:val="32"/>
          <w:lang w:val="en-US"/>
        </w:rPr>
        <w:t>.</w:t>
      </w:r>
      <w:r>
        <w:rPr>
          <w:rFonts w:hint="eastAsia" w:ascii="仿宋_GB2312" w:eastAsia="仿宋_GB2312" w:cs="DengXian-Regular"/>
          <w:sz w:val="32"/>
          <w:szCs w:val="32"/>
        </w:rPr>
        <w:t>04万元，年末决算数52</w:t>
      </w:r>
      <w:r>
        <w:rPr>
          <w:rFonts w:hint="default" w:ascii="仿宋_GB2312" w:eastAsia="仿宋_GB2312" w:cs="DengXian-Regular"/>
          <w:sz w:val="32"/>
          <w:szCs w:val="32"/>
          <w:lang w:val="en-US"/>
        </w:rPr>
        <w:t>.</w:t>
      </w:r>
      <w:r>
        <w:rPr>
          <w:rFonts w:hint="eastAsia" w:ascii="仿宋_GB2312" w:eastAsia="仿宋_GB2312" w:cs="DengXian-Regular"/>
          <w:sz w:val="32"/>
          <w:szCs w:val="32"/>
        </w:rPr>
        <w:t>009537万元，“三公”经费控制率=（52</w:t>
      </w:r>
      <w:r>
        <w:rPr>
          <w:rFonts w:hint="default" w:ascii="仿宋_GB2312" w:eastAsia="仿宋_GB2312" w:cs="DengXian-Regular"/>
          <w:sz w:val="32"/>
          <w:szCs w:val="32"/>
          <w:lang w:val="en-US"/>
        </w:rPr>
        <w:t>.</w:t>
      </w:r>
      <w:r>
        <w:rPr>
          <w:rFonts w:hint="eastAsia" w:ascii="仿宋_GB2312" w:eastAsia="仿宋_GB2312" w:cs="DengXian-Regular"/>
          <w:sz w:val="32"/>
          <w:szCs w:val="32"/>
        </w:rPr>
        <w:t>009537/68</w:t>
      </w:r>
      <w:r>
        <w:rPr>
          <w:rFonts w:hint="default" w:ascii="仿宋_GB2312" w:eastAsia="仿宋_GB2312" w:cs="DengXian-Regular"/>
          <w:sz w:val="32"/>
          <w:szCs w:val="32"/>
          <w:lang w:val="en-US"/>
        </w:rPr>
        <w:t>.</w:t>
      </w:r>
      <w:r>
        <w:rPr>
          <w:rFonts w:hint="eastAsia" w:ascii="仿宋_GB2312" w:eastAsia="仿宋_GB2312" w:cs="DengXian-Regular"/>
          <w:sz w:val="32"/>
          <w:szCs w:val="32"/>
        </w:rPr>
        <w:t>04）*100%=</w:t>
      </w:r>
      <w:r>
        <w:rPr>
          <w:rFonts w:hint="default" w:ascii="仿宋_GB2312" w:eastAsia="仿宋_GB2312" w:cs="DengXian-Regular"/>
          <w:sz w:val="32"/>
          <w:szCs w:val="32"/>
          <w:lang w:val="en-US"/>
        </w:rPr>
        <w:t>76.44</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202年预算文本及决算文本，政府采购年初预算数58</w:t>
      </w:r>
      <w:r>
        <w:rPr>
          <w:rFonts w:hint="default" w:ascii="仿宋_GB2312" w:eastAsia="仿宋_GB2312" w:cs="DengXian-Regular"/>
          <w:sz w:val="32"/>
          <w:szCs w:val="32"/>
          <w:lang w:val="en-US"/>
        </w:rPr>
        <w:t>.</w:t>
      </w:r>
      <w:r>
        <w:rPr>
          <w:rFonts w:hint="eastAsia" w:ascii="仿宋_GB2312" w:eastAsia="仿宋_GB2312" w:cs="DengXian-Regular"/>
          <w:sz w:val="32"/>
          <w:szCs w:val="32"/>
        </w:rPr>
        <w:t>034590万元，年末决算数58</w:t>
      </w:r>
      <w:r>
        <w:rPr>
          <w:rFonts w:hint="default" w:ascii="仿宋_GB2312" w:eastAsia="仿宋_GB2312" w:cs="DengXian-Regular"/>
          <w:sz w:val="32"/>
          <w:szCs w:val="32"/>
          <w:lang w:val="en-US"/>
        </w:rPr>
        <w:t>.</w:t>
      </w:r>
      <w:r>
        <w:rPr>
          <w:rFonts w:hint="eastAsia" w:ascii="仿宋_GB2312" w:eastAsia="仿宋_GB2312" w:cs="DengXian-Regular"/>
          <w:sz w:val="32"/>
          <w:szCs w:val="32"/>
        </w:rPr>
        <w:t>034590万元，政府采购执行率为</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年明细账、会计凭证等相关资料，资金使用符合相关会计准则和财务制度，资金拨付有完备的审批程序和手续，资金使用符合部门预算批复的用途，未发现截留、挤占、挪用财政资金的情况。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w:t>
      </w: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年决算文本、明细账及总账，</w:t>
      </w: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单位工作制度涵盖了财务制度、网络安全制度、公务用车制度等相关制度，经检查单位付款流程审批单、资产盘点表等资料，已按照相关管理制度的规定执行。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2</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单位提供的会计账簿、凭证及其他相关资料，单位会计信息资料真实完整，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lang w:val="en-US" w:eastAsia="zh-CN"/>
        </w:rPr>
        <w:t>分</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建立了固定资产台账、无形资产台账，资产保存完整，202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年新增资产</w:t>
      </w:r>
      <w:r>
        <w:rPr>
          <w:rFonts w:hint="default" w:ascii="仿宋_GB2312" w:eastAsia="仿宋_GB2312" w:cs="DengXian-Regular"/>
          <w:sz w:val="32"/>
          <w:szCs w:val="32"/>
          <w:lang w:val="en-US"/>
        </w:rPr>
        <w:t>32.869</w:t>
      </w:r>
      <w:r>
        <w:rPr>
          <w:rFonts w:hint="eastAsia" w:ascii="仿宋_GB2312" w:eastAsia="仿宋_GB2312" w:cs="DengXian-Regular"/>
          <w:sz w:val="32"/>
          <w:szCs w:val="32"/>
        </w:rPr>
        <w:t>万元，包含：电脑及计算机设备（</w:t>
      </w:r>
      <w:r>
        <w:rPr>
          <w:rFonts w:hint="default" w:ascii="仿宋_GB2312" w:eastAsia="仿宋_GB2312" w:cs="DengXian-Regular"/>
          <w:sz w:val="32"/>
          <w:szCs w:val="32"/>
          <w:lang w:val="en-US"/>
        </w:rPr>
        <w:t>32.869</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年度财政专项资金部门绩效自评价工作的通知》及徐水区</w:t>
      </w:r>
      <w:r>
        <w:rPr>
          <w:rFonts w:hint="eastAsia" w:ascii="仿宋_GB2312" w:eastAsia="仿宋_GB2312" w:cs="DengXian-Regular"/>
          <w:sz w:val="32"/>
          <w:szCs w:val="32"/>
          <w:lang w:eastAsia="zh-CN"/>
        </w:rPr>
        <w:t>市场监督管理局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年一般项目部门绩效自评表，</w:t>
      </w: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年开展绩效自评的项目数为</w:t>
      </w:r>
      <w:r>
        <w:rPr>
          <w:rFonts w:hint="default" w:ascii="仿宋_GB2312" w:eastAsia="仿宋_GB2312" w:cs="DengXian-Regular"/>
          <w:sz w:val="32"/>
          <w:szCs w:val="32"/>
          <w:lang w:val="en-US"/>
        </w:rPr>
        <w:t>12</w:t>
      </w:r>
      <w:r>
        <w:rPr>
          <w:rFonts w:hint="eastAsia" w:ascii="仿宋_GB2312" w:eastAsia="仿宋_GB2312" w:cs="DengXian-Regular"/>
          <w:sz w:val="32"/>
          <w:szCs w:val="32"/>
        </w:rPr>
        <w:t>个，年初预算文本项目数</w:t>
      </w:r>
      <w:r>
        <w:rPr>
          <w:rFonts w:hint="default" w:ascii="仿宋_GB2312" w:eastAsia="仿宋_GB2312" w:cs="DengXian-Regular"/>
          <w:sz w:val="32"/>
          <w:szCs w:val="32"/>
          <w:lang w:val="en-US"/>
        </w:rPr>
        <w:t>12</w:t>
      </w:r>
      <w:r>
        <w:rPr>
          <w:rFonts w:hint="eastAsia" w:ascii="仿宋_GB2312" w:eastAsia="仿宋_GB2312" w:cs="DengXian-Regular"/>
          <w:sz w:val="32"/>
          <w:szCs w:val="32"/>
        </w:rPr>
        <w:t>个，要求自评项目个数</w:t>
      </w:r>
      <w:r>
        <w:rPr>
          <w:rFonts w:hint="default" w:ascii="仿宋_GB2312" w:eastAsia="仿宋_GB2312" w:cs="DengXian-Regular"/>
          <w:sz w:val="32"/>
          <w:szCs w:val="32"/>
          <w:lang w:val="en-US"/>
        </w:rPr>
        <w:t>12</w:t>
      </w:r>
      <w:r>
        <w:rPr>
          <w:rFonts w:hint="eastAsia" w:ascii="仿宋_GB2312" w:eastAsia="仿宋_GB2312" w:cs="DengXian-Regular"/>
          <w:sz w:val="32"/>
          <w:szCs w:val="32"/>
        </w:rPr>
        <w:t xml:space="preserve">个，自评覆盖率为 </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年参评数量</w:t>
      </w:r>
      <w:r>
        <w:rPr>
          <w:rFonts w:hint="default" w:ascii="仿宋_GB2312" w:eastAsia="仿宋_GB2312" w:cs="DengXian-Regular"/>
          <w:sz w:val="32"/>
          <w:szCs w:val="32"/>
          <w:lang w:val="en-US"/>
        </w:rPr>
        <w:t>12</w:t>
      </w:r>
      <w:r>
        <w:rPr>
          <w:rFonts w:hint="eastAsia" w:ascii="仿宋_GB2312" w:eastAsia="仿宋_GB2312" w:cs="DengXian-Regular"/>
          <w:sz w:val="32"/>
          <w:szCs w:val="32"/>
        </w:rPr>
        <w:t>个，绩效评价结果达到优等的数量</w:t>
      </w:r>
      <w:r>
        <w:rPr>
          <w:rFonts w:hint="default" w:ascii="仿宋_GB2312" w:eastAsia="仿宋_GB2312" w:cs="DengXian-Regular"/>
          <w:sz w:val="32"/>
          <w:szCs w:val="32"/>
          <w:lang w:val="en-US"/>
        </w:rPr>
        <w:t>0</w:t>
      </w:r>
      <w:r>
        <w:rPr>
          <w:rFonts w:hint="eastAsia" w:ascii="仿宋_GB2312" w:eastAsia="仿宋_GB2312" w:cs="DengXian-Regular"/>
          <w:sz w:val="32"/>
          <w:szCs w:val="32"/>
        </w:rPr>
        <w:t>个，绩效评价优等率为</w:t>
      </w:r>
      <w:r>
        <w:rPr>
          <w:rFonts w:hint="default" w:ascii="仿宋_GB2312" w:eastAsia="仿宋_GB2312" w:cs="DengXian-Regular"/>
          <w:sz w:val="32"/>
          <w:szCs w:val="32"/>
          <w:lang w:val="en-US"/>
        </w:rPr>
        <w:t>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0</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该一级指标包含责任履行一个二级指标，主要反映结转结余率，项目资金使用率，食品药品抽检率，成品油、散煤抽检率，市场打假维权完成次</w:t>
      </w:r>
      <w:r>
        <w:rPr>
          <w:rFonts w:hint="eastAsia" w:ascii="仿宋_GB2312" w:eastAsia="仿宋_GB2312" w:cs="DengXian-Regular"/>
          <w:sz w:val="32"/>
          <w:szCs w:val="32"/>
          <w:lang w:eastAsia="zh-CN"/>
        </w:rPr>
        <w:t>数</w:t>
      </w:r>
      <w:r>
        <w:rPr>
          <w:rFonts w:hint="eastAsia" w:ascii="仿宋_GB2312" w:eastAsia="仿宋_GB2312" w:cs="DengXian-Regular"/>
          <w:sz w:val="32"/>
          <w:szCs w:val="32"/>
        </w:rPr>
        <w:t>。</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hint="default" w:cs="宋体" w:asciiTheme="minorEastAsia" w:hAnsiTheme="minorEastAsia" w:eastAsiaTheme="minorEastAsia"/>
                <w:sz w:val="21"/>
                <w:szCs w:val="21"/>
                <w:lang w:val="en-US"/>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食品药品抽检率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hint="default" w:cs="宋体" w:asciiTheme="minorEastAsia" w:hAnsiTheme="minorEastAsia" w:eastAsiaTheme="minorEastAsia"/>
                <w:sz w:val="21"/>
                <w:szCs w:val="21"/>
                <w:lang w:val="en-US"/>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成品油、散煤抽检率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hint="default" w:cs="宋体" w:asciiTheme="minorEastAsia" w:hAnsiTheme="minorEastAsia" w:eastAsiaTheme="minorEastAsia"/>
                <w:sz w:val="21"/>
                <w:szCs w:val="21"/>
                <w:lang w:val="en-US"/>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市场打假维权完成次</w:t>
            </w:r>
            <w:r>
              <w:rPr>
                <w:rFonts w:hint="eastAsia" w:cs="宋体" w:asciiTheme="minorEastAsia" w:hAnsiTheme="minorEastAsia" w:eastAsiaTheme="minorEastAsia"/>
                <w:sz w:val="21"/>
                <w:szCs w:val="21"/>
                <w:lang w:eastAsia="zh-CN"/>
              </w:rPr>
              <w:t>数</w:t>
            </w:r>
            <w:r>
              <w:rPr>
                <w:rFonts w:hint="eastAsia" w:cs="宋体" w:asciiTheme="minorEastAsia" w:hAnsiTheme="minorEastAsia" w:eastAsiaTheme="minorEastAsia"/>
                <w:sz w:val="21"/>
                <w:szCs w:val="21"/>
              </w:rPr>
              <w:t>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0"/>
              <w:jc w:val="center"/>
              <w:rPr>
                <w:rFonts w:hint="default" w:cs="宋体" w:asciiTheme="minorEastAsia" w:hAnsiTheme="minorEastAsia" w:eastAsiaTheme="minorEastAsia"/>
                <w:sz w:val="21"/>
                <w:szCs w:val="21"/>
                <w:lang w:val="en-US"/>
              </w:rPr>
            </w:pPr>
            <w:r>
              <w:rPr>
                <w:rFonts w:hint="eastAsia" w:cs="宋体" w:asciiTheme="minorEastAsia" w:hAnsiTheme="minorEastAsia" w:eastAsiaTheme="minorEastAsia"/>
                <w:sz w:val="21"/>
                <w:szCs w:val="21"/>
              </w:rPr>
              <w:t>3</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年决算文本及相关资料，202</w:t>
      </w:r>
      <w:r>
        <w:rPr>
          <w:rFonts w:hint="default" w:ascii="仿宋_GB2312" w:eastAsia="仿宋_GB2312" w:cs="DengXian-Regular"/>
          <w:sz w:val="32"/>
          <w:szCs w:val="32"/>
          <w:lang w:val="en-US"/>
        </w:rPr>
        <w:t>2</w:t>
      </w:r>
      <w:r>
        <w:rPr>
          <w:rFonts w:hint="eastAsia" w:ascii="仿宋_GB2312" w:eastAsia="仿宋_GB2312" w:cs="DengXian-Regular"/>
          <w:sz w:val="32"/>
          <w:szCs w:val="32"/>
        </w:rPr>
        <w:t>年结转结余资金38</w:t>
      </w:r>
      <w:r>
        <w:rPr>
          <w:rFonts w:hint="default" w:ascii="仿宋_GB2312" w:eastAsia="仿宋_GB2312" w:cs="DengXian-Regular"/>
          <w:sz w:val="32"/>
          <w:szCs w:val="32"/>
          <w:lang w:val="en-US"/>
        </w:rPr>
        <w:t>.</w:t>
      </w:r>
      <w:r>
        <w:rPr>
          <w:rFonts w:hint="eastAsia" w:ascii="仿宋_GB2312" w:eastAsia="仿宋_GB2312" w:cs="DengXian-Regular"/>
          <w:sz w:val="32"/>
          <w:szCs w:val="32"/>
        </w:rPr>
        <w:t>58042万元，决算收入4787</w:t>
      </w:r>
      <w:r>
        <w:rPr>
          <w:rFonts w:hint="default" w:ascii="仿宋_GB2312" w:eastAsia="仿宋_GB2312" w:cs="DengXian-Regular"/>
          <w:sz w:val="32"/>
          <w:szCs w:val="32"/>
          <w:lang w:val="en-US"/>
        </w:rPr>
        <w:t>.</w:t>
      </w:r>
      <w:r>
        <w:rPr>
          <w:rFonts w:hint="eastAsia" w:ascii="仿宋_GB2312" w:eastAsia="仿宋_GB2312" w:cs="DengXian-Regular"/>
          <w:sz w:val="32"/>
          <w:szCs w:val="32"/>
        </w:rPr>
        <w:t>94701万元，结转结余率</w:t>
      </w:r>
      <w:r>
        <w:rPr>
          <w:rFonts w:hint="default" w:ascii="仿宋_GB2312" w:eastAsia="仿宋_GB2312" w:cs="DengXian-Regular"/>
          <w:sz w:val="32"/>
          <w:szCs w:val="32"/>
          <w:lang w:val="en-US"/>
        </w:rPr>
        <w:t>8.05</w:t>
      </w:r>
      <w:r>
        <w:rPr>
          <w:rFonts w:hint="eastAsia" w:ascii="仿宋_GB2312" w:eastAsia="仿宋_GB2312" w:cs="DengXian-Regular"/>
          <w:sz w:val="32"/>
          <w:szCs w:val="32"/>
        </w:rPr>
        <w:t>%，大于5%。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年实际支出项目资金总额411</w:t>
      </w:r>
      <w:r>
        <w:rPr>
          <w:rFonts w:hint="default" w:ascii="仿宋_GB2312" w:eastAsia="仿宋_GB2312" w:cs="DengXian-Regular"/>
          <w:sz w:val="32"/>
          <w:szCs w:val="32"/>
          <w:lang w:val="en-US"/>
        </w:rPr>
        <w:t>.</w:t>
      </w:r>
      <w:r>
        <w:rPr>
          <w:rFonts w:hint="eastAsia" w:ascii="仿宋_GB2312" w:eastAsia="仿宋_GB2312" w:cs="DengXian-Regular"/>
          <w:sz w:val="32"/>
          <w:szCs w:val="32"/>
        </w:rPr>
        <w:t>279165万元，年初预算共</w:t>
      </w:r>
      <w:r>
        <w:rPr>
          <w:rFonts w:hint="default" w:ascii="仿宋_GB2312" w:eastAsia="仿宋_GB2312" w:cs="DengXian-Regular"/>
          <w:sz w:val="32"/>
          <w:szCs w:val="32"/>
          <w:lang w:val="en-US"/>
        </w:rPr>
        <w:t>12</w:t>
      </w:r>
      <w:r>
        <w:rPr>
          <w:rFonts w:hint="eastAsia" w:ascii="仿宋_GB2312" w:eastAsia="仿宋_GB2312" w:cs="DengXian-Regular"/>
          <w:sz w:val="32"/>
          <w:szCs w:val="32"/>
        </w:rPr>
        <w:t>个项目，预算数457</w:t>
      </w:r>
      <w:r>
        <w:rPr>
          <w:rFonts w:hint="default" w:ascii="仿宋_GB2312" w:eastAsia="仿宋_GB2312" w:cs="DengXian-Regular"/>
          <w:sz w:val="32"/>
          <w:szCs w:val="32"/>
          <w:lang w:val="en-US"/>
        </w:rPr>
        <w:t>.</w:t>
      </w:r>
      <w:r>
        <w:rPr>
          <w:rFonts w:hint="eastAsia" w:ascii="仿宋_GB2312" w:eastAsia="仿宋_GB2312" w:cs="DengXian-Regular"/>
          <w:sz w:val="32"/>
          <w:szCs w:val="32"/>
        </w:rPr>
        <w:t>462865万元，项目资金使用率为</w:t>
      </w:r>
      <w:r>
        <w:rPr>
          <w:rFonts w:hint="default" w:ascii="仿宋_GB2312" w:eastAsia="仿宋_GB2312" w:cs="DengXian-Regular"/>
          <w:sz w:val="32"/>
          <w:szCs w:val="32"/>
          <w:lang w:val="en-US"/>
        </w:rPr>
        <w:t>89.9</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3.食品药品抽检率（</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该指标主要评价部门食品药品抽检工作完成情况。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徐水区市场监督管理局202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年食品药品抽检工作完成全区覆盖100%，</w:t>
      </w:r>
      <w:r>
        <w:rPr>
          <w:rFonts w:ascii="仿宋_GB2312" w:eastAsia="仿宋_GB2312" w:cs="DengXian-Regular"/>
          <w:sz w:val="32"/>
          <w:szCs w:val="32"/>
        </w:rPr>
        <w:t>评价等级为</w:t>
      </w:r>
      <w:r>
        <w:rPr>
          <w:rFonts w:hint="eastAsia" w:ascii="仿宋_GB2312" w:eastAsia="仿宋_GB2312" w:cs="DengXian-Regular"/>
          <w:sz w:val="32"/>
          <w:szCs w:val="32"/>
        </w:rPr>
        <w:t>“优”。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4.成品油散煤抽检率(5分）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该指标主要评价部门完成工作情况。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徐水区市场监督管理局202</w:t>
      </w:r>
      <w:r>
        <w:rPr>
          <w:rFonts w:hint="default" w:ascii="仿宋_GB2312" w:eastAsia="仿宋_GB2312" w:cs="DengXian-Regular"/>
          <w:sz w:val="32"/>
          <w:szCs w:val="32"/>
          <w:lang w:val="en-US"/>
        </w:rPr>
        <w:t>2</w:t>
      </w:r>
      <w:r>
        <w:rPr>
          <w:rFonts w:hint="eastAsia" w:ascii="仿宋_GB2312" w:eastAsia="仿宋_GB2312" w:cs="DengXian-Regular"/>
          <w:sz w:val="32"/>
          <w:szCs w:val="32"/>
        </w:rPr>
        <w:t>年成品油、散煤抽检工作完成全区覆盖100%，</w:t>
      </w:r>
      <w:r>
        <w:rPr>
          <w:rFonts w:ascii="仿宋_GB2312" w:eastAsia="仿宋_GB2312" w:cs="DengXian-Regular"/>
          <w:sz w:val="32"/>
          <w:szCs w:val="32"/>
        </w:rPr>
        <w:t>评价等级为</w:t>
      </w:r>
      <w:r>
        <w:rPr>
          <w:rFonts w:hint="eastAsia" w:ascii="仿宋_GB2312" w:eastAsia="仿宋_GB2312" w:cs="DengXian-Regular"/>
          <w:sz w:val="32"/>
          <w:szCs w:val="32"/>
        </w:rPr>
        <w:t>“优”。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5.市场打假维权完成次数（</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该指标主要评价市场打假维权完成情况。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徐水区市场监督管理局2020年打假维权完成工作次数60次，</w:t>
      </w:r>
      <w:r>
        <w:rPr>
          <w:rFonts w:ascii="仿宋_GB2312" w:eastAsia="仿宋_GB2312" w:cs="DengXian-Regular"/>
          <w:sz w:val="32"/>
          <w:szCs w:val="32"/>
        </w:rPr>
        <w:t>评价等级为</w:t>
      </w:r>
      <w:r>
        <w:rPr>
          <w:rFonts w:hint="eastAsia" w:ascii="仿宋_GB2312" w:eastAsia="仿宋_GB2312" w:cs="DengXian-Regular"/>
          <w:sz w:val="32"/>
          <w:szCs w:val="32"/>
        </w:rPr>
        <w:t>“优，大于等于50次，评价等级为“优”,40次</w:t>
      </w:r>
      <w:r>
        <w:rPr>
          <w:rFonts w:ascii="仿宋_GB2312" w:eastAsia="仿宋_GB2312" w:cs="DengXian-Regular"/>
          <w:sz w:val="32"/>
          <w:szCs w:val="32"/>
        </w:rPr>
        <w:t>为</w:t>
      </w:r>
      <w:r>
        <w:rPr>
          <w:rFonts w:hint="eastAsia" w:ascii="仿宋_GB2312" w:eastAsia="仿宋_GB2312" w:cs="DengXian-Regular"/>
          <w:sz w:val="32"/>
          <w:szCs w:val="32"/>
        </w:rPr>
        <w:t>“良”。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4638561"/>
      <w:bookmarkStart w:id="73" w:name="_Toc465149516"/>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w:t>
      </w:r>
      <w:r>
        <w:rPr>
          <w:rFonts w:hint="eastAsia" w:ascii="仿宋_GB2312" w:eastAsia="仿宋_GB2312" w:cs="DengXian-Regular"/>
          <w:sz w:val="32"/>
          <w:szCs w:val="32"/>
          <w:lang w:eastAsia="zh-CN"/>
        </w:rPr>
        <w:t>徐水区市场监督管理局</w:t>
      </w:r>
      <w:r>
        <w:rPr>
          <w:rFonts w:hint="eastAsia" w:ascii="仿宋_GB2312" w:eastAsia="仿宋_GB2312" w:cs="DengXian-Regular"/>
          <w:sz w:val="32"/>
          <w:szCs w:val="32"/>
        </w:rPr>
        <w:t>提供的相关资料，履行职责对社会发展所带来的社会效益较显著，有效的提高了社会公众的</w:t>
      </w:r>
      <w:r>
        <w:rPr>
          <w:rFonts w:hint="eastAsia" w:ascii="仿宋_GB2312" w:eastAsia="仿宋_GB2312" w:cs="DengXian-Regular"/>
          <w:sz w:val="32"/>
          <w:szCs w:val="32"/>
          <w:lang w:eastAsia="zh-CN"/>
        </w:rPr>
        <w:t>消费维权</w:t>
      </w:r>
      <w:r>
        <w:rPr>
          <w:rFonts w:hint="eastAsia" w:ascii="仿宋_GB2312" w:eastAsia="仿宋_GB2312" w:cs="DengXian-Regular"/>
          <w:sz w:val="32"/>
          <w:szCs w:val="32"/>
        </w:rPr>
        <w:t>意识，</w:t>
      </w:r>
      <w:r>
        <w:rPr>
          <w:rFonts w:hint="eastAsia" w:ascii="仿宋_GB2312" w:eastAsia="仿宋_GB2312" w:cs="DengXian-Regular"/>
          <w:sz w:val="32"/>
          <w:szCs w:val="32"/>
          <w:lang w:eastAsia="zh-CN"/>
        </w:rPr>
        <w:t>优化营商环境，维护市场秩序</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eastAsia="zh-CN"/>
              </w:rPr>
              <w:t>双随机工作调查</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firstLineChars="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firstLineChars="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firstLineChars="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eastAsia="zh-CN"/>
              </w:rPr>
              <w:t>食品安全问题调差</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firstLineChars="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firstLineChars="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firstLineChars="0"/>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eastAsia="zh-CN"/>
              </w:rPr>
              <w:t>安全用药知识调成</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firstLineChars="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35</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firstLineChars="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13</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firstLineChars="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83</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default" w:ascii="仿宋_GB2312" w:eastAsia="仿宋_GB2312" w:cs="Times New Roman" w:hAnsiTheme="minorEastAsia"/>
          <w:sz w:val="32"/>
          <w:szCs w:val="32"/>
          <w:u w:color="000000"/>
          <w:lang w:val="en-US"/>
        </w:rPr>
        <w:t>94.33</w:t>
      </w:r>
      <w:r>
        <w:rPr>
          <w:rFonts w:hint="eastAsia" w:ascii="仿宋_GB2312" w:eastAsia="仿宋_GB2312" w:cs="Times New Roman" w:hAnsiTheme="minorEastAsia"/>
          <w:sz w:val="32"/>
          <w:szCs w:val="32"/>
          <w:u w:color="000000"/>
        </w:rPr>
        <w:t>分，小于(大于）90分，评价等级为“</w:t>
      </w:r>
      <w:r>
        <w:rPr>
          <w:rFonts w:hint="eastAsia" w:ascii="仿宋_GB2312" w:eastAsia="仿宋_GB2312" w:cs="Times New Roman" w:hAnsiTheme="minorEastAsia"/>
          <w:sz w:val="32"/>
          <w:szCs w:val="32"/>
          <w:u w:color="000000"/>
          <w:lang w:eastAsia="zh-CN"/>
        </w:rPr>
        <w:t>优</w:t>
      </w:r>
      <w:r>
        <w:rPr>
          <w:rFonts w:hint="eastAsia" w:ascii="仿宋_GB2312" w:eastAsia="仿宋_GB2312" w:cs="Times New Roman" w:hAnsiTheme="minorEastAsia"/>
          <w:sz w:val="32"/>
          <w:szCs w:val="32"/>
          <w:u w:color="000000"/>
        </w:rPr>
        <w:t>”。</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default" w:ascii="仿宋_GB2312" w:eastAsia="仿宋_GB2312" w:cs="Times New Roman" w:hAnsiTheme="minorEastAsia"/>
          <w:sz w:val="32"/>
          <w:szCs w:val="32"/>
          <w:u w:color="000000"/>
          <w:lang w:val="en-US"/>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lang w:eastAsia="zh-CN"/>
        </w:rPr>
        <w:t>徐水区市场监督管理局</w:t>
      </w:r>
      <w:r>
        <w:rPr>
          <w:rFonts w:hint="eastAsia" w:ascii="仿宋_GB2312" w:eastAsia="仿宋_GB2312" w:cs="Times New Roman" w:hAnsiTheme="minorEastAsia"/>
          <w:sz w:val="32"/>
          <w:szCs w:val="32"/>
          <w:u w:color="000000"/>
        </w:rPr>
        <w:t>202</w:t>
      </w:r>
      <w:r>
        <w:rPr>
          <w:rFonts w:hint="default" w:ascii="仿宋_GB2312" w:eastAsia="仿宋_GB2312" w:cs="DengXian-Regular"/>
          <w:sz w:val="32"/>
          <w:szCs w:val="32"/>
          <w:lang w:val="en-US"/>
        </w:rPr>
        <w:t>2</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ind w:firstLine="640" w:firstLineChars="200"/>
        <w:rPr>
          <w:rFonts w:ascii="仿宋_GB2312" w:eastAsia="仿宋_GB2312" w:cs="DengXian-Regular"/>
          <w:sz w:val="32"/>
          <w:szCs w:val="32"/>
        </w:rPr>
      </w:pPr>
      <w:r>
        <w:rPr>
          <w:rFonts w:hint="eastAsia" w:ascii="仿宋_GB2312" w:eastAsia="仿宋_GB2312" w:cs="Times New Roman" w:hAnsiTheme="minorEastAsia"/>
          <w:sz w:val="32"/>
          <w:szCs w:val="32"/>
          <w:u w:color="000000"/>
        </w:rPr>
        <w:t>1.部分绩效指标方面。</w:t>
      </w:r>
      <w:r>
        <w:rPr>
          <w:rFonts w:hint="eastAsia" w:ascii="仿宋_GB2312" w:eastAsia="仿宋_GB2312" w:cs="DengXian-Regular"/>
          <w:sz w:val="32"/>
          <w:szCs w:val="32"/>
        </w:rPr>
        <w:t>预算文本—部门职责工作活动绩效目标表中各项支出有个别项目支出时间未按预算支出时间完成 ，不利于对绩效目标实际完成情况进行考核。</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Times New Roman" w:hAnsiTheme="minorEastAsia"/>
          <w:sz w:val="32"/>
          <w:szCs w:val="32"/>
          <w:u w:color="000000"/>
        </w:rPr>
        <w:t>2.预算决算比较。</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年单位预算收入</w:t>
      </w:r>
      <w:r>
        <w:rPr>
          <w:rFonts w:hint="default" w:ascii="仿宋_GB2312" w:eastAsia="仿宋_GB2312" w:cs="DengXian-Regular"/>
          <w:sz w:val="32"/>
          <w:szCs w:val="32"/>
          <w:lang w:val="en-US"/>
        </w:rPr>
        <w:t>4846.077641</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，决算4787</w:t>
      </w:r>
      <w:r>
        <w:rPr>
          <w:rFonts w:hint="default" w:ascii="仿宋_GB2312" w:eastAsia="仿宋_GB2312" w:cs="DengXian-Regular"/>
          <w:sz w:val="32"/>
          <w:szCs w:val="32"/>
          <w:lang w:val="en-US" w:eastAsia="zh-CN"/>
        </w:rPr>
        <w:t>.</w:t>
      </w:r>
      <w:r>
        <w:rPr>
          <w:rFonts w:hint="eastAsia" w:ascii="仿宋_GB2312" w:eastAsia="仿宋_GB2312" w:cs="DengXian-Regular"/>
          <w:sz w:val="32"/>
          <w:szCs w:val="32"/>
          <w:lang w:eastAsia="zh-CN"/>
        </w:rPr>
        <w:t>94701万元，较预算减少</w:t>
      </w:r>
      <w:r>
        <w:rPr>
          <w:rFonts w:hint="default" w:ascii="仿宋_GB2312" w:eastAsia="仿宋_GB2312" w:cs="DengXian-Regular"/>
          <w:sz w:val="32"/>
          <w:szCs w:val="32"/>
          <w:lang w:val="en-US" w:eastAsia="zh-CN"/>
        </w:rPr>
        <w:t>58.130631</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决算数较预算数完成基本达到要求，但有个别项目如人员经费支出，有退休因素，影响了个别支出；省级财政厉行节约支出，</w:t>
      </w:r>
      <w:r>
        <w:rPr>
          <w:rFonts w:ascii="仿宋_GB2312" w:eastAsia="仿宋_GB2312" w:cs="DengXian-Regular"/>
          <w:sz w:val="32"/>
          <w:szCs w:val="32"/>
        </w:rPr>
        <w:t>致使决算数据较预算数据较少</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lang w:val="en-US" w:eastAsia="zh-CN"/>
        </w:rPr>
      </w:pPr>
      <w:r>
        <w:rPr>
          <w:rFonts w:hint="default" w:ascii="仿宋_GB2312" w:eastAsia="仿宋_GB2312" w:cs="Times New Roman" w:hAnsiTheme="minorEastAsia"/>
          <w:sz w:val="32"/>
          <w:szCs w:val="32"/>
          <w:u w:color="000000"/>
          <w:lang w:val="en-US"/>
        </w:rPr>
        <w:t>3</w:t>
      </w:r>
      <w:r>
        <w:rPr>
          <w:rFonts w:hint="eastAsia" w:ascii="仿宋_GB2312" w:eastAsia="仿宋_GB2312" w:cs="Times New Roman" w:hAnsiTheme="minorEastAsia"/>
          <w:sz w:val="32"/>
          <w:szCs w:val="32"/>
          <w:u w:color="000000"/>
        </w:rPr>
        <w:t>.政府采购方面</w:t>
      </w:r>
      <w:r>
        <w:rPr>
          <w:rFonts w:hint="eastAsia" w:ascii="仿宋_GB2312" w:eastAsia="仿宋_GB2312" w:cs="Times New Roman" w:hAnsiTheme="minorEastAsia"/>
          <w:sz w:val="32"/>
          <w:szCs w:val="32"/>
          <w:u w:color="000000"/>
          <w:lang w:eastAsia="zh-CN"/>
        </w:rPr>
        <w:t>。严格按照政府采购文件，对集采项目进行统计申报，按招投标手续开展工作，高效使用政府采购资金。</w:t>
      </w:r>
    </w:p>
    <w:p>
      <w:pPr>
        <w:spacing w:after="0" w:line="360" w:lineRule="auto"/>
        <w:ind w:firstLine="640" w:firstLineChars="200"/>
        <w:jc w:val="both"/>
        <w:textAlignment w:val="baseline"/>
        <w:rPr>
          <w:rFonts w:hint="default" w:ascii="仿宋_GB2312" w:eastAsia="仿宋_GB2312" w:cs="Times New Roman" w:hAnsiTheme="minorEastAsia"/>
          <w:sz w:val="32"/>
          <w:szCs w:val="32"/>
          <w:u w:color="000000"/>
          <w:lang w:val="en-US" w:eastAsia="zh-CN"/>
        </w:rPr>
      </w:pPr>
      <w:r>
        <w:rPr>
          <w:rFonts w:hint="default" w:ascii="仿宋_GB2312" w:eastAsia="仿宋_GB2312" w:cs="Times New Roman" w:hAnsiTheme="minorEastAsia"/>
          <w:sz w:val="32"/>
          <w:szCs w:val="32"/>
          <w:u w:color="000000"/>
          <w:lang w:val="en-US"/>
        </w:rPr>
        <w:t>4</w:t>
      </w:r>
      <w:r>
        <w:rPr>
          <w:rFonts w:hint="eastAsia" w:ascii="仿宋_GB2312" w:eastAsia="仿宋_GB2312" w:cs="Times New Roman" w:hAnsiTheme="minorEastAsia"/>
          <w:sz w:val="32"/>
          <w:szCs w:val="32"/>
          <w:u w:color="000000"/>
        </w:rPr>
        <w:t>.项目资金使用率方面</w:t>
      </w:r>
      <w:r>
        <w:rPr>
          <w:rFonts w:hint="eastAsia" w:ascii="仿宋_GB2312" w:eastAsia="仿宋_GB2312" w:cs="Times New Roman" w:hAnsiTheme="minorEastAsia"/>
          <w:sz w:val="32"/>
          <w:szCs w:val="32"/>
          <w:u w:color="000000"/>
          <w:lang w:eastAsia="zh-CN"/>
        </w:rPr>
        <w:t>。项目预算支出457</w:t>
      </w:r>
      <w:r>
        <w:rPr>
          <w:rFonts w:hint="default" w:ascii="仿宋_GB2312" w:eastAsia="仿宋_GB2312" w:cs="Times New Roman" w:hAnsiTheme="minorEastAsia"/>
          <w:sz w:val="32"/>
          <w:szCs w:val="32"/>
          <w:u w:color="000000"/>
          <w:lang w:val="en-US" w:eastAsia="zh-CN"/>
        </w:rPr>
        <w:t>.</w:t>
      </w:r>
      <w:r>
        <w:rPr>
          <w:rFonts w:hint="eastAsia" w:ascii="仿宋_GB2312" w:eastAsia="仿宋_GB2312" w:cs="Times New Roman" w:hAnsiTheme="minorEastAsia"/>
          <w:sz w:val="32"/>
          <w:szCs w:val="32"/>
          <w:u w:color="000000"/>
          <w:lang w:eastAsia="zh-CN"/>
        </w:rPr>
        <w:t>462865万元，决算支出411</w:t>
      </w:r>
      <w:r>
        <w:rPr>
          <w:rFonts w:hint="default" w:ascii="仿宋_GB2312" w:eastAsia="仿宋_GB2312" w:cs="Times New Roman" w:hAnsiTheme="minorEastAsia"/>
          <w:sz w:val="32"/>
          <w:szCs w:val="32"/>
          <w:u w:color="000000"/>
          <w:lang w:val="en-US" w:eastAsia="zh-CN"/>
        </w:rPr>
        <w:t>.</w:t>
      </w:r>
      <w:r>
        <w:rPr>
          <w:rFonts w:hint="eastAsia" w:ascii="仿宋_GB2312" w:eastAsia="仿宋_GB2312" w:cs="Times New Roman" w:hAnsiTheme="minorEastAsia"/>
          <w:sz w:val="32"/>
          <w:szCs w:val="32"/>
          <w:u w:color="000000"/>
          <w:lang w:eastAsia="zh-CN"/>
        </w:rPr>
        <w:t>279165万元，资金使用率</w:t>
      </w:r>
      <w:r>
        <w:rPr>
          <w:rFonts w:hint="default" w:ascii="仿宋_GB2312" w:eastAsia="仿宋_GB2312" w:cs="Times New Roman" w:hAnsiTheme="minorEastAsia"/>
          <w:sz w:val="32"/>
          <w:szCs w:val="32"/>
          <w:u w:color="000000"/>
          <w:lang w:val="en-US" w:eastAsia="zh-CN"/>
        </w:rPr>
        <w:t>89.9%</w:t>
      </w:r>
      <w:r>
        <w:rPr>
          <w:rFonts w:hint="eastAsia" w:ascii="仿宋_GB2312" w:eastAsia="仿宋_GB2312" w:cs="Times New Roman" w:hAnsiTheme="minorEastAsia"/>
          <w:sz w:val="32"/>
          <w:szCs w:val="32"/>
          <w:u w:color="000000"/>
          <w:lang w:val="en-US" w:eastAsia="zh-CN"/>
        </w:rPr>
        <w:t>，较预算支出减少</w:t>
      </w:r>
      <w:r>
        <w:rPr>
          <w:rFonts w:hint="default" w:ascii="仿宋_GB2312" w:eastAsia="仿宋_GB2312" w:cs="Times New Roman" w:hAnsiTheme="minorEastAsia"/>
          <w:sz w:val="32"/>
          <w:szCs w:val="32"/>
          <w:u w:color="000000"/>
          <w:lang w:val="en-US" w:eastAsia="zh-CN"/>
        </w:rPr>
        <w:t>46.1837</w:t>
      </w:r>
      <w:r>
        <w:rPr>
          <w:rFonts w:hint="eastAsia" w:ascii="仿宋_GB2312" w:eastAsia="仿宋_GB2312" w:cs="Times New Roman" w:hAnsiTheme="minorEastAsia"/>
          <w:sz w:val="32"/>
          <w:szCs w:val="32"/>
          <w:u w:color="000000"/>
          <w:lang w:val="en-US" w:eastAsia="zh-CN"/>
        </w:rPr>
        <w:t>万元，主要原因是年底资金收回，未能按时支付资金。</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徐水区市场监督管理局</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lang w:eastAsia="zh-CN"/>
        </w:rPr>
        <w:t>市场监督管理局</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7" w:name="_Toc465149534"/>
      <w:r>
        <w:rPr>
          <w:rFonts w:hint="eastAsia" w:ascii="仿宋_GB2312" w:eastAsia="仿宋_GB2312" w:cs="Times New Roman" w:hAnsiTheme="minorEastAsia"/>
          <w:sz w:val="32"/>
          <w:szCs w:val="32"/>
          <w:u w:color="000000"/>
        </w:rPr>
        <w:t>3.</w:t>
      </w:r>
      <w:bookmarkEnd w:id="77"/>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44"/>
      <w:r>
        <w:rPr>
          <w:rFonts w:hint="eastAsia" w:ascii="仿宋_GB2312" w:eastAsia="仿宋_GB2312" w:cs="Times New Roman" w:hAnsiTheme="minorEastAsia"/>
          <w:sz w:val="32"/>
          <w:szCs w:val="32"/>
          <w:u w:color="000000"/>
        </w:rPr>
        <w:t>4.</w:t>
      </w:r>
      <w:bookmarkEnd w:id="78"/>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2</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lang w:eastAsia="zh-CN"/>
        </w:rPr>
        <w:t>市场监督管理局</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工作活动绩效目标、绩效指标一览表</w:t>
      </w: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67CBB"/>
    <w:multiLevelType w:val="singleLevel"/>
    <w:tmpl w:val="90C67CB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E768CC"/>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7A975C2"/>
    <w:rsid w:val="18253B4C"/>
    <w:rsid w:val="190F0B2D"/>
    <w:rsid w:val="190F1674"/>
    <w:rsid w:val="19132D2F"/>
    <w:rsid w:val="19210747"/>
    <w:rsid w:val="196E7CB2"/>
    <w:rsid w:val="198759D2"/>
    <w:rsid w:val="19D72BB5"/>
    <w:rsid w:val="1AD212BF"/>
    <w:rsid w:val="1AF900F3"/>
    <w:rsid w:val="1AFC6A2C"/>
    <w:rsid w:val="1BE0351A"/>
    <w:rsid w:val="1C120302"/>
    <w:rsid w:val="1C30599E"/>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864D74"/>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BF2070"/>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BEF5630"/>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 w:type="paragraph" w:customStyle="1" w:styleId="74">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89532\Desktop\&#24213;&#31295;---&#33258;&#24049;&#3034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89532\Desktop\&#24213;&#31295;---&#33258;&#24049;&#3034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年决算收入结构图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95138888888892"/>
          <c:y val="0.00694444444444448"/>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en-US" sz="14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rPr>
              <a:t>2020</a:t>
            </a:r>
            <a:r>
              <a:rPr lang="zh-CN" altLang="en-US" sz="14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rPr>
              <a:t>年</a:t>
            </a:r>
            <a:r>
              <a:rPr lang="zh-CN" altLang="en-US" sz="1400" b="0">
                <a:latin typeface="仿宋" panose="02010609060101010101" charset="-122"/>
                <a:ea typeface="仿宋" panose="02010609060101010101" charset="-122"/>
                <a:cs typeface="仿宋" panose="02010609060101010101" charset="-122"/>
              </a:rPr>
              <a:t>度预算收入与决算收入对比图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186409052606237"/>
          <c:y val="0.00684150513112889"/>
        </c:manualLayout>
      </c:layout>
      <c:overlay val="0"/>
    </c:title>
    <c:autoTitleDeleted val="0"/>
    <c:plotArea>
      <c:layout>
        <c:manualLayout>
          <c:layoutTarget val="inner"/>
          <c:xMode val="edge"/>
          <c:yMode val="edge"/>
          <c:x val="0.159427550004525"/>
          <c:y val="0.174797092671109"/>
          <c:w val="0.684520830835232"/>
          <c:h val="0.388237431859482"/>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7681895093061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0"/>
          <c:showBubbleSize val="0"/>
        </c:dLbls>
        <c:gapWidth val="150"/>
        <c:axId val="157344128"/>
        <c:axId val="157345664"/>
      </c:barChart>
      <c:catAx>
        <c:axId val="1573441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5664"/>
        <c:crosses val="autoZero"/>
        <c:auto val="1"/>
        <c:lblAlgn val="ctr"/>
        <c:lblOffset val="100"/>
        <c:noMultiLvlLbl val="0"/>
      </c:catAx>
      <c:valAx>
        <c:axId val="157345664"/>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41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年度决算支出结构图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98346055979648"/>
          <c:y val="0.00682593856655289"/>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年预算支出与决算支出对比图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12023186761504"/>
          <c:y val="0.00789265982636148"/>
        </c:manualLayout>
      </c:layout>
      <c:overlay val="0"/>
    </c:title>
    <c:autoTitleDeleted val="0"/>
    <c:plotArea>
      <c:layout>
        <c:manualLayout>
          <c:layoutTarget val="inner"/>
          <c:xMode val="edge"/>
          <c:yMode val="edge"/>
          <c:x val="0.176327804291726"/>
          <c:y val="0.151059495972789"/>
          <c:w val="0.677196941205967"/>
          <c:h val="0.388318863456989"/>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7681895093061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0"/>
          <c:showBubbleSize val="0"/>
        </c:dLbls>
        <c:gapWidth val="150"/>
        <c:axId val="165905536"/>
        <c:axId val="174944640"/>
      </c:barChart>
      <c:catAx>
        <c:axId val="1659055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4944640"/>
        <c:crosses val="autoZero"/>
        <c:auto val="1"/>
        <c:lblAlgn val="ctr"/>
        <c:lblOffset val="100"/>
        <c:noMultiLvlLbl val="0"/>
      </c:catAx>
      <c:valAx>
        <c:axId val="174944640"/>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055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4857751" y="400050"/>
          <a:ext cx="762000"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drawings/drawing3.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3608362" y="174387"/>
          <a:ext cx="566046" cy="103787"/>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drawings/drawing4.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2156</Words>
  <Characters>12293</Characters>
  <Lines>102</Lines>
  <Paragraphs>28</Paragraphs>
  <TotalTime>1196</TotalTime>
  <ScaleCrop>false</ScaleCrop>
  <LinksUpToDate>false</LinksUpToDate>
  <CharactersWithSpaces>14421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Lenovo</cp:lastModifiedBy>
  <cp:lastPrinted>2021-07-09T01:47:00Z</cp:lastPrinted>
  <dcterms:modified xsi:type="dcterms:W3CDTF">2023-08-18T01:34:51Z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