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瀑河乡2018年总决算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乡2018年因公出国（境）费本年支出0万元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较2015年增加0万元，</w:t>
      </w:r>
      <w:r>
        <w:rPr>
          <w:snapToGrid w:val="0"/>
          <w:kern w:val="0"/>
          <w:sz w:val="30"/>
          <w:szCs w:val="30"/>
        </w:rPr>
        <w:t>主要原因</w:t>
      </w:r>
      <w:r>
        <w:rPr>
          <w:rFonts w:hint="eastAsia"/>
          <w:snapToGrid w:val="0"/>
          <w:kern w:val="0"/>
          <w:sz w:val="30"/>
          <w:szCs w:val="30"/>
        </w:rPr>
        <w:t xml:space="preserve">未发生因公出国（境）费用。因公出国（境）团组0个，因公出国（境）人次数0人。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（二）本乡2018年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   12万元。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；较2017年增加0万元，主要原因未购置公务用车。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公务用车运行维护费本年支出12万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；较2017年减少1.04万元，主要原因压减日常公务用车。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（三）本乡2018年公务接待费全年支出3.48万元，较2017年减少0.88万元，主要原因压减日常接待费用。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国内公务接待批次92个，国内公务接待人次68人；国外公务接待批次0个，国外公务接待人次0人。</w:t>
      </w: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</w:t>
      </w:r>
      <w:r>
        <w:rPr>
          <w:rFonts w:hint="eastAsia"/>
          <w:sz w:val="30"/>
          <w:szCs w:val="30"/>
          <w:lang w:val="en-US" w:eastAsia="zh-CN"/>
        </w:rPr>
        <w:t>至</w:t>
      </w: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bookmarkStart w:id="0" w:name="_GoBack"/>
      <w:bookmarkEnd w:id="0"/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。2018年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上级补助收入决算942.4万元，具体包括均衡性转移支付收入35.3万元，县级基本财力保障机制奖补资金收入15.8万元，专项补助708.6万元，农村综合改革转移支付收入182.7万元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政府采购支出总额181.63万元，其中：政府采购货物支出92.04万元、政府采购工程支出89.59万元、政府采购服务支出0万元。</w:t>
      </w: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（一）预算绩效管理工作开展情况 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根据区财政预算绩效管理要求，我单位以“部门职责 —工作活动”为依据，确定部门预算项目和预算额度，清晰描述预算项目开支范围和内容，确定预算项目的绩效目标、绩效指标和评价标准，为预算绩效控制、绩效分析、绩效评价打下好的基础。 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（二）预算项目绩效评价开展情况 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按照区财政预算绩效管理要求，我单位对2018年初确定的部门一般公共预算支出专项项目全面开展了绩效自评。绩效自评覆盖率达到100%。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Tg0MTY2Njg3NjBhN2M0ZjVkMzRmMmE0ODFlMjIifQ=="/>
  </w:docVars>
  <w:rsids>
    <w:rsidRoot w:val="00235C68"/>
    <w:rsid w:val="000965D2"/>
    <w:rsid w:val="00171EA3"/>
    <w:rsid w:val="00235C68"/>
    <w:rsid w:val="003F18DD"/>
    <w:rsid w:val="00423D6A"/>
    <w:rsid w:val="00921DDC"/>
    <w:rsid w:val="00EB7802"/>
    <w:rsid w:val="2FD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952</Characters>
  <Lines>7</Lines>
  <Paragraphs>2</Paragraphs>
  <TotalTime>10</TotalTime>
  <ScaleCrop>false</ScaleCrop>
  <LinksUpToDate>false</LinksUpToDate>
  <CharactersWithSpaces>1116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2019-03-09T03:11:00Z</dcterms:created>
  <dc:creator>Win7</dc:creator>
  <cp:lastModifiedBy>lenovo</cp:lastModifiedBy>
  <dcterms:modified xsi:type="dcterms:W3CDTF">2023-11-16T02:34:38Z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716F8C177C2E4B70A2F9EF55EA86948C_12</vt:lpwstr>
  </property>
</Properties>
</file>