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保定市徐水区瀑河乡人民政府</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5" w:name="_GoBack"/>
      <w:bookmarkEnd w:id="5"/>
      <w:r>
        <w:rPr>
          <w:rFonts w:hint="eastAsia" w:ascii="仿宋" w:hAnsi="仿宋" w:eastAsia="仿宋"/>
          <w:sz w:val="32"/>
          <w:szCs w:val="32"/>
        </w:rPr>
        <w:t>预算法》、《地方预决算公开操作规程》等文件规定，现将我单位预算信息公开如下：</w:t>
      </w:r>
    </w:p>
    <w:p>
      <w:pPr>
        <w:ind w:firstLine="1760" w:firstLineChars="400"/>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根据《保定市徐水区瀑河乡人民政府职能配置、内设机构和人员编制规定》，</w:t>
      </w:r>
      <w:r>
        <w:rPr>
          <w:rFonts w:ascii="仿宋" w:hAnsi="仿宋" w:eastAsia="仿宋"/>
          <w:sz w:val="32"/>
          <w:szCs w:val="32"/>
        </w:rPr>
        <w:t xml:space="preserve"> 保定市徐水区瀑河乡人民政府的主要职责是：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在本行政区域内，保证宪法、法律、行政法规和省人民代表大会及其常务委员会决议的遵守和执行；领导或者主持乡人民代表大会代表的选举；召集乡人民代表大会会议；讨论、决定本行政区域内的政治、经济、教育、科学、文化、 卫生、环境和资源保护、民政、民族等工作的重大事项；根据乡人民政府的建议，决定对本行政区域内的国民经济和社会发展计划、预算的部分变更；监督乡政府，联系乡人民代表大会代表，受理人民群众对上述机关和国家工作人员的申诉和意见；撤销乡人民代表大会及其常务委员会的不适当的决议；撤销乡人民政府的不适当的决定和命令；在乡人民代表大会闭会期间，决定副乡长的个别任免。</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保定市徐水区瀑河乡人民政府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2265.20</w:t>
      </w:r>
      <w:r>
        <w:rPr>
          <w:rFonts w:ascii="仿宋" w:hAnsi="仿宋" w:eastAsia="仿宋"/>
          <w:sz w:val="32"/>
          <w:szCs w:val="32"/>
        </w:rPr>
        <w:t>万元,其中：一般公共预算收入</w:t>
      </w:r>
      <w:r>
        <w:rPr>
          <w:rFonts w:hint="eastAsia" w:ascii="仿宋" w:hAnsi="仿宋" w:eastAsia="仿宋"/>
          <w:sz w:val="32"/>
          <w:szCs w:val="32"/>
        </w:rPr>
        <w:t>1761.86</w:t>
      </w:r>
      <w:r>
        <w:rPr>
          <w:rFonts w:ascii="仿宋" w:hAnsi="仿宋" w:eastAsia="仿宋"/>
          <w:sz w:val="32"/>
          <w:szCs w:val="32"/>
        </w:rPr>
        <w:t>万元，基金预算收入</w:t>
      </w:r>
      <w:r>
        <w:rPr>
          <w:rFonts w:hint="eastAsia" w:ascii="仿宋" w:hAnsi="仿宋" w:eastAsia="仿宋"/>
          <w:sz w:val="32"/>
          <w:szCs w:val="32"/>
        </w:rPr>
        <w:t>503.33</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2265.20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基本支出883.43万元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811.08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72.35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1381.77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本年度预算收支安排2265.20万元，较上年增加194.22</w:t>
      </w:r>
      <w:r>
        <w:rPr>
          <w:rFonts w:ascii="仿宋" w:hAnsi="仿宋" w:eastAsia="仿宋"/>
          <w:sz w:val="32"/>
          <w:szCs w:val="32"/>
        </w:rPr>
        <w:t>万元。其中:基本支出减少</w:t>
      </w:r>
      <w:r>
        <w:rPr>
          <w:rFonts w:hint="eastAsia" w:ascii="仿宋" w:hAnsi="仿宋" w:eastAsia="仿宋"/>
          <w:sz w:val="32"/>
          <w:szCs w:val="32"/>
        </w:rPr>
        <w:t>43.09</w:t>
      </w:r>
      <w:r>
        <w:rPr>
          <w:rFonts w:ascii="仿宋" w:hAnsi="仿宋" w:eastAsia="仿宋"/>
          <w:sz w:val="32"/>
          <w:szCs w:val="32"/>
        </w:rPr>
        <w:t>万元，主要原因是</w:t>
      </w:r>
      <w:r>
        <w:rPr>
          <w:rFonts w:hint="eastAsia" w:ascii="仿宋" w:hAnsi="仿宋" w:eastAsia="仿宋"/>
          <w:sz w:val="32"/>
          <w:szCs w:val="32"/>
        </w:rPr>
        <w:t>有人员调出和工资调减</w:t>
      </w:r>
      <w:r>
        <w:rPr>
          <w:rFonts w:ascii="仿宋" w:hAnsi="仿宋" w:eastAsia="仿宋"/>
          <w:sz w:val="32"/>
          <w:szCs w:val="32"/>
        </w:rPr>
        <w:t>；项目支出增加</w:t>
      </w:r>
      <w:r>
        <w:rPr>
          <w:rFonts w:hint="eastAsia" w:ascii="仿宋" w:hAnsi="仿宋" w:eastAsia="仿宋"/>
          <w:sz w:val="32"/>
          <w:szCs w:val="32"/>
        </w:rPr>
        <w:t>237.31</w:t>
      </w:r>
      <w:r>
        <w:rPr>
          <w:rFonts w:ascii="仿宋" w:hAnsi="仿宋" w:eastAsia="仿宋"/>
          <w:sz w:val="32"/>
          <w:szCs w:val="32"/>
        </w:rPr>
        <w:t>万元，主要原因是</w:t>
      </w:r>
      <w:r>
        <w:rPr>
          <w:rFonts w:hint="eastAsia" w:ascii="仿宋" w:hAnsi="仿宋" w:eastAsia="仿宋"/>
          <w:sz w:val="32"/>
          <w:szCs w:val="32"/>
        </w:rPr>
        <w:t>增加了瀑河水库除险加固工程及善后工作扶持项目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2021年我单位机关运行经费安排</w:t>
      </w:r>
      <w:r>
        <w:rPr>
          <w:rFonts w:hint="eastAsia" w:ascii="仿宋" w:hAnsi="仿宋" w:eastAsia="仿宋"/>
          <w:sz w:val="32"/>
          <w:szCs w:val="32"/>
        </w:rPr>
        <w:t>72.35</w:t>
      </w:r>
      <w:r>
        <w:rPr>
          <w:rFonts w:ascii="仿宋" w:hAnsi="仿宋" w:eastAsia="仿宋"/>
          <w:sz w:val="32"/>
          <w:szCs w:val="32"/>
        </w:rPr>
        <w:t>万元，其中办公费</w:t>
      </w:r>
      <w:r>
        <w:rPr>
          <w:rFonts w:hint="eastAsia" w:ascii="仿宋" w:hAnsi="仿宋" w:eastAsia="仿宋"/>
          <w:sz w:val="32"/>
          <w:szCs w:val="32"/>
        </w:rPr>
        <w:t>17.34</w:t>
      </w:r>
      <w:r>
        <w:rPr>
          <w:rFonts w:ascii="仿宋" w:hAnsi="仿宋" w:eastAsia="仿宋"/>
          <w:sz w:val="32"/>
          <w:szCs w:val="32"/>
        </w:rPr>
        <w:t>万元，邮电费</w:t>
      </w:r>
      <w:r>
        <w:rPr>
          <w:rFonts w:hint="eastAsia" w:ascii="仿宋" w:hAnsi="仿宋" w:eastAsia="仿宋"/>
          <w:sz w:val="32"/>
          <w:szCs w:val="32"/>
        </w:rPr>
        <w:t>9.82</w:t>
      </w:r>
      <w:r>
        <w:rPr>
          <w:rFonts w:ascii="仿宋" w:hAnsi="仿宋" w:eastAsia="仿宋"/>
          <w:sz w:val="32"/>
          <w:szCs w:val="32"/>
        </w:rPr>
        <w:t>万元，工会经费、福利费</w:t>
      </w:r>
      <w:r>
        <w:rPr>
          <w:rFonts w:hint="eastAsia" w:ascii="仿宋" w:hAnsi="仿宋" w:eastAsia="仿宋"/>
          <w:sz w:val="32"/>
          <w:szCs w:val="32"/>
        </w:rPr>
        <w:t>14.47</w:t>
      </w:r>
      <w:r>
        <w:rPr>
          <w:rFonts w:ascii="仿宋" w:hAnsi="仿宋" w:eastAsia="仿宋"/>
          <w:sz w:val="32"/>
          <w:szCs w:val="32"/>
        </w:rPr>
        <w:t>万元，公务用车运行维护费</w:t>
      </w:r>
      <w:r>
        <w:rPr>
          <w:rFonts w:hint="eastAsia" w:ascii="仿宋" w:hAnsi="仿宋" w:eastAsia="仿宋"/>
          <w:sz w:val="32"/>
          <w:szCs w:val="32"/>
        </w:rPr>
        <w:t>10.80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1.91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center"/>
                    <w:rPr>
                      <w:rFonts w:ascii="仿宋_GB2312" w:hAnsi="宋体" w:eastAsia="仿宋_GB2312"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outlineLvl w:val="0"/>
        <w:rPr>
          <w:rFonts w:ascii="方正小标宋_GBK" w:eastAsia="方正小标宋_GBK"/>
          <w:sz w:val="44"/>
        </w:rPr>
      </w:pPr>
      <w:bookmarkStart w:id="0" w:name="_Toc66978214"/>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jc w:val="center"/>
        <w:rPr>
          <w:rFonts w:ascii="Times New Roman" w:hAnsi="宋体" w:eastAsia="宋体"/>
          <w:sz w:val="44"/>
        </w:rPr>
      </w:pP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bookmarkStart w:id="1" w:name="_Toc68684003"/>
      <w:r>
        <w:rPr>
          <w:rFonts w:hint="eastAsia" w:ascii="仿宋" w:hAnsi="仿宋" w:eastAsia="仿宋"/>
          <w:sz w:val="32"/>
          <w:szCs w:val="32"/>
        </w:rPr>
        <w:t>一、总体绩效目标</w:t>
      </w:r>
      <w:bookmarkEnd w:id="1"/>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2" w:name="_Toc68684004"/>
      <w:r>
        <w:rPr>
          <w:rFonts w:ascii="仿宋" w:hAnsi="仿宋" w:eastAsia="仿宋"/>
          <w:sz w:val="32"/>
          <w:szCs w:val="32"/>
        </w:rPr>
        <w:t>二、分项绩效目标</w:t>
      </w:r>
      <w:bookmarkEnd w:id="2"/>
    </w:p>
    <w:p>
      <w:pPr>
        <w:spacing w:line="360" w:lineRule="auto"/>
        <w:ind w:firstLine="640" w:firstLineChars="200"/>
        <w:rPr>
          <w:rFonts w:ascii="仿宋" w:hAnsi="仿宋" w:eastAsia="仿宋"/>
          <w:sz w:val="32"/>
          <w:szCs w:val="32"/>
        </w:rPr>
      </w:pPr>
      <w:r>
        <w:rPr>
          <w:rFonts w:hint="eastAsia" w:ascii="仿宋" w:hAnsi="仿宋" w:eastAsia="仿宋"/>
          <w:sz w:val="32"/>
          <w:szCs w:val="32"/>
        </w:rPr>
        <w:t>（一）政务服务与管理工作水平持续提升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w:t>
      </w:r>
      <w:r>
        <w:rPr>
          <w:rFonts w:ascii="仿宋" w:hAnsi="仿宋" w:eastAsia="仿宋"/>
          <w:sz w:val="32"/>
          <w:szCs w:val="32"/>
        </w:rPr>
        <w:t>2021</w:t>
      </w:r>
      <w:r>
        <w:rPr>
          <w:rFonts w:hint="eastAsia" w:ascii="仿宋" w:hAnsi="仿宋" w:eastAsia="仿宋"/>
          <w:sz w:val="32"/>
          <w:szCs w:val="32"/>
        </w:rPr>
        <w:t>年扶贫公益岗位补助及购置保险的实施工作，重点加强地震群测群防岗位津贴、退役军人公益性岗位人员工资、安全生产信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绩效指标：纪检经费保障到位及时率到</w:t>
      </w:r>
      <w:r>
        <w:rPr>
          <w:rFonts w:ascii="仿宋" w:hAnsi="仿宋" w:eastAsia="仿宋"/>
          <w:sz w:val="32"/>
          <w:szCs w:val="32"/>
        </w:rPr>
        <w:t>90%</w:t>
      </w:r>
      <w:r>
        <w:rPr>
          <w:rFonts w:hint="eastAsia" w:ascii="仿宋" w:hAnsi="仿宋" w:eastAsia="仿宋"/>
          <w:sz w:val="32"/>
          <w:szCs w:val="32"/>
        </w:rPr>
        <w:t>以上，团委综合事务管理各项综合事务完成率</w:t>
      </w:r>
      <w:r>
        <w:rPr>
          <w:rFonts w:ascii="仿宋" w:hAnsi="仿宋" w:eastAsia="仿宋"/>
          <w:sz w:val="32"/>
          <w:szCs w:val="32"/>
        </w:rPr>
        <w:t>90%</w:t>
      </w:r>
      <w:r>
        <w:rPr>
          <w:rFonts w:hint="eastAsia" w:ascii="仿宋" w:hAnsi="仿宋" w:eastAsia="仿宋"/>
          <w:sz w:val="32"/>
          <w:szCs w:val="32"/>
        </w:rPr>
        <w:t>以上，全年组织宣传宗教活动</w:t>
      </w:r>
      <w:r>
        <w:rPr>
          <w:rFonts w:ascii="仿宋" w:hAnsi="仿宋" w:eastAsia="仿宋"/>
          <w:sz w:val="32"/>
          <w:szCs w:val="32"/>
        </w:rPr>
        <w:t>10</w:t>
      </w:r>
      <w:r>
        <w:rPr>
          <w:rFonts w:hint="eastAsia" w:ascii="仿宋" w:hAnsi="仿宋" w:eastAsia="仿宋"/>
          <w:sz w:val="32"/>
          <w:szCs w:val="32"/>
        </w:rPr>
        <w:t>次以上，解决维稳问题占全部维稳问题的</w:t>
      </w:r>
      <w:r>
        <w:rPr>
          <w:rFonts w:ascii="仿宋" w:hAnsi="仿宋" w:eastAsia="仿宋"/>
          <w:sz w:val="32"/>
          <w:szCs w:val="32"/>
        </w:rPr>
        <w:t>90%</w:t>
      </w:r>
      <w:r>
        <w:rPr>
          <w:rFonts w:hint="eastAsia" w:ascii="仿宋" w:hAnsi="仿宋" w:eastAsia="仿宋"/>
          <w:sz w:val="32"/>
          <w:szCs w:val="32"/>
        </w:rPr>
        <w:t>以上，地震群测群防岗位补贴、退役军人公益性岗位人员工资等人员项目资金发放率均达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（二）安全生产综合监督管理标准规范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绩效指标：全乡安全生产信息员</w:t>
      </w:r>
      <w:r>
        <w:rPr>
          <w:rFonts w:ascii="仿宋" w:hAnsi="仿宋" w:eastAsia="仿宋"/>
          <w:sz w:val="32"/>
          <w:szCs w:val="32"/>
        </w:rPr>
        <w:t>9</w:t>
      </w:r>
      <w:r>
        <w:rPr>
          <w:rFonts w:hint="eastAsia" w:ascii="仿宋" w:hAnsi="仿宋" w:eastAsia="仿宋"/>
          <w:sz w:val="32"/>
          <w:szCs w:val="32"/>
        </w:rPr>
        <w:t>个，安全生产信息员补贴发放率</w:t>
      </w:r>
      <w:r>
        <w:rPr>
          <w:rFonts w:ascii="仿宋" w:hAnsi="仿宋" w:eastAsia="仿宋"/>
          <w:sz w:val="32"/>
          <w:szCs w:val="32"/>
        </w:rPr>
        <w:t>100%</w:t>
      </w:r>
      <w:r>
        <w:rPr>
          <w:rFonts w:hint="eastAsia" w:ascii="仿宋" w:hAnsi="仿宋" w:eastAsia="仿宋"/>
          <w:sz w:val="32"/>
          <w:szCs w:val="32"/>
        </w:rPr>
        <w:t>，对发放补贴满意率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（三）农村经营管理体制完善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绩效指标：瀑河水库除险加固工程善后扶持资金涉及</w:t>
      </w:r>
      <w:r>
        <w:rPr>
          <w:rFonts w:ascii="仿宋" w:hAnsi="仿宋" w:eastAsia="仿宋"/>
          <w:sz w:val="32"/>
          <w:szCs w:val="32"/>
        </w:rPr>
        <w:t>5</w:t>
      </w:r>
      <w:r>
        <w:rPr>
          <w:rFonts w:hint="eastAsia" w:ascii="仿宋" w:hAnsi="仿宋" w:eastAsia="仿宋"/>
          <w:sz w:val="32"/>
          <w:szCs w:val="32"/>
        </w:rPr>
        <w:t>个村，土地补偿发放率</w:t>
      </w:r>
      <w:r>
        <w:rPr>
          <w:rFonts w:ascii="仿宋" w:hAnsi="仿宋" w:eastAsia="仿宋"/>
          <w:sz w:val="32"/>
          <w:szCs w:val="32"/>
        </w:rPr>
        <w:t>90%</w:t>
      </w:r>
      <w:r>
        <w:rPr>
          <w:rFonts w:hint="eastAsia" w:ascii="仿宋" w:hAnsi="仿宋" w:eastAsia="仿宋"/>
          <w:sz w:val="32"/>
          <w:szCs w:val="32"/>
        </w:rPr>
        <w:t>，收益群众满意度</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（四）社会管理强规范、为民服务高效率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绩效指标：服务群众工作任务完成率在</w:t>
      </w:r>
      <w:r>
        <w:rPr>
          <w:rFonts w:ascii="仿宋" w:hAnsi="仿宋" w:eastAsia="仿宋"/>
          <w:sz w:val="32"/>
          <w:szCs w:val="32"/>
        </w:rPr>
        <w:t>90%</w:t>
      </w:r>
      <w:r>
        <w:rPr>
          <w:rFonts w:hint="eastAsia" w:ascii="仿宋" w:hAnsi="仿宋" w:eastAsia="仿宋"/>
          <w:sz w:val="32"/>
          <w:szCs w:val="32"/>
        </w:rPr>
        <w:t>以上，通过服务群众工作，使社会稳定水平切实得到提高；党员受教育学习</w:t>
      </w:r>
      <w:r>
        <w:rPr>
          <w:rFonts w:ascii="仿宋" w:hAnsi="仿宋" w:eastAsia="仿宋"/>
          <w:sz w:val="32"/>
          <w:szCs w:val="32"/>
        </w:rPr>
        <w:t>80</w:t>
      </w:r>
      <w:r>
        <w:rPr>
          <w:rFonts w:hint="eastAsia" w:ascii="仿宋" w:hAnsi="仿宋" w:eastAsia="仿宋"/>
          <w:sz w:val="32"/>
          <w:szCs w:val="32"/>
        </w:rPr>
        <w:t>人次以上，党员先锋模范作用发挥充分；村级组织办公经费拨付率</w:t>
      </w:r>
      <w:r>
        <w:rPr>
          <w:rFonts w:ascii="仿宋" w:hAnsi="仿宋" w:eastAsia="仿宋"/>
          <w:sz w:val="32"/>
          <w:szCs w:val="32"/>
        </w:rPr>
        <w:t>90</w:t>
      </w:r>
      <w:r>
        <w:rPr>
          <w:rFonts w:hint="eastAsia" w:ascii="仿宋" w:hAnsi="仿宋" w:eastAsia="仿宋"/>
          <w:sz w:val="32"/>
          <w:szCs w:val="32"/>
        </w:rPr>
        <w:t>以上；公共文化设备良好数量占全部数量</w:t>
      </w:r>
      <w:r>
        <w:rPr>
          <w:rFonts w:ascii="仿宋" w:hAnsi="仿宋" w:eastAsia="仿宋"/>
          <w:sz w:val="32"/>
          <w:szCs w:val="32"/>
        </w:rPr>
        <w:t>90%</w:t>
      </w:r>
      <w:r>
        <w:rPr>
          <w:rFonts w:hint="eastAsia" w:ascii="仿宋" w:hAnsi="仿宋" w:eastAsia="仿宋"/>
          <w:sz w:val="32"/>
          <w:szCs w:val="32"/>
        </w:rPr>
        <w:t>以上，图书馆、美术馆等免费开放率</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仿宋" w:hAnsi="仿宋" w:eastAsia="仿宋"/>
          <w:sz w:val="32"/>
          <w:szCs w:val="32"/>
        </w:rPr>
        <w:t>“</w:t>
      </w:r>
      <w:r>
        <w:rPr>
          <w:rFonts w:hint="eastAsia" w:ascii="仿宋" w:hAnsi="仿宋" w:eastAsia="仿宋"/>
          <w:sz w:val="32"/>
          <w:szCs w:val="32"/>
        </w:rPr>
        <w:t>四个服务</w:t>
      </w:r>
      <w:r>
        <w:rPr>
          <w:rFonts w:ascii="仿宋" w:hAnsi="仿宋" w:eastAsia="仿宋"/>
          <w:sz w:val="32"/>
          <w:szCs w:val="32"/>
        </w:rPr>
        <w:t>”</w:t>
      </w:r>
      <w:r>
        <w:rPr>
          <w:rFonts w:hint="eastAsia" w:ascii="仿宋" w:hAnsi="仿宋" w:eastAsia="仿宋"/>
          <w:sz w:val="32"/>
          <w:szCs w:val="32"/>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line="360" w:lineRule="auto"/>
        <w:ind w:firstLine="640" w:firstLineChars="200"/>
        <w:rPr>
          <w:rFonts w:ascii="仿宋" w:hAnsi="仿宋" w:eastAsia="仿宋"/>
          <w:sz w:val="32"/>
          <w:szCs w:val="32"/>
        </w:rPr>
      </w:pPr>
      <w:bookmarkStart w:id="3" w:name="_Toc68684005"/>
      <w:r>
        <w:rPr>
          <w:rFonts w:ascii="仿宋" w:hAnsi="仿宋" w:eastAsia="仿宋"/>
          <w:sz w:val="32"/>
          <w:szCs w:val="32"/>
        </w:rPr>
        <w:t>三、工作保障措施</w:t>
      </w:r>
      <w:bookmarkEnd w:id="3"/>
    </w:p>
    <w:p>
      <w:pPr>
        <w:spacing w:line="360" w:lineRule="auto"/>
        <w:ind w:firstLine="640" w:firstLineChars="200"/>
        <w:rPr>
          <w:rFonts w:ascii="仿宋" w:hAnsi="仿宋" w:eastAsia="仿宋"/>
          <w:sz w:val="32"/>
          <w:szCs w:val="32"/>
        </w:rPr>
      </w:pPr>
      <w:r>
        <w:rPr>
          <w:rFonts w:ascii="仿宋" w:hAnsi="仿宋" w:eastAsia="仿宋"/>
          <w:sz w:val="32"/>
          <w:szCs w:val="32"/>
        </w:rPr>
        <w:t>按照《关于全面实施预算绩效管理的实施意见》（冀发〔2018〕54号）和《河北省省级单位预算绩效管理办法》冀财绩〔2019〕4号）等文件精神，紧紧围绕中央和省委决策部署，制定切实有效的工作保障措施，科学确定总体绩效目标和分项绩效目标，强化预算绩效日常监督，推进预算绩效管理科学化、制度化和规范化。</w:t>
      </w:r>
    </w:p>
    <w:p>
      <w:pPr>
        <w:spacing w:line="360" w:lineRule="auto"/>
        <w:ind w:firstLine="640" w:firstLineChars="200"/>
        <w:rPr>
          <w:rFonts w:ascii="仿宋" w:hAnsi="仿宋" w:eastAsia="仿宋"/>
          <w:sz w:val="32"/>
          <w:szCs w:val="32"/>
        </w:rPr>
      </w:pPr>
      <w:r>
        <w:rPr>
          <w:rFonts w:ascii="仿宋" w:hAnsi="仿宋" w:eastAsia="仿宋"/>
          <w:sz w:val="32"/>
          <w:szCs w:val="32"/>
        </w:rPr>
        <w:t>1.强化政治理论武装，健全完善制度机制</w:t>
      </w:r>
    </w:p>
    <w:p>
      <w:pPr>
        <w:spacing w:line="360" w:lineRule="auto"/>
        <w:ind w:firstLine="640" w:firstLineChars="200"/>
        <w:rPr>
          <w:rFonts w:ascii="仿宋" w:hAnsi="仿宋" w:eastAsia="仿宋"/>
          <w:sz w:val="32"/>
          <w:szCs w:val="32"/>
        </w:rPr>
      </w:pPr>
      <w:r>
        <w:rPr>
          <w:rFonts w:ascii="仿宋" w:hAnsi="仿宋" w:eastAsia="仿宋"/>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spacing w:line="360" w:lineRule="auto"/>
        <w:ind w:firstLine="640" w:firstLineChars="200"/>
        <w:rPr>
          <w:rFonts w:ascii="仿宋" w:hAnsi="仿宋" w:eastAsia="仿宋"/>
          <w:sz w:val="32"/>
          <w:szCs w:val="32"/>
        </w:rPr>
      </w:pPr>
      <w:r>
        <w:rPr>
          <w:rFonts w:ascii="仿宋" w:hAnsi="仿宋" w:eastAsia="仿宋"/>
          <w:sz w:val="32"/>
          <w:szCs w:val="32"/>
        </w:rPr>
        <w:t>2.加强预算支出管理，确保支出进度达标</w:t>
      </w:r>
    </w:p>
    <w:p>
      <w:pPr>
        <w:spacing w:line="360" w:lineRule="auto"/>
        <w:ind w:firstLine="640" w:firstLineChars="200"/>
        <w:rPr>
          <w:rFonts w:ascii="仿宋" w:hAnsi="仿宋" w:eastAsia="仿宋"/>
          <w:sz w:val="32"/>
          <w:szCs w:val="32"/>
        </w:rPr>
      </w:pPr>
      <w:r>
        <w:rPr>
          <w:rFonts w:ascii="仿宋" w:hAnsi="仿宋" w:eastAsia="仿宋"/>
          <w:sz w:val="32"/>
          <w:szCs w:val="32"/>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360" w:lineRule="auto"/>
        <w:ind w:firstLine="640" w:firstLineChars="200"/>
        <w:rPr>
          <w:rFonts w:ascii="仿宋" w:hAnsi="仿宋" w:eastAsia="仿宋"/>
          <w:sz w:val="32"/>
          <w:szCs w:val="32"/>
        </w:rPr>
      </w:pPr>
      <w:r>
        <w:rPr>
          <w:rFonts w:ascii="仿宋" w:hAnsi="仿宋" w:eastAsia="仿宋"/>
          <w:sz w:val="32"/>
          <w:szCs w:val="32"/>
        </w:rPr>
        <w:t>3.加强内部监督管理，确保资金安全有效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360" w:lineRule="auto"/>
        <w:ind w:firstLine="640" w:firstLineChars="200"/>
        <w:rPr>
          <w:rFonts w:ascii="仿宋" w:hAnsi="仿宋" w:eastAsia="仿宋"/>
          <w:sz w:val="32"/>
          <w:szCs w:val="32"/>
        </w:rPr>
      </w:pPr>
      <w:r>
        <w:rPr>
          <w:rFonts w:ascii="仿宋" w:hAnsi="仿宋" w:eastAsia="仿宋"/>
          <w:sz w:val="32"/>
          <w:szCs w:val="32"/>
        </w:rPr>
        <w:t>4.加强宣传培训调研，确保绩效目标实现</w:t>
      </w:r>
    </w:p>
    <w:p>
      <w:pPr>
        <w:spacing w:line="360" w:lineRule="auto"/>
        <w:ind w:firstLine="640" w:firstLineChars="200"/>
        <w:rPr>
          <w:rFonts w:ascii="仿宋" w:hAnsi="仿宋" w:eastAsia="仿宋"/>
          <w:sz w:val="32"/>
          <w:szCs w:val="32"/>
        </w:rPr>
      </w:pPr>
      <w:r>
        <w:rPr>
          <w:rFonts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bookmarkEnd w:id="0"/>
    <w:p>
      <w:pPr>
        <w:jc w:val="center"/>
        <w:rPr>
          <w:rFonts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第二部分</w:t>
      </w:r>
      <w:r>
        <w:rPr>
          <w:rFonts w:ascii="方正小标宋_GBK" w:eastAsia="方正小标宋_GBK"/>
          <w:sz w:val="44"/>
        </w:rPr>
        <w:t xml:space="preserve"> </w:t>
      </w:r>
    </w:p>
    <w:p>
      <w:pPr>
        <w:jc w:val="center"/>
        <w:outlineLvl w:val="0"/>
        <w:rPr>
          <w:rFonts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3"/>
        <w:rPr>
          <w:rFonts w:ascii="Times New Roman" w:hAnsi="宋体" w:eastAsia="宋体"/>
          <w:b/>
          <w:sz w:val="28"/>
        </w:rPr>
      </w:pPr>
      <w:r>
        <w:rPr>
          <w:rFonts w:ascii="方正仿宋_GBK" w:eastAsia="方正仿宋_GBK"/>
          <w:b/>
          <w:sz w:val="28"/>
        </w:rPr>
        <w:t>1.地震群测群防岗位津贴绩效目标表</w:t>
      </w:r>
      <w:r>
        <w:fldChar w:fldCharType="begin"/>
      </w:r>
      <w:r>
        <w:rPr>
          <w:rFonts w:ascii="方正仿宋_GBK" w:eastAsia="方正仿宋_GBK"/>
          <w:b/>
          <w:sz w:val="28"/>
        </w:rPr>
        <w:instrText xml:space="preserve"> TC 1、地震群测群防岗位津贴绩效目标表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130625212E8T9N7VD88CU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用于地震群测群防岗位津贴支出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2040元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2.人大工作经费绩效目标表</w:t>
      </w:r>
      <w:r>
        <w:fldChar w:fldCharType="begin"/>
      </w:r>
      <w:r>
        <w:rPr>
          <w:rFonts w:ascii="方正仿宋_GBK" w:eastAsia="方正仿宋_GBK"/>
          <w:b/>
          <w:sz w:val="28"/>
        </w:rPr>
        <w:instrText xml:space="preserve"> TC 2、人大工作经费绩效目标表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130625212GMG50982G293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用于人大工作经费支出。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3.防火护林员补助经费绩效目标表</w:t>
      </w:r>
      <w:r>
        <w:fldChar w:fldCharType="begin"/>
      </w:r>
      <w:r>
        <w:rPr>
          <w:rFonts w:ascii="方正仿宋_GBK" w:eastAsia="方正仿宋_GBK"/>
          <w:b/>
          <w:sz w:val="28"/>
        </w:rPr>
        <w:instrText xml:space="preserve"> TC 3、防火护林员补助经费绩效目标表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130625213ZOLN629IAA1N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用于防火护林员补助经费支出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1.用于防火护林员补助经费支付</w:t>
            </w:r>
          </w:p>
          <w:p>
            <w:pPr>
              <w:spacing w:line="300" w:lineRule="exact"/>
              <w:jc w:val="left"/>
              <w:rPr>
                <w:rFonts w:ascii="方正书宋_GBK" w:eastAsia="方正书宋_GBK"/>
              </w:rPr>
            </w:pPr>
            <w:r>
              <w:rPr>
                <w:rFonts w:ascii="方正书宋_GBK" w:eastAsia="方正书宋_GBK"/>
              </w:rPr>
              <w:t>2.保障人员工作积极性</w:t>
            </w:r>
          </w:p>
          <w:p>
            <w:pPr>
              <w:spacing w:line="300" w:lineRule="exact"/>
              <w:jc w:val="left"/>
              <w:rPr>
                <w:rFonts w:ascii="方正书宋_GBK" w:eastAsia="方正书宋_GBK"/>
              </w:rPr>
            </w:pPr>
            <w:r>
              <w:rPr>
                <w:rFonts w:ascii="方正书宋_GBK" w:eastAsia="方正书宋_GBK"/>
              </w:rPr>
              <w:t>3.保障森林防火工作正常运转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4.公益就业扶贫岗位补助及保险资金绩效目标表</w:t>
      </w:r>
      <w:r>
        <w:fldChar w:fldCharType="begin"/>
      </w:r>
      <w:r>
        <w:rPr>
          <w:rFonts w:ascii="方正仿宋_GBK" w:eastAsia="方正仿宋_GBK"/>
          <w:b/>
          <w:sz w:val="28"/>
        </w:rPr>
        <w:instrText xml:space="preserve"> TC 4、公益就业扶贫岗位补助及保险资金绩效目标表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130625215ZPGG7QLDE2F5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公益就业扶贫岗位补助及保险资金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66670.00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用于公益就业扶贫岗位补助及保险资金费用支出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3.保障贫困人员日常生活正常运行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5.乡镇武装工作经费绩效目标表</w:t>
      </w:r>
      <w:r>
        <w:fldChar w:fldCharType="begin"/>
      </w:r>
      <w:r>
        <w:rPr>
          <w:rFonts w:ascii="方正仿宋_GBK" w:eastAsia="方正仿宋_GBK"/>
          <w:b/>
          <w:sz w:val="28"/>
        </w:rPr>
        <w:instrText xml:space="preserve"> TC 5、乡镇武装工作经费绩效目标表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130625216E68R5NMXNHT8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6.大气污染防治经费绩效目标表</w:t>
      </w:r>
      <w:r>
        <w:fldChar w:fldCharType="begin"/>
      </w:r>
      <w:r>
        <w:rPr>
          <w:rFonts w:ascii="方正仿宋_GBK" w:eastAsia="方正仿宋_GBK"/>
          <w:b/>
          <w:sz w:val="28"/>
        </w:rPr>
        <w:instrText xml:space="preserve"> TC 6、大气污染防治经费绩效目标表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13062521A1D36W0FGWSVQ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用于大气污染防治经费支出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7.村级组织办公经费绩效目标表</w:t>
      </w:r>
      <w:r>
        <w:fldChar w:fldCharType="begin"/>
      </w:r>
      <w:r>
        <w:rPr>
          <w:rFonts w:ascii="方正仿宋_GBK" w:eastAsia="方正仿宋_GBK"/>
          <w:b/>
          <w:sz w:val="28"/>
        </w:rPr>
        <w:instrText xml:space="preserve"> TC 7、村级组织办公经费绩效目标表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13062521BFXUZG3M1T2NH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用于村级组织办公经费支出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1.保障村级组织经费等支出</w:t>
            </w:r>
          </w:p>
          <w:p>
            <w:pPr>
              <w:spacing w:line="300" w:lineRule="exact"/>
              <w:jc w:val="left"/>
              <w:rPr>
                <w:rFonts w:ascii="方正书宋_GBK" w:eastAsia="方正书宋_GBK"/>
              </w:rPr>
            </w:pPr>
            <w:r>
              <w:rPr>
                <w:rFonts w:ascii="方正书宋_GBK" w:eastAsia="方正书宋_GBK"/>
              </w:rPr>
              <w:t>2.保障村级组织工作正常运转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8.选任专职人民调解员经费绩效目标表</w:t>
      </w:r>
      <w:r>
        <w:fldChar w:fldCharType="begin"/>
      </w:r>
      <w:r>
        <w:rPr>
          <w:rFonts w:ascii="方正仿宋_GBK" w:eastAsia="方正仿宋_GBK"/>
          <w:b/>
          <w:sz w:val="28"/>
        </w:rPr>
        <w:instrText xml:space="preserve"> TC 8、选任专职人民调解员经费绩效目标表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13062521CMCIRRNGVOFHX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用于选任专职人民调解员经费支出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1.做好人民调解工作，更好、更快调解诉前案件和信访案件。</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9.纪检保障经费绩效目标表</w:t>
      </w:r>
      <w:r>
        <w:fldChar w:fldCharType="begin"/>
      </w:r>
      <w:r>
        <w:rPr>
          <w:rFonts w:ascii="方正仿宋_GBK" w:eastAsia="方正仿宋_GBK"/>
          <w:b/>
          <w:sz w:val="28"/>
        </w:rPr>
        <w:instrText xml:space="preserve"> TC 9、纪检保障经费绩效目标表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13062521CR59HACGEQ9GP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用于全年纪检经费支出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10.瀑河水库除险加固工程及善后工作扶持绩效目标表</w:t>
      </w:r>
      <w:r>
        <w:fldChar w:fldCharType="begin"/>
      </w:r>
      <w:r>
        <w:rPr>
          <w:rFonts w:ascii="方正仿宋_GBK" w:eastAsia="方正仿宋_GBK"/>
          <w:b/>
          <w:sz w:val="28"/>
        </w:rPr>
        <w:instrText xml:space="preserve"> TC 10、瀑河水库除险加固工程及善后工作扶持绩效目标表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13062521CR8ERL78N5PM3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瀑河水库除险加固工程及善后工作扶持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2669501.23</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用于瀑河水库除险加固工程及善后工作扶持费用支出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1.用于瀑河水库除险加固及善后工作扶持助等费用支出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3.为了发展北湖休闲度假区建设，改善周边环境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能够保障工作正常运行效率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11.全区绿化土地流转金绩效目标表</w:t>
      </w:r>
      <w:r>
        <w:fldChar w:fldCharType="begin"/>
      </w:r>
      <w:r>
        <w:rPr>
          <w:rFonts w:ascii="方正仿宋_GBK" w:eastAsia="方正仿宋_GBK"/>
          <w:b/>
          <w:sz w:val="28"/>
        </w:rPr>
        <w:instrText xml:space="preserve"> TC 11、全区绿化土地流转金绩效目标表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13062521DAQHPLB9TETET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7392198.08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用于全区绿化土地流转金支出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按要求和计划完成林业绿化占地完成比例（百分比）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12.服务群众专项经费绩效目标表</w:t>
      </w:r>
      <w:r>
        <w:fldChar w:fldCharType="begin"/>
      </w:r>
      <w:r>
        <w:rPr>
          <w:rFonts w:ascii="方正仿宋_GBK" w:eastAsia="方正仿宋_GBK"/>
          <w:b/>
          <w:sz w:val="28"/>
        </w:rPr>
        <w:instrText xml:space="preserve"> TC 12、服务群众专项经费绩效目标表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13062521FSBW9Y7ELVKWQ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用于服务群众专项经费支出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1.运用服务群众专项经费，保障村内组织日常活动。</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3.保障服务群众工作正常运转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13.防汛工作专项经费绩效目标表</w:t>
      </w:r>
      <w:r>
        <w:fldChar w:fldCharType="begin"/>
      </w:r>
      <w:r>
        <w:rPr>
          <w:rFonts w:ascii="方正仿宋_GBK" w:eastAsia="方正仿宋_GBK"/>
          <w:b/>
          <w:sz w:val="28"/>
        </w:rPr>
        <w:instrText xml:space="preserve"> TC 13、防汛工作专项经费绩效目标表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13062521GBNGN9VAZAB8T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防汛工作专项经费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用于防汛工作经费支出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14.安全生产信息员经费绩效目标表</w:t>
      </w:r>
      <w:r>
        <w:fldChar w:fldCharType="begin"/>
      </w:r>
      <w:r>
        <w:rPr>
          <w:rFonts w:ascii="方正仿宋_GBK" w:eastAsia="方正仿宋_GBK"/>
          <w:b/>
          <w:sz w:val="28"/>
        </w:rPr>
        <w:instrText xml:space="preserve"> TC 14、安全生产信息员经费绩效目标表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13062521GZZU1V0L957QO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用于安全生产信息员经费支出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2.有效减少安全生产事故的发生，维护安全生产形势稳中向好。</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乡村安全生产信息员岗位津贴发放完成率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15..公共图书馆、文化馆（站）免费开放区级配套资金绩效目标表</w:t>
      </w:r>
      <w:r>
        <w:fldChar w:fldCharType="begin"/>
      </w:r>
      <w:r>
        <w:rPr>
          <w:rFonts w:ascii="方正仿宋_GBK" w:eastAsia="方正仿宋_GBK"/>
          <w:b/>
          <w:sz w:val="28"/>
        </w:rPr>
        <w:instrText xml:space="preserve"> TC 15、.公共图书馆、文化馆（站）免费开放区级配套资金绩效目标表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13062521HIB7COOWX9LIX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用于公共图书馆、文化馆（站）免费开放区级配套资金支付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1.地方美术馆、公共图书馆、文化馆（站）免费开放率提高</w:t>
            </w:r>
          </w:p>
          <w:p>
            <w:pPr>
              <w:spacing w:line="300" w:lineRule="exact"/>
              <w:jc w:val="left"/>
              <w:rPr>
                <w:rFonts w:ascii="方正书宋_GBK" w:eastAsia="方正书宋_GBK"/>
              </w:rPr>
            </w:pPr>
            <w:r>
              <w:rPr>
                <w:rFonts w:ascii="方正书宋_GBK" w:eastAsia="方正书宋_GBK"/>
              </w:rPr>
              <w:t>2.农村基层文化人才队伍建设、丰富农民群众文化生活等得到加强</w:t>
            </w:r>
          </w:p>
          <w:p>
            <w:pPr>
              <w:spacing w:line="300" w:lineRule="exact"/>
              <w:jc w:val="left"/>
              <w:rPr>
                <w:rFonts w:ascii="方正书宋_GBK" w:eastAsia="方正书宋_GBK"/>
              </w:rPr>
            </w:pPr>
            <w:r>
              <w:rPr>
                <w:rFonts w:ascii="方正书宋_GBK" w:eastAsia="方正书宋_GBK"/>
              </w:rPr>
              <w:t>3.提升农村基层文化生活水平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16.环境整治专项业务费绩效目标表</w:t>
      </w:r>
      <w:r>
        <w:fldChar w:fldCharType="begin"/>
      </w:r>
      <w:r>
        <w:rPr>
          <w:rFonts w:ascii="方正仿宋_GBK" w:eastAsia="方正仿宋_GBK"/>
          <w:b/>
          <w:sz w:val="28"/>
        </w:rPr>
        <w:instrText xml:space="preserve"> TC 16、环境整治专项业务费绩效目标表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13062521IL9VVBKT95LWU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环境整治专项业务费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用于环境整治专项业务费用支出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17.村级退役军人服务站吸收参战（进藏）退役军人补贴绩效目标表</w:t>
      </w:r>
      <w:r>
        <w:fldChar w:fldCharType="begin"/>
      </w:r>
      <w:r>
        <w:rPr>
          <w:rFonts w:ascii="方正仿宋_GBK" w:eastAsia="方正仿宋_GBK"/>
          <w:b/>
          <w:sz w:val="28"/>
        </w:rPr>
        <w:instrText xml:space="preserve"> TC 17、村级退役军人服务站吸收参战（进藏）退役军人补贴绩效目标表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13062521N8MWSQN9377V7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3.按时发放村级退役军人服务站吸收参战（进藏）退役军人补贴</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18.维稳经费绩效目标表</w:t>
      </w:r>
      <w:r>
        <w:fldChar w:fldCharType="begin"/>
      </w:r>
      <w:r>
        <w:rPr>
          <w:rFonts w:ascii="方正仿宋_GBK" w:eastAsia="方正仿宋_GBK"/>
          <w:b/>
          <w:sz w:val="28"/>
        </w:rPr>
        <w:instrText xml:space="preserve"> TC 18、维稳经费绩效目标表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13062521NISTQ69MGO6O1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用于进京值班出差旅费及其他费用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1.保障人员经费支出</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能够保障人员费用效率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19.机关运转专项业务费绩效目标表</w:t>
      </w:r>
      <w:r>
        <w:fldChar w:fldCharType="begin"/>
      </w:r>
      <w:r>
        <w:rPr>
          <w:rFonts w:ascii="方正仿宋_GBK" w:eastAsia="方正仿宋_GBK"/>
          <w:b/>
          <w:sz w:val="28"/>
        </w:rPr>
        <w:instrText xml:space="preserve"> TC 19、机关运转专项业务费绩效目标表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13062521RQK1YKG4HERYF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机关运转专项业务费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用于机关运转专项业务费支出。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1.用于人员补助等费用支出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20.团委综合事务管理经费绩效目标表</w:t>
      </w:r>
      <w:r>
        <w:fldChar w:fldCharType="begin"/>
      </w:r>
      <w:r>
        <w:rPr>
          <w:rFonts w:ascii="方正仿宋_GBK" w:eastAsia="方正仿宋_GBK"/>
          <w:b/>
          <w:sz w:val="28"/>
        </w:rPr>
        <w:instrText xml:space="preserve"> TC 20、团委综合事务管理经费绩效目标表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13062521SHNX0323GDO91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用于团委综合事务管理经费支出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1.用于人员经费等费用支出</w:t>
            </w:r>
          </w:p>
          <w:p>
            <w:pPr>
              <w:spacing w:line="300" w:lineRule="exact"/>
              <w:jc w:val="left"/>
              <w:rPr>
                <w:rFonts w:ascii="方正书宋_GBK" w:eastAsia="方正书宋_GBK"/>
              </w:rPr>
            </w:pPr>
            <w:r>
              <w:rPr>
                <w:rFonts w:ascii="方正书宋_GBK" w:eastAsia="方正书宋_GBK"/>
              </w:rPr>
              <w:t>2.保障日常工作正常运转</w:t>
            </w:r>
          </w:p>
          <w:p>
            <w:pPr>
              <w:spacing w:line="300" w:lineRule="exact"/>
              <w:jc w:val="left"/>
              <w:rPr>
                <w:rFonts w:ascii="方正书宋_GBK" w:eastAsia="方正书宋_GBK"/>
              </w:rPr>
            </w:pPr>
            <w:r>
              <w:rPr>
                <w:rFonts w:ascii="方正书宋_GBK" w:eastAsia="方正书宋_GBK"/>
              </w:rPr>
              <w:t>3.保障人员工作积极性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实发人数比率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实发人数占应发人数比率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考核完成率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按时支付人员费用及时率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不超年初预算数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能够保障人员工资效率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21.2019-2020年区奖补资金造林绩效目标表</w:t>
      </w:r>
      <w:r>
        <w:fldChar w:fldCharType="begin"/>
      </w:r>
      <w:r>
        <w:rPr>
          <w:rFonts w:ascii="方正仿宋_GBK" w:eastAsia="方正仿宋_GBK"/>
          <w:b/>
          <w:sz w:val="28"/>
        </w:rPr>
        <w:instrText xml:space="preserve"> TC 21、2019-2020年区奖补资金造林绩效目标表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13062521UXD64G8LKGHXB</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2363842.00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 2019-2020年区奖补资金造林支出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1.增加林地绿化面积</w:t>
            </w:r>
          </w:p>
          <w:p>
            <w:pPr>
              <w:spacing w:line="300" w:lineRule="exact"/>
              <w:jc w:val="left"/>
              <w:rPr>
                <w:rFonts w:ascii="方正书宋_GBK" w:eastAsia="方正书宋_GBK"/>
              </w:rPr>
            </w:pPr>
            <w:r>
              <w:rPr>
                <w:rFonts w:ascii="方正书宋_GBK" w:eastAsia="方正书宋_GBK"/>
              </w:rPr>
              <w:t>2.提高全区绿化和森林覆盖率，改善生态环境</w:t>
            </w:r>
          </w:p>
          <w:p>
            <w:pPr>
              <w:spacing w:line="300" w:lineRule="exact"/>
              <w:jc w:val="left"/>
              <w:rPr>
                <w:rFonts w:ascii="方正书宋_GBK" w:eastAsia="方正书宋_GBK"/>
              </w:rPr>
            </w:pPr>
            <w:r>
              <w:rPr>
                <w:rFonts w:ascii="方正书宋_GBK" w:eastAsia="方正书宋_GBK"/>
              </w:rPr>
              <w:t>3.提高人居环境质量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实际发放地补助金额占计划发放金额的比率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森林覆盖面积增长率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全区森林面积净增加量与全区面积的比率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资金发放准时率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预算金额成本率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项目发挥作用期限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1年</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22.村党组织活动经费绩效目标表</w:t>
      </w:r>
      <w:r>
        <w:fldChar w:fldCharType="begin"/>
      </w:r>
      <w:r>
        <w:rPr>
          <w:rFonts w:ascii="方正仿宋_GBK" w:eastAsia="方正仿宋_GBK"/>
          <w:b/>
          <w:sz w:val="28"/>
        </w:rPr>
        <w:instrText xml:space="preserve"> TC 22、村党组织活动经费绩效目标表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13062521W1R9KLA39HKV3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用于村党组织活动经费支出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2.由村党组织活动经费定期集中培训，提高农村党员的综合素质</w:t>
            </w:r>
          </w:p>
          <w:p>
            <w:pPr>
              <w:spacing w:line="300" w:lineRule="exact"/>
              <w:jc w:val="left"/>
              <w:rPr>
                <w:rFonts w:ascii="方正书宋_GBK" w:eastAsia="方正书宋_GBK"/>
              </w:rPr>
            </w:pPr>
            <w:r>
              <w:rPr>
                <w:rFonts w:ascii="方正书宋_GBK" w:eastAsia="方正书宋_GBK"/>
              </w:rPr>
              <w:t>3.保障村党组织活动正常运转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培训、组织党员计划完成情况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r>
        <w:rPr>
          <w:rFonts w:ascii="方正仿宋_GBK" w:eastAsia="方正仿宋_GBK"/>
          <w:b/>
          <w:sz w:val="28"/>
        </w:rPr>
        <w:t>23.徐水区退役军人公益岗岗位人员工资绩效目标表</w:t>
      </w:r>
      <w:r>
        <w:fldChar w:fldCharType="begin"/>
      </w:r>
      <w:r>
        <w:rPr>
          <w:rFonts w:ascii="方正仿宋_GBK" w:eastAsia="方正仿宋_GBK"/>
          <w:b/>
          <w:sz w:val="28"/>
        </w:rPr>
        <w:instrText xml:space="preserve"> TC 23、徐水区退役军人公益岗岗位人员工资绩效目标表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910001瀑河乡本级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13062521YY7BSCGUVEKZM</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3.确保退役军人公益岗位人员工资按时发放</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bl>
    <w:p>
      <w:pPr>
        <w:sectPr>
          <w:pgSz w:w="11907" w:h="16839"/>
          <w:pgMar w:top="1984" w:right="1304" w:bottom="1134" w:left="1304" w:header="851" w:footer="992" w:gutter="0"/>
          <w:cols w:space="425" w:num="1"/>
          <w:docGrid w:type="lines" w:linePitch="312" w:charSpace="0"/>
        </w:sectPr>
      </w:pPr>
    </w:p>
    <w:p>
      <w:pPr>
        <w:rPr>
          <w:rFonts w:ascii="Times New Roman" w:hAnsi="宋体" w:eastAsia="宋体"/>
          <w:sz w:val="52"/>
        </w:rPr>
      </w:pPr>
      <w:r>
        <w:rPr>
          <w:rFonts w:ascii="方正小标宋_GBK" w:eastAsia="方正小标宋_GBK"/>
          <w:sz w:val="52"/>
        </w:rPr>
        <w:t xml:space="preserve"> </w:t>
      </w:r>
    </w:p>
    <w:p>
      <w:pPr>
        <w:rPr>
          <w:rFonts w:ascii="Times New Roman" w:hAnsi="宋体" w:eastAsia="宋体"/>
          <w:sz w:val="52"/>
        </w:rPr>
      </w:pPr>
      <w:r>
        <w:rPr>
          <w:rFonts w:ascii="方正小标宋_GBK" w:eastAsia="方正小标宋_GBK"/>
          <w:sz w:val="52"/>
        </w:rPr>
        <w:t xml:space="preserve">  </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9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2"/>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751" w:type="dxa"/>
            <w:gridSpan w:val="7"/>
            <w:tcBorders>
              <w:top w:val="single" w:color="FFFFFF" w:sz="6" w:space="0"/>
              <w:left w:val="single" w:color="FFFFFF" w:sz="6" w:space="0"/>
              <w:right w:val="single" w:color="FFFFFF" w:sz="6" w:space="0"/>
            </w:tcBorders>
            <w:shd w:val="clear" w:color="auto" w:fill="auto"/>
            <w:vAlign w:val="center"/>
          </w:tcPr>
          <w:p>
            <w:pPr>
              <w:spacing w:line="700" w:lineRule="exact"/>
              <w:ind w:firstLine="4960" w:firstLineChars="1550"/>
              <w:jc w:val="left"/>
              <w:rPr>
                <w:rFonts w:ascii="方正小标宋_GBK" w:eastAsia="方正小标宋_GBK"/>
                <w:sz w:val="24"/>
              </w:rPr>
            </w:pPr>
            <w:bookmarkStart w:id="4" w:name="RANGE!A1"/>
            <w:r>
              <w:rPr>
                <w:rFonts w:hint="eastAsia" w:ascii="宋体" w:hAnsi="宋体" w:eastAsia="宋体" w:cs="宋体"/>
                <w:color w:val="000000"/>
                <w:kern w:val="0"/>
                <w:sz w:val="32"/>
                <w:szCs w:val="32"/>
              </w:rPr>
              <w:t>单位政府采购预算</w:t>
            </w:r>
            <w:bookmarkEnd w:id="4"/>
          </w:p>
          <w:p>
            <w:pPr>
              <w:spacing w:line="700" w:lineRule="exact"/>
              <w:jc w:val="left"/>
              <w:rPr>
                <w:rFonts w:ascii="方正小标宋_GBK" w:eastAsia="方正小标宋_GBK"/>
                <w:sz w:val="24"/>
              </w:rPr>
            </w:pPr>
            <w:r>
              <w:rPr>
                <w:rFonts w:hint="eastAsia" w:ascii="Times New Roman" w:hAnsi="Times New Roman" w:eastAsia="等线" w:cs="Times New Roman"/>
                <w:color w:val="000000"/>
                <w:kern w:val="0"/>
                <w:sz w:val="24"/>
                <w:szCs w:val="24"/>
              </w:rPr>
              <w:t>保定市徐水区瀑河乡人民政府</w:t>
            </w: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当年单位预算安排资金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42"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2042"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2042"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上年末我单位固定资产总金额为262.91万元（详见下表）。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56"/>
        <w:gridCol w:w="4261"/>
      </w:tblGrid>
      <w:tr>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2020</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262.91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1723.32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44.26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1623.32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32.03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18.69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199.96</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Tg0MTY2Njg3NjBhN2M0ZjVkMzRmMmE0ODFlMjIifQ=="/>
  </w:docVars>
  <w:rsids>
    <w:rsidRoot w:val="00055F1F"/>
    <w:rsid w:val="00013B8A"/>
    <w:rsid w:val="00044FBC"/>
    <w:rsid w:val="00055F1F"/>
    <w:rsid w:val="000577EF"/>
    <w:rsid w:val="00057F18"/>
    <w:rsid w:val="000A445D"/>
    <w:rsid w:val="000B115B"/>
    <w:rsid w:val="000C178B"/>
    <w:rsid w:val="000F18EE"/>
    <w:rsid w:val="000F4FC2"/>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B1BEE"/>
    <w:rsid w:val="002B5133"/>
    <w:rsid w:val="002C10DC"/>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9CC"/>
    <w:rsid w:val="003E6AF3"/>
    <w:rsid w:val="003F3041"/>
    <w:rsid w:val="0040243C"/>
    <w:rsid w:val="00406BD1"/>
    <w:rsid w:val="0042017C"/>
    <w:rsid w:val="00426C19"/>
    <w:rsid w:val="00450FD9"/>
    <w:rsid w:val="00453CE0"/>
    <w:rsid w:val="00470736"/>
    <w:rsid w:val="00470BBB"/>
    <w:rsid w:val="004755BD"/>
    <w:rsid w:val="0048611E"/>
    <w:rsid w:val="00493C02"/>
    <w:rsid w:val="004B6929"/>
    <w:rsid w:val="004C168F"/>
    <w:rsid w:val="004E2F43"/>
    <w:rsid w:val="004E3572"/>
    <w:rsid w:val="004F3C52"/>
    <w:rsid w:val="00510A1E"/>
    <w:rsid w:val="005158E2"/>
    <w:rsid w:val="00524204"/>
    <w:rsid w:val="00550049"/>
    <w:rsid w:val="00553F7E"/>
    <w:rsid w:val="00570142"/>
    <w:rsid w:val="00586C35"/>
    <w:rsid w:val="005B1B6F"/>
    <w:rsid w:val="005B6CCB"/>
    <w:rsid w:val="005C01AE"/>
    <w:rsid w:val="005C4B31"/>
    <w:rsid w:val="005C54AA"/>
    <w:rsid w:val="005C7B89"/>
    <w:rsid w:val="005F106E"/>
    <w:rsid w:val="00605489"/>
    <w:rsid w:val="0062788A"/>
    <w:rsid w:val="00641F8A"/>
    <w:rsid w:val="0066383B"/>
    <w:rsid w:val="00681680"/>
    <w:rsid w:val="00691E7D"/>
    <w:rsid w:val="006A6FA2"/>
    <w:rsid w:val="006B5117"/>
    <w:rsid w:val="006C62DF"/>
    <w:rsid w:val="006F5104"/>
    <w:rsid w:val="006F6549"/>
    <w:rsid w:val="007259A5"/>
    <w:rsid w:val="00727524"/>
    <w:rsid w:val="00735B02"/>
    <w:rsid w:val="00750AE1"/>
    <w:rsid w:val="007657C8"/>
    <w:rsid w:val="00767A77"/>
    <w:rsid w:val="00771E49"/>
    <w:rsid w:val="00782208"/>
    <w:rsid w:val="00791938"/>
    <w:rsid w:val="007945BA"/>
    <w:rsid w:val="007A5999"/>
    <w:rsid w:val="007C7FD7"/>
    <w:rsid w:val="007F3746"/>
    <w:rsid w:val="007F733A"/>
    <w:rsid w:val="00803F95"/>
    <w:rsid w:val="00833132"/>
    <w:rsid w:val="00845C67"/>
    <w:rsid w:val="0086454E"/>
    <w:rsid w:val="008672EA"/>
    <w:rsid w:val="0087172C"/>
    <w:rsid w:val="00891680"/>
    <w:rsid w:val="008A0099"/>
    <w:rsid w:val="008A0B5F"/>
    <w:rsid w:val="008B5402"/>
    <w:rsid w:val="008D11BC"/>
    <w:rsid w:val="0090527E"/>
    <w:rsid w:val="00905BB7"/>
    <w:rsid w:val="0090620C"/>
    <w:rsid w:val="00912DA4"/>
    <w:rsid w:val="00916D60"/>
    <w:rsid w:val="009302B8"/>
    <w:rsid w:val="009305C6"/>
    <w:rsid w:val="00972920"/>
    <w:rsid w:val="009752AE"/>
    <w:rsid w:val="00980FF1"/>
    <w:rsid w:val="00982F3D"/>
    <w:rsid w:val="00983232"/>
    <w:rsid w:val="009A278A"/>
    <w:rsid w:val="009B6368"/>
    <w:rsid w:val="009E1762"/>
    <w:rsid w:val="009F63C4"/>
    <w:rsid w:val="00A16957"/>
    <w:rsid w:val="00A6155C"/>
    <w:rsid w:val="00A8079E"/>
    <w:rsid w:val="00A90328"/>
    <w:rsid w:val="00A92D66"/>
    <w:rsid w:val="00A9678A"/>
    <w:rsid w:val="00AA4262"/>
    <w:rsid w:val="00AB5A90"/>
    <w:rsid w:val="00AB7449"/>
    <w:rsid w:val="00AB7CA9"/>
    <w:rsid w:val="00AE4AA5"/>
    <w:rsid w:val="00AE7FA9"/>
    <w:rsid w:val="00B04777"/>
    <w:rsid w:val="00B147EB"/>
    <w:rsid w:val="00B1533D"/>
    <w:rsid w:val="00B22155"/>
    <w:rsid w:val="00B634B1"/>
    <w:rsid w:val="00B76AA9"/>
    <w:rsid w:val="00B80FAB"/>
    <w:rsid w:val="00B81C88"/>
    <w:rsid w:val="00BA5C83"/>
    <w:rsid w:val="00BC6A7D"/>
    <w:rsid w:val="00BD4829"/>
    <w:rsid w:val="00BD6002"/>
    <w:rsid w:val="00BD719F"/>
    <w:rsid w:val="00BF5442"/>
    <w:rsid w:val="00C177A5"/>
    <w:rsid w:val="00C2275C"/>
    <w:rsid w:val="00C25388"/>
    <w:rsid w:val="00C35FEE"/>
    <w:rsid w:val="00C50535"/>
    <w:rsid w:val="00C6153C"/>
    <w:rsid w:val="00C906EF"/>
    <w:rsid w:val="00CC7D74"/>
    <w:rsid w:val="00D02F97"/>
    <w:rsid w:val="00D05413"/>
    <w:rsid w:val="00D10035"/>
    <w:rsid w:val="00D45530"/>
    <w:rsid w:val="00D45A0E"/>
    <w:rsid w:val="00D45D23"/>
    <w:rsid w:val="00D723D1"/>
    <w:rsid w:val="00D80C60"/>
    <w:rsid w:val="00D8525F"/>
    <w:rsid w:val="00DA0C4D"/>
    <w:rsid w:val="00DA5DA7"/>
    <w:rsid w:val="00DB706D"/>
    <w:rsid w:val="00DE193F"/>
    <w:rsid w:val="00DE3935"/>
    <w:rsid w:val="00DE6B32"/>
    <w:rsid w:val="00DF26B8"/>
    <w:rsid w:val="00E12C68"/>
    <w:rsid w:val="00E2325B"/>
    <w:rsid w:val="00E24075"/>
    <w:rsid w:val="00E270C9"/>
    <w:rsid w:val="00E35F38"/>
    <w:rsid w:val="00E46F27"/>
    <w:rsid w:val="00E509CC"/>
    <w:rsid w:val="00E56DC0"/>
    <w:rsid w:val="00E71A04"/>
    <w:rsid w:val="00E83823"/>
    <w:rsid w:val="00E90DA6"/>
    <w:rsid w:val="00E96342"/>
    <w:rsid w:val="00EA2FEA"/>
    <w:rsid w:val="00EA56CB"/>
    <w:rsid w:val="00EA7853"/>
    <w:rsid w:val="00EE626B"/>
    <w:rsid w:val="00F000B1"/>
    <w:rsid w:val="00F012D3"/>
    <w:rsid w:val="00F044C3"/>
    <w:rsid w:val="00F10D04"/>
    <w:rsid w:val="00F169E3"/>
    <w:rsid w:val="00F35D4B"/>
    <w:rsid w:val="00F3746B"/>
    <w:rsid w:val="00F42A69"/>
    <w:rsid w:val="00F572CB"/>
    <w:rsid w:val="00F621AF"/>
    <w:rsid w:val="00F8024E"/>
    <w:rsid w:val="00F82447"/>
    <w:rsid w:val="00F868E5"/>
    <w:rsid w:val="00F95A19"/>
    <w:rsid w:val="00FB2F32"/>
    <w:rsid w:val="00FC3191"/>
    <w:rsid w:val="00FE0F1F"/>
    <w:rsid w:val="00FF61F3"/>
    <w:rsid w:val="01FA518F"/>
    <w:rsid w:val="03E00A3F"/>
    <w:rsid w:val="08C5127D"/>
    <w:rsid w:val="10C516E5"/>
    <w:rsid w:val="1BA13AD6"/>
    <w:rsid w:val="252B192E"/>
    <w:rsid w:val="26FC3352"/>
    <w:rsid w:val="27B86DC6"/>
    <w:rsid w:val="2A386FAF"/>
    <w:rsid w:val="2BD96B9A"/>
    <w:rsid w:val="2C5249B9"/>
    <w:rsid w:val="34CE1EBE"/>
    <w:rsid w:val="37A179F7"/>
    <w:rsid w:val="40687749"/>
    <w:rsid w:val="4E7C3FBC"/>
    <w:rsid w:val="525C2405"/>
    <w:rsid w:val="561A3AF2"/>
    <w:rsid w:val="58D73A66"/>
    <w:rsid w:val="5D4605F4"/>
    <w:rsid w:val="61E91412"/>
    <w:rsid w:val="62503B63"/>
    <w:rsid w:val="67EB1F9D"/>
    <w:rsid w:val="7055531B"/>
    <w:rsid w:val="70BD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B93E-DBC4-43C5-9FBA-AE7724433D93}">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2741</Words>
  <Characters>15628</Characters>
  <Lines>130</Lines>
  <Paragraphs>36</Paragraphs>
  <TotalTime>7</TotalTime>
  <ScaleCrop>false</ScaleCrop>
  <LinksUpToDate>false</LinksUpToDate>
  <CharactersWithSpaces>18333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2021-04-26T01:33:00Z</dcterms:created>
  <dc:creator>Windows 用户</dc:creator>
  <cp:lastModifiedBy>lenovo</cp:lastModifiedBy>
  <cp:lastPrinted>2021-04-14T02:06:00Z</cp:lastPrinted>
  <dcterms:modified xsi:type="dcterms:W3CDTF">2023-11-15T08:31:19Z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64AE366115814CE48067C4B78A3AF4AE</vt:lpwstr>
  </property>
</Properties>
</file>