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bookmarkStart w:id="78" w:name="_GoBack"/>
      <w:bookmarkEnd w:id="78"/>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保定市徐水区交通运输局</w:t>
      </w: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202</w:t>
      </w:r>
      <w:r>
        <w:rPr>
          <w:rFonts w:asciiTheme="majorEastAsia" w:hAnsiTheme="majorEastAsia" w:eastAsiaTheme="majorEastAsia" w:cstheme="majorEastAsia"/>
          <w:b/>
          <w:kern w:val="2"/>
          <w:sz w:val="44"/>
          <w:szCs w:val="44"/>
        </w:rPr>
        <w:t>2</w:t>
      </w:r>
      <w:r>
        <w:rPr>
          <w:rFonts w:hint="eastAsia" w:asciiTheme="majorEastAsia" w:hAnsiTheme="majorEastAsia" w:eastAsiaTheme="majorEastAsia" w:cstheme="majorEastAsia"/>
          <w:b/>
          <w:kern w:val="2"/>
          <w:sz w:val="44"/>
          <w:szCs w:val="44"/>
        </w:rPr>
        <w:t>年部门整体支出绩效评价</w:t>
      </w:r>
    </w:p>
    <w:p>
      <w:pPr>
        <w:widowControl w:val="0"/>
        <w:adjustRightInd/>
        <w:snapToGrid/>
        <w:spacing w:after="0" w:line="580" w:lineRule="exact"/>
        <w:jc w:val="center"/>
        <w:rPr>
          <w:rFonts w:ascii="黑体" w:hAnsi="黑体" w:eastAsia="黑体" w:cs="Times New Roman"/>
          <w:bCs/>
          <w:kern w:val="2"/>
          <w:sz w:val="48"/>
          <w:szCs w:val="48"/>
        </w:rPr>
      </w:pPr>
      <w:r>
        <w:rPr>
          <w:rFonts w:hint="eastAsia" w:asciiTheme="majorEastAsia" w:hAnsiTheme="majorEastAsia" w:eastAsiaTheme="majorEastAsia" w:cstheme="majorEastAsia"/>
          <w:b/>
          <w:kern w:val="2"/>
          <w:sz w:val="44"/>
          <w:szCs w:val="44"/>
        </w:rPr>
        <w:t>自评报告</w:t>
      </w:r>
    </w:p>
    <w:p>
      <w:pPr>
        <w:widowControl w:val="0"/>
        <w:adjustRightInd/>
        <w:snapToGrid/>
        <w:spacing w:after="0" w:line="480" w:lineRule="auto"/>
        <w:jc w:val="center"/>
        <w:rPr>
          <w:rFonts w:ascii="黑体" w:hAnsi="黑体" w:eastAsia="黑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23</w:t>
      </w:r>
      <w:r>
        <w:rPr>
          <w:rFonts w:hint="eastAsia" w:cs="Times New Roman" w:asciiTheme="minorEastAsia" w:hAnsiTheme="minorEastAsia" w:eastAsiaTheme="minorEastAsia"/>
          <w:bCs/>
          <w:kern w:val="2"/>
          <w:sz w:val="36"/>
          <w:szCs w:val="36"/>
        </w:rPr>
        <w:t>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3"/>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9"/>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一、保定市徐水区XXX基本情况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2022</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为正科级行政单位，经费保障形式为财政拨款，下设三个股室两个事业单位，分别为综合股、财务股、地方道路股，徐水区道桥管理中心和保定市徐水区交通运输局道路运输管理站，主要职责有公路、水路的建设及养护管理、客货运输行业管理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保定市徐水区交通运输局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指标体系共设置4个一级指标、7个二级指标、27个三级指标，从投入、过程、产出、效果四个方面对本单位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保定市徐水区交通运输局202</w:t>
      </w:r>
      <w:r>
        <w:rPr>
          <w:rFonts w:ascii="仿宋_GB2312" w:eastAsia="仿宋_GB2312" w:cs="DengXian-Regular"/>
          <w:sz w:val="32"/>
          <w:szCs w:val="32"/>
        </w:rPr>
        <w:t>2</w:t>
      </w:r>
      <w:r>
        <w:rPr>
          <w:rFonts w:hint="eastAsia" w:ascii="仿宋_GB2312" w:eastAsia="仿宋_GB2312" w:cs="DengXian-Regular"/>
          <w:sz w:val="32"/>
          <w:szCs w:val="32"/>
        </w:rPr>
        <w:t>年部门整体支出综合评价得分为94分，评价等级为“优”。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保定市徐水区交通运输局2022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1.部分绩效指标细化量化方面。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2.预算决算相比方面。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财政局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202</w:t>
      </w:r>
      <w:r>
        <w:rPr>
          <w:rFonts w:hint="eastAsia" w:ascii="仿宋_GB2312" w:eastAsia="仿宋_GB2312" w:cs="DengXian-Regular"/>
          <w:sz w:val="32"/>
          <w:szCs w:val="32"/>
        </w:rPr>
        <w:t>2</w:t>
      </w:r>
      <w:r>
        <w:rPr>
          <w:rFonts w:ascii="仿宋_GB2312" w:eastAsia="仿宋_GB2312" w:cs="DengXian-Regular"/>
          <w:sz w:val="32"/>
          <w:szCs w:val="32"/>
        </w:rPr>
        <w:t>年基本支出决算数较预算数增加比例较大，主要原因为基层司法所招录公务员增加人员经费支出，建议202</w:t>
      </w:r>
      <w:r>
        <w:rPr>
          <w:rFonts w:hint="eastAsia" w:ascii="仿宋_GB2312" w:eastAsia="仿宋_GB2312" w:cs="DengXian-Regular"/>
          <w:sz w:val="32"/>
          <w:szCs w:val="32"/>
        </w:rPr>
        <w:t>3</w:t>
      </w:r>
      <w:r>
        <w:rPr>
          <w:rFonts w:ascii="仿宋_GB2312" w:eastAsia="仿宋_GB2312" w:cs="DengXian-Regular"/>
          <w:sz w:val="32"/>
          <w:szCs w:val="32"/>
        </w:rPr>
        <w:t>年预算根据</w:t>
      </w:r>
      <w:r>
        <w:rPr>
          <w:rFonts w:hint="eastAsia" w:ascii="仿宋_GB2312" w:eastAsia="仿宋_GB2312" w:cs="DengXian-Regular"/>
          <w:sz w:val="32"/>
          <w:szCs w:val="32"/>
        </w:rPr>
        <w:t>2022年实际发生人员经费支出、人员数量和工资标准适当安排人员经费预算。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202</w:t>
      </w:r>
      <w:r>
        <w:rPr>
          <w:rFonts w:hint="eastAsia" w:ascii="仿宋_GB2312" w:eastAsia="仿宋_GB2312" w:cs="DengXian-Regular"/>
          <w:sz w:val="32"/>
          <w:szCs w:val="32"/>
        </w:rPr>
        <w:t>2</w:t>
      </w:r>
      <w:r>
        <w:rPr>
          <w:rFonts w:ascii="仿宋_GB2312" w:eastAsia="仿宋_GB2312" w:cs="DengXian-Regular"/>
          <w:sz w:val="32"/>
          <w:szCs w:val="32"/>
        </w:rPr>
        <w:t>年项目支出资金使用率</w:t>
      </w:r>
      <w:r>
        <w:rPr>
          <w:rFonts w:hint="eastAsia" w:ascii="仿宋_GB2312" w:eastAsia="仿宋_GB2312" w:cs="DengXian-Regular"/>
          <w:sz w:val="32"/>
          <w:szCs w:val="32"/>
        </w:rPr>
        <w:t>虽然</w:t>
      </w:r>
      <w:r>
        <w:rPr>
          <w:rFonts w:ascii="仿宋_GB2312" w:eastAsia="仿宋_GB2312" w:cs="DengXian-Regular"/>
          <w:sz w:val="32"/>
          <w:szCs w:val="32"/>
        </w:rPr>
        <w:t>较</w:t>
      </w:r>
      <w:r>
        <w:rPr>
          <w:rFonts w:hint="eastAsia" w:ascii="仿宋_GB2312" w:eastAsia="仿宋_GB2312" w:cs="DengXian-Regular"/>
          <w:sz w:val="32"/>
          <w:szCs w:val="32"/>
        </w:rPr>
        <w:t>高</w:t>
      </w:r>
      <w:r>
        <w:rPr>
          <w:rFonts w:ascii="仿宋_GB2312" w:eastAsia="仿宋_GB2312" w:cs="DengXian-Regular"/>
          <w:sz w:val="32"/>
          <w:szCs w:val="32"/>
        </w:rPr>
        <w:t>，</w:t>
      </w:r>
      <w:r>
        <w:rPr>
          <w:rFonts w:hint="eastAsia" w:ascii="仿宋_GB2312" w:eastAsia="仿宋_GB2312" w:cs="DengXian-Regular"/>
          <w:sz w:val="32"/>
          <w:szCs w:val="32"/>
        </w:rPr>
        <w:t>但</w:t>
      </w:r>
      <w:r>
        <w:rPr>
          <w:rFonts w:ascii="仿宋_GB2312" w:eastAsia="仿宋_GB2312" w:cs="DengXian-Regular"/>
          <w:sz w:val="32"/>
          <w:szCs w:val="32"/>
        </w:rPr>
        <w:t>年初预算</w:t>
      </w:r>
      <w:r>
        <w:rPr>
          <w:rFonts w:hint="eastAsia" w:ascii="仿宋_GB2312" w:eastAsia="仿宋_GB2312" w:cs="DengXian-Regular"/>
          <w:sz w:val="32"/>
          <w:szCs w:val="32"/>
        </w:rPr>
        <w:t>相比年中</w:t>
      </w:r>
      <w:r>
        <w:rPr>
          <w:rFonts w:ascii="仿宋_GB2312" w:eastAsia="仿宋_GB2312" w:cs="DengXian-Regular"/>
          <w:sz w:val="32"/>
          <w:szCs w:val="32"/>
        </w:rPr>
        <w:t>追加预算差额较大</w:t>
      </w:r>
      <w:r>
        <w:rPr>
          <w:rFonts w:hint="eastAsia" w:ascii="仿宋_GB2312" w:eastAsia="仿宋_GB2312" w:cs="DengXian-Regular"/>
          <w:sz w:val="32"/>
          <w:szCs w:val="32"/>
        </w:rPr>
        <w:t>，建议</w:t>
      </w:r>
      <w:r>
        <w:rPr>
          <w:rFonts w:ascii="仿宋_GB2312" w:eastAsia="仿宋_GB2312" w:cs="DengXian-Regular"/>
          <w:sz w:val="32"/>
          <w:szCs w:val="32"/>
        </w:rPr>
        <w:t>202</w:t>
      </w:r>
      <w:r>
        <w:rPr>
          <w:rFonts w:hint="eastAsia" w:ascii="仿宋_GB2312" w:eastAsia="仿宋_GB2312" w:cs="DengXian-Regular"/>
          <w:sz w:val="32"/>
          <w:szCs w:val="32"/>
        </w:rPr>
        <w:t>3</w:t>
      </w:r>
      <w:r>
        <w:rPr>
          <w:rFonts w:ascii="仿宋_GB2312" w:eastAsia="仿宋_GB2312" w:cs="DengXian-Regular"/>
          <w:sz w:val="32"/>
          <w:szCs w:val="32"/>
        </w:rPr>
        <w:t>年预算</w:t>
      </w:r>
      <w:r>
        <w:rPr>
          <w:rFonts w:hint="eastAsia" w:ascii="仿宋_GB2312" w:eastAsia="仿宋_GB2312" w:cs="DengXian-Regular"/>
          <w:sz w:val="32"/>
          <w:szCs w:val="32"/>
        </w:rPr>
        <w:t>编制更加</w:t>
      </w:r>
      <w:r>
        <w:rPr>
          <w:rFonts w:ascii="仿宋_GB2312" w:eastAsia="仿宋_GB2312" w:cs="DengXian-Regular"/>
          <w:sz w:val="32"/>
          <w:szCs w:val="32"/>
        </w:rPr>
        <w:t>科学</w:t>
      </w:r>
      <w:r>
        <w:rPr>
          <w:rFonts w:hint="eastAsia" w:ascii="仿宋_GB2312" w:eastAsia="仿宋_GB2312" w:cs="DengXian-Regular"/>
          <w:sz w:val="32"/>
          <w:szCs w:val="32"/>
        </w:rPr>
        <w:t>、</w:t>
      </w:r>
      <w:r>
        <w:rPr>
          <w:rFonts w:ascii="仿宋_GB2312" w:eastAsia="仿宋_GB2312" w:cs="DengXian-Regular"/>
          <w:sz w:val="32"/>
          <w:szCs w:val="32"/>
        </w:rPr>
        <w:t>精确</w:t>
      </w:r>
      <w:r>
        <w:rPr>
          <w:rFonts w:hint="eastAsia" w:ascii="仿宋_GB2312" w:eastAsia="仿宋_GB2312" w:cs="DengXian-Regular"/>
          <w:sz w:val="32"/>
          <w:szCs w:val="32"/>
        </w:rPr>
        <w:t>、</w:t>
      </w:r>
      <w:r>
        <w:rPr>
          <w:rFonts w:ascii="仿宋_GB2312" w:eastAsia="仿宋_GB2312" w:cs="DengXian-Regular"/>
          <w:sz w:val="32"/>
          <w:szCs w:val="32"/>
        </w:rPr>
        <w:t>合理。</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一、保定市徐水区交通运输局基本情况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交通运输局职能配置内设机构和人员编制规定》的通知，保定市徐水区交通运输局为区政府工作部门，正科级单位，下设3个股室。保定市徐水区交通运输局根据绩效预算管理改革的相关要求，按照“部门职责—工作活动绩效目标”的层级设立了绩效预算架构，职责活动包括交通运输基础设施建设、交通运输基础设施养护、维护、交通运输管理、交通政务管理工作共四部分。详见附件1。</w:t>
      </w:r>
    </w:p>
    <w:p>
      <w:pPr>
        <w:pStyle w:val="4"/>
        <w:spacing w:before="0" w:after="0"/>
        <w:ind w:firstLine="643" w:firstLineChars="200"/>
        <w:jc w:val="both"/>
        <w:rPr>
          <w:rFonts w:ascii="仿宋_GB2312" w:hAnsi="Tahoma" w:cs="DengXian-Regular"/>
          <w:sz w:val="32"/>
        </w:rPr>
      </w:pPr>
      <w:bookmarkStart w:id="6" w:name="_Toc465149499"/>
      <w:bookmarkStart w:id="7" w:name="_Toc7075"/>
      <w:bookmarkStart w:id="8" w:name="_Toc49265276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按照2022年绩效预算编制要求，保定市徐水区交通运输局设置的年度发展规划总体目标为：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负责贯彻执行党和国家关于制定发展交通工作要点，并监督实施。指导全区</w:t>
      </w:r>
      <w:r>
        <w:rPr>
          <w:rFonts w:ascii="仿宋" w:hAnsi="仿宋" w:eastAsia="仿宋"/>
          <w:sz w:val="32"/>
          <w:szCs w:val="32"/>
        </w:rPr>
        <w:t>公路、水路的运输行业管理</w:t>
      </w:r>
      <w:r>
        <w:rPr>
          <w:rFonts w:hint="eastAsia" w:ascii="仿宋_GB2312" w:eastAsia="仿宋_GB2312" w:cs="DengXian-Regular"/>
          <w:sz w:val="32"/>
          <w:szCs w:val="32"/>
        </w:rPr>
        <w:t>工作。制定</w:t>
      </w:r>
      <w:r>
        <w:rPr>
          <w:rFonts w:ascii="仿宋" w:hAnsi="仿宋" w:eastAsia="仿宋"/>
          <w:sz w:val="32"/>
          <w:szCs w:val="32"/>
        </w:rPr>
        <w:t>全区公路、水路交通发展规划、中长期规划和年度</w:t>
      </w:r>
      <w:r>
        <w:rPr>
          <w:rFonts w:hint="eastAsia" w:ascii="仿宋_GB2312" w:eastAsia="仿宋_GB2312" w:cs="DengXian-Regular"/>
          <w:sz w:val="32"/>
          <w:szCs w:val="32"/>
        </w:rPr>
        <w:t>规划并组织实施。负责全区交通运输基础设施建设工作，交通运输基础设施养护、维护、交通运输管理、交通政务管理工作。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bookmarkStart w:id="9" w:name="_Toc1678"/>
      <w:bookmarkStart w:id="10" w:name="_Toc465149500"/>
      <w:bookmarkStart w:id="11" w:name="_Toc492652766"/>
      <w:r>
        <w:rPr>
          <w:rFonts w:hint="eastAsia" w:ascii="仿宋_GB2312" w:eastAsia="仿宋_GB2312" w:cs="DengXian-Regular"/>
          <w:sz w:val="32"/>
          <w:szCs w:val="32"/>
        </w:rPr>
        <w:t>开展交通运输基础设施建设工作。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2.开展交通运输基础设施养护、维护工作。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3.开展交通运输管理工作。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4.开展交通政务管理工作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保定市徐水区交通运输局预算收入6915.82万元，其中一般公共预算拨款2514.32万元，基金预算拨款400万元,其他收入1.5万元,上年结转结余4000万元。预算收入按功能分类包含：社会保障和就业支出188.07万元，卫生健康支出75.37万元，城乡社区支出400万元</w:t>
      </w:r>
      <w:r>
        <w:rPr>
          <w:rFonts w:ascii="仿宋_GB2312" w:eastAsia="仿宋_GB2312" w:cs="DengXian-Regular"/>
          <w:sz w:val="32"/>
          <w:szCs w:val="32"/>
        </w:rPr>
        <w:t>，</w:t>
      </w:r>
      <w:r>
        <w:rPr>
          <w:rFonts w:hint="eastAsia" w:ascii="仿宋_GB2312" w:eastAsia="仿宋_GB2312" w:cs="DengXian-Regular"/>
          <w:sz w:val="32"/>
          <w:szCs w:val="32"/>
        </w:rPr>
        <w:t>住房保障支出107.2万元，交通运输支出2145.18万元</w:t>
      </w:r>
      <w:r>
        <w:rPr>
          <w:rFonts w:ascii="仿宋_GB2312" w:eastAsia="仿宋_GB2312" w:cs="DengXian-Regular"/>
          <w:sz w:val="32"/>
          <w:szCs w:val="32"/>
        </w:rPr>
        <w:t>，其他支出</w:t>
      </w:r>
      <w:r>
        <w:rPr>
          <w:rFonts w:hint="eastAsia" w:ascii="仿宋_GB2312" w:eastAsia="仿宋_GB2312" w:cs="DengXian-Regular"/>
          <w:sz w:val="32"/>
          <w:szCs w:val="32"/>
        </w:rPr>
        <w:t>4000万元。具体预算收入详见附件2。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2022年保定市徐水区交通运输局决算收入12533.91万元，其中：财政拨款收入</w:t>
      </w:r>
      <w:r>
        <w:rPr>
          <w:rFonts w:ascii="仿宋_GB2312" w:eastAsia="仿宋_GB2312" w:cs="DengXian-Regular"/>
          <w:sz w:val="32"/>
          <w:szCs w:val="32"/>
        </w:rPr>
        <w:t>12511.70</w:t>
      </w:r>
      <w:r>
        <w:rPr>
          <w:rFonts w:hint="eastAsia" w:ascii="仿宋_GB2312" w:eastAsia="仿宋_GB2312" w:cs="DengXian-Regular"/>
          <w:sz w:val="32"/>
          <w:szCs w:val="32"/>
        </w:rPr>
        <w:t>万元，其他收入22.2</w:t>
      </w:r>
      <w:r>
        <w:rPr>
          <w:rFonts w:ascii="仿宋_GB2312" w:eastAsia="仿宋_GB2312" w:cs="DengXian-Regular"/>
          <w:sz w:val="32"/>
          <w:szCs w:val="32"/>
        </w:rPr>
        <w:t>0</w:t>
      </w:r>
      <w:r>
        <w:rPr>
          <w:rFonts w:hint="eastAsia" w:ascii="仿宋_GB2312" w:eastAsia="仿宋_GB2312" w:cs="DengXian-Regular"/>
          <w:sz w:val="32"/>
          <w:szCs w:val="32"/>
        </w:rPr>
        <w:t>万元（利息收入及南水北调桥梁维护费等费用）。决算收入按功能分类包含：社会保障和就业支出</w:t>
      </w:r>
      <w:r>
        <w:rPr>
          <w:rFonts w:ascii="仿宋_GB2312" w:eastAsia="仿宋_GB2312" w:cs="DengXian-Regular"/>
          <w:sz w:val="32"/>
          <w:szCs w:val="32"/>
        </w:rPr>
        <w:t>190.84</w:t>
      </w:r>
      <w:r>
        <w:rPr>
          <w:rFonts w:hint="eastAsia" w:ascii="仿宋_GB2312" w:eastAsia="仿宋_GB2312" w:cs="DengXian-Regular"/>
          <w:sz w:val="32"/>
          <w:szCs w:val="32"/>
        </w:rPr>
        <w:t>万元，占比</w:t>
      </w:r>
      <w:r>
        <w:rPr>
          <w:rFonts w:ascii="仿宋_GB2312" w:eastAsia="仿宋_GB2312" w:cs="DengXian-Regular"/>
          <w:sz w:val="32"/>
          <w:szCs w:val="32"/>
        </w:rPr>
        <w:t>1.52</w:t>
      </w:r>
      <w:r>
        <w:rPr>
          <w:rFonts w:hint="eastAsia" w:ascii="仿宋_GB2312" w:eastAsia="仿宋_GB2312" w:cs="DengXian-Regular"/>
          <w:sz w:val="32"/>
          <w:szCs w:val="32"/>
        </w:rPr>
        <w:t>%；卫生健康支出7</w:t>
      </w:r>
      <w:r>
        <w:rPr>
          <w:rFonts w:ascii="仿宋_GB2312" w:eastAsia="仿宋_GB2312" w:cs="DengXian-Regular"/>
          <w:sz w:val="32"/>
          <w:szCs w:val="32"/>
        </w:rPr>
        <w:t>9.10</w:t>
      </w:r>
      <w:r>
        <w:rPr>
          <w:rFonts w:hint="eastAsia" w:ascii="仿宋_GB2312" w:eastAsia="仿宋_GB2312" w:cs="DengXian-Regular"/>
          <w:sz w:val="32"/>
          <w:szCs w:val="32"/>
        </w:rPr>
        <w:t>万元，占比0</w:t>
      </w:r>
      <w:r>
        <w:rPr>
          <w:rFonts w:ascii="仿宋_GB2312" w:eastAsia="仿宋_GB2312" w:cs="DengXian-Regular"/>
          <w:sz w:val="32"/>
          <w:szCs w:val="32"/>
        </w:rPr>
        <w:t>.63</w:t>
      </w:r>
      <w:r>
        <w:rPr>
          <w:rFonts w:hint="eastAsia" w:ascii="仿宋_GB2312" w:eastAsia="仿宋_GB2312" w:cs="DengXian-Regular"/>
          <w:sz w:val="32"/>
          <w:szCs w:val="32"/>
        </w:rPr>
        <w:t>%；城乡社区支出</w:t>
      </w:r>
      <w:r>
        <w:rPr>
          <w:rFonts w:ascii="仿宋_GB2312" w:eastAsia="仿宋_GB2312" w:cs="DengXian-Regular"/>
          <w:sz w:val="32"/>
          <w:szCs w:val="32"/>
        </w:rPr>
        <w:t>1146.92</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9.14</w:t>
      </w:r>
      <w:r>
        <w:rPr>
          <w:rFonts w:hint="eastAsia" w:ascii="仿宋_GB2312" w:eastAsia="仿宋_GB2312" w:cs="DengXian-Regular"/>
          <w:sz w:val="32"/>
          <w:szCs w:val="32"/>
        </w:rPr>
        <w:t>%；节能环保支出200.00万元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1.59</w:t>
      </w:r>
      <w:r>
        <w:rPr>
          <w:rFonts w:hint="eastAsia" w:ascii="仿宋_GB2312" w:eastAsia="仿宋_GB2312" w:cs="DengXian-Regular"/>
          <w:sz w:val="32"/>
          <w:szCs w:val="32"/>
        </w:rPr>
        <w:t>%；农林水支出165.00万元，占比</w:t>
      </w:r>
      <w:r>
        <w:rPr>
          <w:rFonts w:ascii="仿宋_GB2312" w:eastAsia="仿宋_GB2312" w:cs="DengXian-Regular"/>
          <w:sz w:val="32"/>
          <w:szCs w:val="32"/>
        </w:rPr>
        <w:t>1.31</w:t>
      </w:r>
      <w:r>
        <w:rPr>
          <w:rFonts w:hint="eastAsia" w:ascii="仿宋_GB2312" w:eastAsia="仿宋_GB2312" w:cs="DengXian-Regular"/>
          <w:sz w:val="32"/>
          <w:szCs w:val="32"/>
        </w:rPr>
        <w:t>%；住房保障支出10</w:t>
      </w:r>
      <w:r>
        <w:rPr>
          <w:rFonts w:ascii="仿宋_GB2312" w:eastAsia="仿宋_GB2312" w:cs="DengXian-Regular"/>
          <w:sz w:val="32"/>
          <w:szCs w:val="32"/>
        </w:rPr>
        <w:t>6</w:t>
      </w:r>
      <w:r>
        <w:rPr>
          <w:rFonts w:hint="eastAsia" w:ascii="仿宋_GB2312" w:eastAsia="仿宋_GB2312" w:cs="DengXian-Regular"/>
          <w:sz w:val="32"/>
          <w:szCs w:val="32"/>
        </w:rPr>
        <w:t>.</w:t>
      </w:r>
      <w:r>
        <w:rPr>
          <w:rFonts w:ascii="仿宋_GB2312" w:eastAsia="仿宋_GB2312" w:cs="DengXian-Regular"/>
          <w:sz w:val="32"/>
          <w:szCs w:val="32"/>
        </w:rPr>
        <w:t>8</w:t>
      </w:r>
      <w:r>
        <w:rPr>
          <w:rFonts w:hint="eastAsia" w:ascii="仿宋_GB2312" w:eastAsia="仿宋_GB2312" w:cs="DengXian-Regular"/>
          <w:sz w:val="32"/>
          <w:szCs w:val="32"/>
        </w:rPr>
        <w:t>2万元，占比0</w:t>
      </w:r>
      <w:r>
        <w:rPr>
          <w:rFonts w:ascii="仿宋_GB2312" w:eastAsia="仿宋_GB2312" w:cs="DengXian-Regular"/>
          <w:sz w:val="32"/>
          <w:szCs w:val="32"/>
        </w:rPr>
        <w:t>.85</w:t>
      </w:r>
      <w:r>
        <w:rPr>
          <w:rFonts w:hint="eastAsia" w:ascii="仿宋_GB2312" w:eastAsia="仿宋_GB2312" w:cs="DengXian-Regular"/>
          <w:sz w:val="32"/>
          <w:szCs w:val="32"/>
        </w:rPr>
        <w:t>%；交通运输支出</w:t>
      </w:r>
      <w:r>
        <w:rPr>
          <w:rFonts w:ascii="仿宋_GB2312" w:eastAsia="仿宋_GB2312" w:cs="DengXian-Regular"/>
          <w:sz w:val="32"/>
          <w:szCs w:val="32"/>
        </w:rPr>
        <w:t>6662.74</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53.09</w:t>
      </w:r>
      <w:r>
        <w:rPr>
          <w:rFonts w:hint="eastAsia" w:ascii="仿宋_GB2312" w:eastAsia="仿宋_GB2312" w:cs="DengXian-Regular"/>
          <w:sz w:val="32"/>
          <w:szCs w:val="32"/>
        </w:rPr>
        <w:t>%；</w:t>
      </w:r>
      <w:r>
        <w:rPr>
          <w:rFonts w:ascii="仿宋_GB2312" w:eastAsia="仿宋_GB2312" w:cs="DengXian-Regular"/>
          <w:sz w:val="32"/>
          <w:szCs w:val="32"/>
        </w:rPr>
        <w:t>其他支出</w:t>
      </w:r>
      <w:r>
        <w:rPr>
          <w:rFonts w:hint="eastAsia" w:ascii="仿宋_GB2312" w:eastAsia="仿宋_GB2312" w:cs="DengXian-Regular"/>
          <w:sz w:val="32"/>
          <w:szCs w:val="32"/>
        </w:rPr>
        <w:t>4000万元，占比</w:t>
      </w:r>
      <w:r>
        <w:rPr>
          <w:rFonts w:ascii="仿宋_GB2312" w:eastAsia="仿宋_GB2312" w:cs="DengXian-Regular"/>
          <w:sz w:val="32"/>
          <w:szCs w:val="32"/>
        </w:rPr>
        <w:t>31.87</w:t>
      </w:r>
      <w:r>
        <w:rPr>
          <w:rFonts w:hint="eastAsia" w:ascii="仿宋_GB2312" w:eastAsia="仿宋_GB2312" w:cs="DengXian-Regular"/>
          <w:sz w:val="32"/>
          <w:szCs w:val="32"/>
        </w:rPr>
        <w:t>%。具体决算收入详见附件</w:t>
      </w:r>
      <w:r>
        <w:rPr>
          <w:rFonts w:ascii="仿宋_GB2312" w:eastAsia="仿宋_GB2312" w:cs="DengXian-Regular"/>
          <w:sz w:val="32"/>
          <w:szCs w:val="32"/>
        </w:rPr>
        <w:t>2</w:t>
      </w:r>
      <w:r>
        <w:rPr>
          <w:rFonts w:hint="eastAsia" w:ascii="仿宋_GB2312" w:eastAsia="仿宋_GB2312" w:cs="DengXian-Regular"/>
          <w:sz w:val="32"/>
          <w:szCs w:val="32"/>
        </w:rPr>
        <w:t>。</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保定市徐水区交通运输局一般公共预算财政拨款决算收入比年初预算增加</w:t>
      </w:r>
      <w:r>
        <w:rPr>
          <w:rFonts w:ascii="仿宋_GB2312" w:eastAsia="仿宋_GB2312" w:cs="DengXian-Regular"/>
          <w:sz w:val="32"/>
          <w:szCs w:val="32"/>
        </w:rPr>
        <w:t>4850.46</w:t>
      </w:r>
      <w:r>
        <w:rPr>
          <w:rFonts w:hint="eastAsia" w:ascii="仿宋_GB2312" w:eastAsia="仿宋_GB2312" w:cs="DengXian-Regular"/>
          <w:sz w:val="32"/>
          <w:szCs w:val="32"/>
        </w:rPr>
        <w:t>万元，完成年初预算的</w:t>
      </w:r>
      <w:r>
        <w:rPr>
          <w:rFonts w:ascii="仿宋_GB2312" w:eastAsia="仿宋_GB2312" w:cs="DengXian-Regular"/>
          <w:sz w:val="32"/>
          <w:szCs w:val="32"/>
        </w:rPr>
        <w:t>292.91</w:t>
      </w:r>
      <w:r>
        <w:rPr>
          <w:rFonts w:hint="eastAsia" w:ascii="仿宋_GB2312" w:eastAsia="仿宋_GB2312" w:cs="DengXian-Regular"/>
          <w:sz w:val="32"/>
          <w:szCs w:val="32"/>
        </w:rPr>
        <w:t>%。决算收入大于预算收入的主要原因为202</w:t>
      </w:r>
      <w:r>
        <w:rPr>
          <w:rFonts w:ascii="仿宋_GB2312" w:eastAsia="仿宋_GB2312" w:cs="DengXian-Regular"/>
          <w:sz w:val="32"/>
          <w:szCs w:val="32"/>
        </w:rPr>
        <w:t>2</w:t>
      </w:r>
      <w:r>
        <w:rPr>
          <w:rFonts w:hint="eastAsia" w:ascii="仿宋_GB2312" w:eastAsia="仿宋_GB2312" w:cs="DengXian-Regular"/>
          <w:sz w:val="32"/>
          <w:szCs w:val="32"/>
        </w:rPr>
        <w:t>年度保定市徐水区交通运输局</w:t>
      </w:r>
      <w:r>
        <w:rPr>
          <w:rFonts w:hint="eastAsia" w:ascii="仿宋_GB2312" w:hAnsi="Times New Roman" w:eastAsia="仿宋_GB2312" w:cs="DengXian-Regular"/>
          <w:sz w:val="32"/>
          <w:szCs w:val="32"/>
        </w:rPr>
        <w:t>人员普调增资及工程</w:t>
      </w:r>
      <w:r>
        <w:rPr>
          <w:rFonts w:ascii="仿宋_GB2312" w:hAnsi="Times New Roman" w:eastAsia="仿宋_GB2312" w:cs="DengXian-Regular"/>
          <w:sz w:val="32"/>
          <w:szCs w:val="32"/>
        </w:rPr>
        <w:t>项目追加</w:t>
      </w:r>
      <w:r>
        <w:rPr>
          <w:rFonts w:hint="eastAsia" w:ascii="仿宋_GB2312" w:hAnsi="Times New Roman" w:eastAsia="仿宋_GB2312" w:cs="DengXian-Regular"/>
          <w:sz w:val="32"/>
          <w:szCs w:val="32"/>
        </w:rPr>
        <w:t>年初</w:t>
      </w:r>
      <w:r>
        <w:rPr>
          <w:rFonts w:ascii="仿宋_GB2312" w:hAnsi="Times New Roman" w:eastAsia="仿宋_GB2312" w:cs="DengXian-Regular"/>
          <w:sz w:val="32"/>
          <w:szCs w:val="32"/>
        </w:rPr>
        <w:t>预算</w:t>
      </w:r>
      <w:r>
        <w:rPr>
          <w:rFonts w:hint="eastAsia" w:ascii="仿宋_GB2312" w:hAnsi="Times New Roman" w:eastAsia="仿宋_GB2312" w:cs="DengXian-Regular"/>
          <w:sz w:val="32"/>
          <w:szCs w:val="32"/>
        </w:rPr>
        <w:t>收入而增加</w:t>
      </w:r>
      <w:r>
        <w:rPr>
          <w:rFonts w:hint="eastAsia" w:ascii="仿宋_GB2312" w:eastAsia="仿宋_GB2312" w:cs="DengXian-Regular"/>
          <w:sz w:val="32"/>
          <w:szCs w:val="32"/>
        </w:rPr>
        <w:t>。</w:t>
      </w:r>
      <w:bookmarkStart w:id="12" w:name="_Toc18197"/>
    </w:p>
    <w:p>
      <w:pPr>
        <w:spacing w:after="0" w:line="360" w:lineRule="auto"/>
        <w:ind w:firstLine="640" w:firstLineChars="200"/>
        <w:jc w:val="both"/>
        <w:rPr>
          <w:rFonts w:ascii="仿宋_GB2312" w:hAnsiTheme="minorEastAsia"/>
          <w:sz w:val="32"/>
        </w:rPr>
      </w:pP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2022年度保定市徐水区交通运输局</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6915.82</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2514.32</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4401.50</w:t>
      </w:r>
      <w:r>
        <w:rPr>
          <w:rFonts w:hint="eastAsia" w:ascii="仿宋_GB2312" w:eastAsia="仿宋_GB2312" w:cs="Times New Roman" w:hAnsiTheme="minorEastAsia"/>
          <w:sz w:val="32"/>
          <w:szCs w:val="32"/>
          <w:u w:color="000000"/>
        </w:rPr>
        <w:t>万元。预算支出按功能分类包含：社会保障和就业支出1</w:t>
      </w:r>
      <w:r>
        <w:rPr>
          <w:rFonts w:ascii="仿宋_GB2312" w:eastAsia="仿宋_GB2312" w:cs="Times New Roman" w:hAnsiTheme="minorEastAsia"/>
          <w:sz w:val="32"/>
          <w:szCs w:val="32"/>
          <w:u w:color="000000"/>
        </w:rPr>
        <w:t>88</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07</w:t>
      </w:r>
      <w:r>
        <w:rPr>
          <w:rFonts w:hint="eastAsia" w:ascii="仿宋_GB2312" w:eastAsia="仿宋_GB2312" w:cs="Times New Roman" w:hAnsiTheme="minorEastAsia"/>
          <w:sz w:val="32"/>
          <w:szCs w:val="32"/>
          <w:u w:color="000000"/>
        </w:rPr>
        <w:t>万元，</w:t>
      </w:r>
      <w:r>
        <w:rPr>
          <w:rFonts w:hint="eastAsia" w:ascii="仿宋_GB2312" w:eastAsia="仿宋_GB2312" w:cs="DengXian-Regular"/>
          <w:sz w:val="32"/>
          <w:szCs w:val="32"/>
        </w:rPr>
        <w:t>卫生健康支出</w:t>
      </w:r>
      <w:r>
        <w:rPr>
          <w:rFonts w:ascii="仿宋_GB2312" w:eastAsia="仿宋_GB2312" w:cs="DengXian-Regular"/>
          <w:sz w:val="32"/>
          <w:szCs w:val="32"/>
        </w:rPr>
        <w:t>75.37</w:t>
      </w:r>
      <w:r>
        <w:rPr>
          <w:rFonts w:hint="eastAsia" w:ascii="仿宋_GB2312" w:eastAsia="仿宋_GB2312" w:cs="DengXian-Regular"/>
          <w:sz w:val="32"/>
          <w:szCs w:val="32"/>
        </w:rPr>
        <w:t>万元，城乡社区支出400万元</w:t>
      </w:r>
      <w:r>
        <w:rPr>
          <w:rFonts w:ascii="仿宋_GB2312" w:eastAsia="仿宋_GB2312" w:cs="DengXian-Regular"/>
          <w:sz w:val="32"/>
          <w:szCs w:val="32"/>
        </w:rPr>
        <w:t>，</w:t>
      </w:r>
      <w:r>
        <w:rPr>
          <w:rFonts w:hint="eastAsia" w:ascii="仿宋_GB2312" w:eastAsia="仿宋_GB2312" w:cs="DengXian-Regular"/>
          <w:sz w:val="32"/>
          <w:szCs w:val="32"/>
        </w:rPr>
        <w:t>交通运输支出</w:t>
      </w:r>
      <w:r>
        <w:rPr>
          <w:rFonts w:ascii="仿宋_GB2312" w:eastAsia="仿宋_GB2312" w:cs="DengXian-Regular"/>
          <w:sz w:val="32"/>
          <w:szCs w:val="32"/>
        </w:rPr>
        <w:t>2145.18</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Times New Roman" w:hAnsiTheme="minorEastAsia"/>
          <w:sz w:val="32"/>
          <w:szCs w:val="32"/>
          <w:u w:color="000000"/>
        </w:rPr>
        <w:t>住房保障支出10</w:t>
      </w:r>
      <w:r>
        <w:rPr>
          <w:rFonts w:ascii="仿宋_GB2312" w:eastAsia="仿宋_GB2312" w:cs="Times New Roman" w:hAnsiTheme="minorEastAsia"/>
          <w:sz w:val="32"/>
          <w:szCs w:val="32"/>
          <w:u w:color="000000"/>
        </w:rPr>
        <w:t>7.02</w:t>
      </w:r>
      <w:r>
        <w:rPr>
          <w:rFonts w:hint="eastAsia" w:ascii="仿宋_GB2312" w:eastAsia="仿宋_GB2312" w:cs="Times New Roman" w:hAnsiTheme="minorEastAsia"/>
          <w:sz w:val="32"/>
          <w:szCs w:val="32"/>
          <w:u w:color="000000"/>
        </w:rPr>
        <w:t>万元，其他</w:t>
      </w:r>
      <w:r>
        <w:rPr>
          <w:rFonts w:ascii="仿宋_GB2312" w:eastAsia="仿宋_GB2312" w:cs="Times New Roman" w:hAnsiTheme="minorEastAsia"/>
          <w:sz w:val="32"/>
          <w:szCs w:val="32"/>
          <w:u w:color="000000"/>
        </w:rPr>
        <w:t>支出</w:t>
      </w:r>
      <w:r>
        <w:rPr>
          <w:rFonts w:hint="eastAsia" w:ascii="仿宋_GB2312" w:eastAsia="仿宋_GB2312" w:cs="Times New Roman" w:hAnsiTheme="minorEastAsia"/>
          <w:sz w:val="32"/>
          <w:szCs w:val="32"/>
          <w:u w:color="000000"/>
        </w:rPr>
        <w:t>4000.00万元</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2022年度保定市徐水区交通运输局</w:t>
      </w:r>
      <w:r>
        <w:rPr>
          <w:rFonts w:hint="eastAsia" w:ascii="仿宋_GB2312" w:eastAsia="仿宋_GB2312" w:cs="Times New Roman" w:hAnsiTheme="minorEastAsia"/>
          <w:sz w:val="32"/>
          <w:szCs w:val="32"/>
          <w:u w:color="000000"/>
        </w:rPr>
        <w:t>决算支出为12551.41万元，其中：基本支出</w:t>
      </w:r>
      <w:r>
        <w:rPr>
          <w:rFonts w:ascii="仿宋_GB2312" w:eastAsia="仿宋_GB2312" w:cs="Times New Roman" w:hAnsiTheme="minorEastAsia"/>
          <w:sz w:val="32"/>
          <w:szCs w:val="32"/>
          <w:u w:color="000000"/>
        </w:rPr>
        <w:t>2372.66</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10186.35</w:t>
      </w:r>
      <w:r>
        <w:rPr>
          <w:rFonts w:hint="eastAsia" w:ascii="仿宋_GB2312" w:eastAsia="仿宋_GB2312" w:cs="Times New Roman" w:hAnsiTheme="minorEastAsia"/>
          <w:sz w:val="32"/>
          <w:szCs w:val="32"/>
          <w:u w:color="000000"/>
        </w:rPr>
        <w:t>万元。决算支出按功能分类包含：</w:t>
      </w:r>
      <w:r>
        <w:rPr>
          <w:rFonts w:hint="eastAsia" w:ascii="仿宋_GB2312" w:eastAsia="仿宋_GB2312" w:cs="DengXian-Regular"/>
          <w:sz w:val="32"/>
          <w:szCs w:val="32"/>
        </w:rPr>
        <w:t>社会保障和就业支出</w:t>
      </w:r>
      <w:r>
        <w:rPr>
          <w:rFonts w:ascii="仿宋_GB2312" w:eastAsia="仿宋_GB2312" w:cs="DengXian-Regular"/>
          <w:sz w:val="32"/>
          <w:szCs w:val="32"/>
        </w:rPr>
        <w:t>190.84</w:t>
      </w:r>
      <w:r>
        <w:rPr>
          <w:rFonts w:hint="eastAsia" w:ascii="仿宋_GB2312" w:eastAsia="仿宋_GB2312" w:cs="DengXian-Regular"/>
          <w:sz w:val="32"/>
          <w:szCs w:val="32"/>
        </w:rPr>
        <w:t>万元，占比</w:t>
      </w:r>
      <w:r>
        <w:rPr>
          <w:rFonts w:ascii="仿宋_GB2312" w:eastAsia="仿宋_GB2312" w:cs="DengXian-Regular"/>
          <w:sz w:val="32"/>
          <w:szCs w:val="32"/>
        </w:rPr>
        <w:t>1.52</w:t>
      </w:r>
      <w:r>
        <w:rPr>
          <w:rFonts w:hint="eastAsia" w:ascii="仿宋_GB2312" w:eastAsia="仿宋_GB2312" w:cs="DengXian-Regular"/>
          <w:sz w:val="32"/>
          <w:szCs w:val="32"/>
        </w:rPr>
        <w:t>%；卫生健康支出7</w:t>
      </w:r>
      <w:r>
        <w:rPr>
          <w:rFonts w:ascii="仿宋_GB2312" w:eastAsia="仿宋_GB2312" w:cs="DengXian-Regular"/>
          <w:sz w:val="32"/>
          <w:szCs w:val="32"/>
        </w:rPr>
        <w:t>9.10</w:t>
      </w:r>
      <w:r>
        <w:rPr>
          <w:rFonts w:hint="eastAsia" w:ascii="仿宋_GB2312" w:eastAsia="仿宋_GB2312" w:cs="DengXian-Regular"/>
          <w:sz w:val="32"/>
          <w:szCs w:val="32"/>
        </w:rPr>
        <w:t>万元，占比0</w:t>
      </w:r>
      <w:r>
        <w:rPr>
          <w:rFonts w:ascii="仿宋_GB2312" w:eastAsia="仿宋_GB2312" w:cs="DengXian-Regular"/>
          <w:sz w:val="32"/>
          <w:szCs w:val="32"/>
        </w:rPr>
        <w:t>.63</w:t>
      </w:r>
      <w:r>
        <w:rPr>
          <w:rFonts w:hint="eastAsia" w:ascii="仿宋_GB2312" w:eastAsia="仿宋_GB2312" w:cs="DengXian-Regular"/>
          <w:sz w:val="32"/>
          <w:szCs w:val="32"/>
        </w:rPr>
        <w:t>%；城乡社区支出</w:t>
      </w:r>
      <w:r>
        <w:rPr>
          <w:rFonts w:ascii="仿宋_GB2312" w:eastAsia="仿宋_GB2312" w:cs="DengXian-Regular"/>
          <w:sz w:val="32"/>
          <w:szCs w:val="32"/>
        </w:rPr>
        <w:t>1146.92</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9.14</w:t>
      </w:r>
      <w:r>
        <w:rPr>
          <w:rFonts w:hint="eastAsia" w:ascii="仿宋_GB2312" w:eastAsia="仿宋_GB2312" w:cs="DengXian-Regular"/>
          <w:sz w:val="32"/>
          <w:szCs w:val="32"/>
        </w:rPr>
        <w:t>%；节能环保支出200.00万元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1.59</w:t>
      </w:r>
      <w:r>
        <w:rPr>
          <w:rFonts w:hint="eastAsia" w:ascii="仿宋_GB2312" w:eastAsia="仿宋_GB2312" w:cs="DengXian-Regular"/>
          <w:sz w:val="32"/>
          <w:szCs w:val="32"/>
        </w:rPr>
        <w:t>%；农林水支出165.00万元，占比</w:t>
      </w:r>
      <w:r>
        <w:rPr>
          <w:rFonts w:ascii="仿宋_GB2312" w:eastAsia="仿宋_GB2312" w:cs="DengXian-Regular"/>
          <w:sz w:val="32"/>
          <w:szCs w:val="32"/>
        </w:rPr>
        <w:t>1.31</w:t>
      </w:r>
      <w:r>
        <w:rPr>
          <w:rFonts w:hint="eastAsia" w:ascii="仿宋_GB2312" w:eastAsia="仿宋_GB2312" w:cs="DengXian-Regular"/>
          <w:sz w:val="32"/>
          <w:szCs w:val="32"/>
        </w:rPr>
        <w:t>%；住房保障支出10</w:t>
      </w:r>
      <w:r>
        <w:rPr>
          <w:rFonts w:ascii="仿宋_GB2312" w:eastAsia="仿宋_GB2312" w:cs="DengXian-Regular"/>
          <w:sz w:val="32"/>
          <w:szCs w:val="32"/>
        </w:rPr>
        <w:t>6</w:t>
      </w:r>
      <w:r>
        <w:rPr>
          <w:rFonts w:hint="eastAsia" w:ascii="仿宋_GB2312" w:eastAsia="仿宋_GB2312" w:cs="DengXian-Regular"/>
          <w:sz w:val="32"/>
          <w:szCs w:val="32"/>
        </w:rPr>
        <w:t>.</w:t>
      </w:r>
      <w:r>
        <w:rPr>
          <w:rFonts w:ascii="仿宋_GB2312" w:eastAsia="仿宋_GB2312" w:cs="DengXian-Regular"/>
          <w:sz w:val="32"/>
          <w:szCs w:val="32"/>
        </w:rPr>
        <w:t>8</w:t>
      </w:r>
      <w:r>
        <w:rPr>
          <w:rFonts w:hint="eastAsia" w:ascii="仿宋_GB2312" w:eastAsia="仿宋_GB2312" w:cs="DengXian-Regular"/>
          <w:sz w:val="32"/>
          <w:szCs w:val="32"/>
        </w:rPr>
        <w:t>2万元，占比0</w:t>
      </w:r>
      <w:r>
        <w:rPr>
          <w:rFonts w:ascii="仿宋_GB2312" w:eastAsia="仿宋_GB2312" w:cs="DengXian-Regular"/>
          <w:sz w:val="32"/>
          <w:szCs w:val="32"/>
        </w:rPr>
        <w:t>.85</w:t>
      </w:r>
      <w:r>
        <w:rPr>
          <w:rFonts w:hint="eastAsia" w:ascii="仿宋_GB2312" w:eastAsia="仿宋_GB2312" w:cs="DengXian-Regular"/>
          <w:sz w:val="32"/>
          <w:szCs w:val="32"/>
        </w:rPr>
        <w:t>%；交通运输支出</w:t>
      </w:r>
      <w:r>
        <w:rPr>
          <w:rFonts w:ascii="仿宋_GB2312" w:eastAsia="仿宋_GB2312" w:cs="DengXian-Regular"/>
          <w:sz w:val="32"/>
          <w:szCs w:val="32"/>
        </w:rPr>
        <w:t>6662.74</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53.09</w:t>
      </w:r>
      <w:r>
        <w:rPr>
          <w:rFonts w:hint="eastAsia" w:ascii="仿宋_GB2312" w:eastAsia="仿宋_GB2312" w:cs="DengXian-Regular"/>
          <w:sz w:val="32"/>
          <w:szCs w:val="32"/>
        </w:rPr>
        <w:t>%；</w:t>
      </w:r>
      <w:r>
        <w:rPr>
          <w:rFonts w:ascii="仿宋_GB2312" w:eastAsia="仿宋_GB2312" w:cs="DengXian-Regular"/>
          <w:sz w:val="32"/>
          <w:szCs w:val="32"/>
        </w:rPr>
        <w:t>其他支出</w:t>
      </w:r>
      <w:r>
        <w:rPr>
          <w:rFonts w:hint="eastAsia" w:ascii="仿宋_GB2312" w:eastAsia="仿宋_GB2312" w:cs="DengXian-Regular"/>
          <w:sz w:val="32"/>
          <w:szCs w:val="32"/>
        </w:rPr>
        <w:t>4000万元，占比</w:t>
      </w:r>
      <w:r>
        <w:rPr>
          <w:rFonts w:ascii="仿宋_GB2312" w:eastAsia="仿宋_GB2312" w:cs="DengXian-Regular"/>
          <w:sz w:val="32"/>
          <w:szCs w:val="32"/>
        </w:rPr>
        <w:t>31.87</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政拨款决算支出比年初预算增加5635.59万元。决算支出完成年初预算的181.49%。</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主要原因为人员普调增资、经费增加及工程项目新增进度追加</w:t>
      </w:r>
      <w:r>
        <w:rPr>
          <w:rFonts w:ascii="仿宋_GB2312" w:eastAsia="仿宋_GB2312" w:cs="DengXian-Regular"/>
          <w:sz w:val="32"/>
          <w:szCs w:val="32"/>
        </w:rPr>
        <w:t>预算</w:t>
      </w:r>
      <w:r>
        <w:rPr>
          <w:rFonts w:hint="eastAsia" w:ascii="仿宋_GB2312" w:eastAsia="仿宋_GB2312" w:cs="DengXian-Regular"/>
          <w:sz w:val="32"/>
          <w:szCs w:val="32"/>
        </w:rPr>
        <w:t>支出增加。</w:t>
      </w:r>
    </w:p>
    <w:p>
      <w:pPr>
        <w:spacing w:after="0" w:line="360" w:lineRule="auto"/>
        <w:ind w:firstLine="640" w:firstLineChars="200"/>
        <w:jc w:val="both"/>
        <w:rPr>
          <w:rFonts w:ascii="仿宋_GB2312" w:eastAsia="仿宋_GB2312" w:cs="DengXian-Regular"/>
          <w:color w:val="FF0000"/>
          <w:sz w:val="32"/>
          <w:szCs w:val="32"/>
        </w:rPr>
      </w:pPr>
      <w:r>
        <w:rPr>
          <w:rFonts w:hint="eastAsia" w:ascii="仿宋_GB2312" w:eastAsia="仿宋_GB2312" w:cs="DengXian-Regular"/>
          <w:sz w:val="32"/>
          <w:szCs w:val="32"/>
        </w:rPr>
        <w:t>保定市徐水区交通运输局202</w:t>
      </w:r>
      <w:r>
        <w:rPr>
          <w:rFonts w:ascii="仿宋_GB2312" w:eastAsia="仿宋_GB2312" w:cs="DengXian-Regular"/>
          <w:sz w:val="32"/>
          <w:szCs w:val="32"/>
        </w:rPr>
        <w:t>2</w:t>
      </w:r>
      <w:r>
        <w:rPr>
          <w:rFonts w:hint="eastAsia" w:ascii="仿宋_GB2312" w:eastAsia="仿宋_GB2312" w:cs="DengXian-Regular"/>
          <w:sz w:val="32"/>
          <w:szCs w:val="32"/>
        </w:rPr>
        <w:t>年实际项目支出10</w:t>
      </w:r>
      <w:r>
        <w:rPr>
          <w:rFonts w:ascii="仿宋_GB2312" w:eastAsia="仿宋_GB2312" w:cs="DengXian-Regular"/>
          <w:sz w:val="32"/>
          <w:szCs w:val="32"/>
        </w:rPr>
        <w:t>186.35</w:t>
      </w:r>
      <w:r>
        <w:rPr>
          <w:rFonts w:hint="eastAsia" w:ascii="仿宋_GB2312" w:eastAsia="仿宋_GB2312" w:cs="DengXian-Regular"/>
          <w:sz w:val="32"/>
          <w:szCs w:val="32"/>
        </w:rPr>
        <w:t>万元，决算报表中项目支出10</w:t>
      </w:r>
      <w:r>
        <w:rPr>
          <w:rFonts w:ascii="仿宋_GB2312" w:eastAsia="仿宋_GB2312" w:cs="DengXian-Regular"/>
          <w:sz w:val="32"/>
          <w:szCs w:val="32"/>
        </w:rPr>
        <w:t>186.35</w:t>
      </w:r>
      <w:r>
        <w:rPr>
          <w:rFonts w:hint="eastAsia" w:ascii="仿宋_GB2312" w:eastAsia="仿宋_GB2312" w:cs="DengXian-Regular"/>
          <w:sz w:val="32"/>
          <w:szCs w:val="32"/>
        </w:rPr>
        <w:t>万元，实际支出与决算报表差0万元</w:t>
      </w:r>
      <w:r>
        <w:rPr>
          <w:rFonts w:hint="eastAsia" w:ascii="仿宋_GB2312" w:eastAsia="仿宋_GB2312" w:cs="DengXian-Regular"/>
          <w:color w:val="FF0000"/>
          <w:sz w:val="32"/>
          <w:szCs w:val="32"/>
        </w:rPr>
        <w:t>。</w:t>
      </w:r>
    </w:p>
    <w:p>
      <w:pPr>
        <w:pStyle w:val="4"/>
        <w:spacing w:before="0" w:after="0"/>
        <w:ind w:firstLine="643" w:firstLineChars="200"/>
        <w:jc w:val="both"/>
        <w:rPr>
          <w:rFonts w:ascii="仿宋_GB2312" w:hAnsi="Tahoma" w:cs="DengXian-Regular"/>
          <w:sz w:val="32"/>
        </w:rPr>
      </w:pPr>
      <w:bookmarkStart w:id="13" w:name="_Toc19291"/>
      <w:bookmarkStart w:id="14" w:name="_Toc465149503"/>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2022年保定市徐水区交通运输局“三公”经费预算22.16万元（公务用车运行维护费21.87万元，公务接待费0.29万元），实际支出</w:t>
      </w:r>
      <w:r>
        <w:rPr>
          <w:rFonts w:ascii="仿宋_GB2312" w:eastAsia="仿宋_GB2312" w:cs="DengXian-Regular"/>
          <w:sz w:val="32"/>
          <w:szCs w:val="32"/>
        </w:rPr>
        <w:t>30.63</w:t>
      </w:r>
      <w:r>
        <w:rPr>
          <w:rFonts w:hint="eastAsia" w:ascii="仿宋_GB2312" w:eastAsia="仿宋_GB2312" w:cs="DengXian-Regular"/>
          <w:sz w:val="32"/>
          <w:szCs w:val="32"/>
        </w:rPr>
        <w:t>万元（公务用车运行维护费</w:t>
      </w:r>
      <w:r>
        <w:rPr>
          <w:rFonts w:ascii="仿宋_GB2312" w:eastAsia="仿宋_GB2312" w:cs="DengXian-Regular"/>
          <w:sz w:val="32"/>
          <w:szCs w:val="32"/>
        </w:rPr>
        <w:t>30.63</w:t>
      </w:r>
      <w:r>
        <w:rPr>
          <w:rFonts w:hint="eastAsia" w:ascii="仿宋_GB2312" w:eastAsia="仿宋_GB2312" w:cs="DengXian-Regular"/>
          <w:sz w:val="32"/>
          <w:szCs w:val="32"/>
        </w:rPr>
        <w:t>万元，公务接待费</w:t>
      </w:r>
      <w:r>
        <w:rPr>
          <w:rFonts w:ascii="仿宋_GB2312" w:eastAsia="仿宋_GB2312" w:cs="DengXian-Regular"/>
          <w:sz w:val="32"/>
          <w:szCs w:val="32"/>
        </w:rPr>
        <w:t>0</w:t>
      </w:r>
      <w:r>
        <w:rPr>
          <w:rFonts w:hint="eastAsia" w:ascii="仿宋_GB2312" w:eastAsia="仿宋_GB2312" w:cs="DengXian-Regular"/>
          <w:sz w:val="32"/>
          <w:szCs w:val="32"/>
        </w:rPr>
        <w:t>万元），比预算增加</w:t>
      </w:r>
      <w:r>
        <w:rPr>
          <w:rFonts w:ascii="仿宋_GB2312" w:eastAsia="仿宋_GB2312" w:cs="DengXian-Regular"/>
          <w:sz w:val="32"/>
          <w:szCs w:val="32"/>
        </w:rPr>
        <w:t>8.4</w:t>
      </w:r>
      <w:r>
        <w:rPr>
          <w:rFonts w:hint="eastAsia" w:ascii="仿宋_GB2312" w:eastAsia="仿宋_GB2312" w:cs="DengXian-Regular"/>
          <w:sz w:val="32"/>
          <w:szCs w:val="32"/>
        </w:rPr>
        <w:t>7万元，节约率</w:t>
      </w:r>
      <w:r>
        <w:rPr>
          <w:rFonts w:ascii="仿宋_GB2312" w:eastAsia="仿宋_GB2312" w:cs="DengXian-Regular"/>
          <w:sz w:val="32"/>
          <w:szCs w:val="32"/>
        </w:rPr>
        <w:t>-38.22</w:t>
      </w:r>
      <w:r>
        <w:rPr>
          <w:rFonts w:hint="eastAsia" w:ascii="仿宋_GB2312" w:eastAsia="仿宋_GB2312" w:cs="DengXian-Regular"/>
          <w:sz w:val="32"/>
          <w:szCs w:val="32"/>
        </w:rPr>
        <w:t>%。2022年“三公”经费预算数与</w:t>
      </w:r>
      <w:r>
        <w:rPr>
          <w:rFonts w:ascii="仿宋_GB2312" w:eastAsia="仿宋_GB2312" w:cs="DengXian-Regular"/>
          <w:sz w:val="32"/>
          <w:szCs w:val="32"/>
        </w:rPr>
        <w:t>202</w:t>
      </w:r>
      <w:r>
        <w:rPr>
          <w:rFonts w:hint="eastAsia" w:ascii="仿宋_GB2312" w:eastAsia="仿宋_GB2312" w:cs="DengXian-Regular"/>
          <w:sz w:val="32"/>
          <w:szCs w:val="32"/>
        </w:rPr>
        <w:t>1年预算数相比增加</w:t>
      </w:r>
      <w:r>
        <w:rPr>
          <w:rFonts w:ascii="仿宋_GB2312" w:eastAsia="仿宋_GB2312" w:cs="DengXian-Regular"/>
          <w:sz w:val="32"/>
          <w:szCs w:val="32"/>
        </w:rPr>
        <w:t>8.4</w:t>
      </w:r>
      <w:r>
        <w:rPr>
          <w:rFonts w:hint="eastAsia" w:ascii="仿宋_GB2312" w:eastAsia="仿宋_GB2312" w:cs="DengXian-Regular"/>
          <w:sz w:val="32"/>
          <w:szCs w:val="32"/>
        </w:rPr>
        <w:t>7万元，决算数与</w:t>
      </w:r>
      <w:r>
        <w:rPr>
          <w:rFonts w:ascii="仿宋_GB2312" w:eastAsia="仿宋_GB2312" w:cs="DengXian-Regular"/>
          <w:sz w:val="32"/>
          <w:szCs w:val="32"/>
        </w:rPr>
        <w:t>202</w:t>
      </w:r>
      <w:r>
        <w:rPr>
          <w:rFonts w:hint="eastAsia" w:ascii="仿宋_GB2312" w:eastAsia="仿宋_GB2312" w:cs="DengXian-Regular"/>
          <w:sz w:val="32"/>
          <w:szCs w:val="32"/>
        </w:rPr>
        <w:t>1年实际支出相比，增加</w:t>
      </w:r>
      <w:r>
        <w:rPr>
          <w:rFonts w:ascii="仿宋_GB2312" w:eastAsia="仿宋_GB2312" w:cs="DengXian-Regular"/>
          <w:sz w:val="32"/>
          <w:szCs w:val="32"/>
        </w:rPr>
        <w:t>13.57</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保定市徐水区交通运输局</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4"/>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27</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16.64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21.87</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30.63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减少5.13万元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增加</w:t>
            </w:r>
            <w:r>
              <w:rPr>
                <w:rFonts w:asciiTheme="minorEastAsia" w:hAnsiTheme="minorEastAsia" w:eastAsiaTheme="minorEastAsia" w:cstheme="minorEastAsia"/>
                <w:color w:val="000000"/>
                <w:sz w:val="21"/>
                <w:szCs w:val="21"/>
              </w:rPr>
              <w:t>13.99</w:t>
            </w:r>
            <w:r>
              <w:rPr>
                <w:rFonts w:hint="eastAsia" w:asciiTheme="minorEastAsia" w:hAnsiTheme="minorEastAsia" w:eastAsiaTheme="minorEastAsia" w:cstheme="minorEastAsia"/>
                <w:color w:val="000000"/>
                <w:sz w:val="21"/>
                <w:szCs w:val="21"/>
              </w:rPr>
              <w:t>万元</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0.7</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0.29</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减少0.41万元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减少0.4万元</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27.7</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17.0</w:t>
            </w:r>
            <w:r>
              <w:rPr>
                <w:rFonts w:asciiTheme="minorEastAsia" w:hAnsiTheme="minorEastAsia" w:eastAsiaTheme="minorEastAsia" w:cstheme="minorEastAsia"/>
                <w:color w:val="000000"/>
                <w:sz w:val="21"/>
                <w:szCs w:val="21"/>
              </w:rPr>
              <w:t>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22.16</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30.63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减少5.54万元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增加13.59万元</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1、公务用车：2022年底保定市徐水区交通运输局车辆合计15辆，其中执法执勤用车</w:t>
      </w:r>
      <w:r>
        <w:rPr>
          <w:rFonts w:ascii="仿宋_GB2312" w:eastAsia="仿宋_GB2312" w:cs="DengXian-Regular"/>
          <w:sz w:val="32"/>
          <w:szCs w:val="32"/>
        </w:rPr>
        <w:t>8</w:t>
      </w:r>
      <w:r>
        <w:rPr>
          <w:rFonts w:hint="eastAsia" w:ascii="仿宋_GB2312" w:eastAsia="仿宋_GB2312" w:cs="DengXian-Regular"/>
          <w:sz w:val="32"/>
          <w:szCs w:val="32"/>
        </w:rPr>
        <w:t>辆，应急保障用车1辆</w:t>
      </w:r>
      <w:r>
        <w:rPr>
          <w:rFonts w:ascii="仿宋_GB2312" w:eastAsia="仿宋_GB2312" w:cs="DengXian-Regular"/>
          <w:sz w:val="32"/>
          <w:szCs w:val="32"/>
        </w:rPr>
        <w:t>，</w:t>
      </w:r>
      <w:r>
        <w:rPr>
          <w:rFonts w:hint="eastAsia" w:ascii="仿宋_GB2312" w:eastAsia="仿宋_GB2312" w:cs="DengXian-Regular"/>
          <w:sz w:val="32"/>
          <w:szCs w:val="32"/>
        </w:rPr>
        <w:t>其他用车6辆。202</w:t>
      </w:r>
      <w:r>
        <w:rPr>
          <w:rFonts w:ascii="仿宋_GB2312" w:eastAsia="仿宋_GB2312" w:cs="DengXian-Regular"/>
          <w:sz w:val="32"/>
          <w:szCs w:val="32"/>
        </w:rPr>
        <w:t>2</w:t>
      </w:r>
      <w:r>
        <w:rPr>
          <w:rFonts w:hint="eastAsia" w:ascii="仿宋_GB2312" w:eastAsia="仿宋_GB2312" w:cs="DengXian-Regular"/>
          <w:sz w:val="32"/>
          <w:szCs w:val="32"/>
        </w:rPr>
        <w:t>年公务用车购置及运维费年初预算21.87万元，全部为公务用车运行维护费，实际支出</w:t>
      </w:r>
      <w:r>
        <w:rPr>
          <w:rFonts w:ascii="仿宋_GB2312" w:eastAsia="仿宋_GB2312" w:cs="DengXian-Regular"/>
          <w:sz w:val="32"/>
          <w:szCs w:val="32"/>
        </w:rPr>
        <w:t>30.63</w:t>
      </w:r>
      <w:r>
        <w:rPr>
          <w:rFonts w:hint="eastAsia" w:ascii="仿宋_GB2312" w:eastAsia="仿宋_GB2312" w:cs="DengXian-Regular"/>
          <w:sz w:val="32"/>
          <w:szCs w:val="32"/>
        </w:rPr>
        <w:t>万元，比预算增加13.</w:t>
      </w:r>
      <w:r>
        <w:rPr>
          <w:rFonts w:ascii="仿宋_GB2312" w:eastAsia="仿宋_GB2312" w:cs="DengXian-Regular"/>
          <w:sz w:val="32"/>
          <w:szCs w:val="32"/>
        </w:rPr>
        <w:t>9</w:t>
      </w:r>
      <w:r>
        <w:rPr>
          <w:rFonts w:hint="eastAsia" w:ascii="仿宋_GB2312" w:eastAsia="仿宋_GB2312" w:cs="DengXian-Regular"/>
          <w:sz w:val="32"/>
          <w:szCs w:val="32"/>
        </w:rPr>
        <w:t>9万元，节约率</w:t>
      </w:r>
      <w:r>
        <w:rPr>
          <w:rFonts w:ascii="仿宋_GB2312" w:eastAsia="仿宋_GB2312" w:cs="DengXian-Regular"/>
          <w:sz w:val="32"/>
          <w:szCs w:val="32"/>
        </w:rPr>
        <w:t>-62.14</w:t>
      </w: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年预算数与</w:t>
      </w:r>
      <w:r>
        <w:rPr>
          <w:rFonts w:ascii="仿宋_GB2312" w:eastAsia="仿宋_GB2312" w:cs="DengXian-Regular"/>
          <w:sz w:val="32"/>
          <w:szCs w:val="32"/>
        </w:rPr>
        <w:t>2021</w:t>
      </w:r>
      <w:r>
        <w:rPr>
          <w:rFonts w:hint="eastAsia" w:ascii="仿宋_GB2312" w:eastAsia="仿宋_GB2312" w:cs="DengXian-Regular"/>
          <w:sz w:val="32"/>
          <w:szCs w:val="32"/>
        </w:rPr>
        <w:t>年预算相比减少5.13万元，决算数与</w:t>
      </w:r>
      <w:r>
        <w:rPr>
          <w:rFonts w:ascii="仿宋_GB2312" w:eastAsia="仿宋_GB2312" w:cs="DengXian-Regular"/>
          <w:sz w:val="32"/>
          <w:szCs w:val="32"/>
        </w:rPr>
        <w:t>2021</w:t>
      </w:r>
      <w:r>
        <w:rPr>
          <w:rFonts w:hint="eastAsia" w:ascii="仿宋_GB2312" w:eastAsia="仿宋_GB2312" w:cs="DengXian-Regular"/>
          <w:sz w:val="32"/>
          <w:szCs w:val="32"/>
        </w:rPr>
        <w:t>年实际支出相比，增加</w:t>
      </w:r>
      <w:r>
        <w:rPr>
          <w:rFonts w:ascii="仿宋_GB2312" w:eastAsia="仿宋_GB2312" w:cs="DengXian-Regular"/>
          <w:sz w:val="32"/>
          <w:szCs w:val="32"/>
        </w:rPr>
        <w:t>13</w:t>
      </w:r>
      <w:r>
        <w:rPr>
          <w:rFonts w:hint="eastAsia" w:ascii="仿宋_GB2312" w:eastAsia="仿宋_GB2312" w:cs="DengXian-Regular"/>
          <w:sz w:val="32"/>
          <w:szCs w:val="32"/>
        </w:rPr>
        <w:t>.9</w:t>
      </w:r>
      <w:r>
        <w:rPr>
          <w:rFonts w:ascii="仿宋_GB2312" w:eastAsia="仿宋_GB2312" w:cs="DengXian-Regular"/>
          <w:sz w:val="32"/>
          <w:szCs w:val="32"/>
        </w:rPr>
        <w:t>9</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2、公务接待：2022年保定市徐水区交通运输局公务接待费年初预算0.29万元，实际支出0万元，比预算减少了0.29万元，节约率100%。2022年预算数与</w:t>
      </w:r>
      <w:r>
        <w:rPr>
          <w:rFonts w:ascii="仿宋_GB2312" w:eastAsia="仿宋_GB2312" w:cs="DengXian-Regular"/>
          <w:sz w:val="32"/>
          <w:szCs w:val="32"/>
        </w:rPr>
        <w:t>202</w:t>
      </w:r>
      <w:r>
        <w:rPr>
          <w:rFonts w:hint="eastAsia" w:ascii="仿宋_GB2312" w:eastAsia="仿宋_GB2312" w:cs="DengXian-Regular"/>
          <w:sz w:val="32"/>
          <w:szCs w:val="32"/>
        </w:rPr>
        <w:t>1年预算相比减少0.41万元，决算数与</w:t>
      </w:r>
      <w:r>
        <w:rPr>
          <w:rFonts w:ascii="仿宋_GB2312" w:eastAsia="仿宋_GB2312" w:cs="DengXian-Regular"/>
          <w:sz w:val="32"/>
          <w:szCs w:val="32"/>
        </w:rPr>
        <w:t>202</w:t>
      </w:r>
      <w:r>
        <w:rPr>
          <w:rFonts w:hint="eastAsia" w:ascii="仿宋_GB2312" w:eastAsia="仿宋_GB2312" w:cs="DengXian-Regular"/>
          <w:sz w:val="32"/>
          <w:szCs w:val="32"/>
        </w:rPr>
        <w:t>1年实际支出相比，减少0.4万元。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根据绩效预算管理改革的有关政策和文件规定，并与绩效评价工作组沟通，绩效评价工作组以绩效预算架构为指导，以部门预算文本及相关资料为基础，制定了部门整体支出绩效评价指标体系。具体详见附件3。</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保定市徐水区交通运输局2022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保定市徐水区交通运输局2022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经与保定市徐水区交通运输局各职能股站室充分沟通，并充分收集相关资料，主要包括部门职责、工作活动、预决算文本、相关管理制度、资金使用等相关资料，为制定绩效评价实施方案和指标体系奠定了基础。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基于对保定市徐水区交通运输局相关资料的收集，制定绩效评价实施方案和体系,确定最终方案。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保定市徐水区交通运输局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保定市徐水区交通运输局部门整体支出绩效评价总得分为9</w:t>
      </w:r>
      <w:r>
        <w:rPr>
          <w:rFonts w:ascii="仿宋_GB2312" w:eastAsia="仿宋_GB2312" w:cs="DengXian-Regular"/>
          <w:sz w:val="32"/>
          <w:szCs w:val="32"/>
        </w:rPr>
        <w:t>3</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4"/>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交通运输局职能配置内设机构和人员编制规定》和徐水区交通运输局2022年预算文本—部门职责工作活动绩效目标，评价工作组认为保定市徐水区交通运输局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交通运输局2022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根据保定市徐水区交通运输局2022年预算文本—部门职责工作活动绩效目标,该指标实际得分1分。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根据保定市徐水区交通运输局2022年预算文本及相关会计资料，保定市徐水区交通运输局所有收入均已纳入部门预算，部门支出按基本支出、项目支出分别编制。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根据保定市徐水区交通运输局2022年预算文本—部门项目支出预算表，保定市徐水区交通运输局2022年预算项目共</w:t>
      </w:r>
      <w:r>
        <w:rPr>
          <w:rFonts w:ascii="仿宋_GB2312" w:eastAsia="仿宋_GB2312" w:cs="DengXian-Regular"/>
          <w:sz w:val="32"/>
          <w:szCs w:val="32"/>
        </w:rPr>
        <w:t>3</w:t>
      </w:r>
      <w:r>
        <w:rPr>
          <w:rFonts w:hint="eastAsia" w:ascii="仿宋_GB2312" w:eastAsia="仿宋_GB2312" w:cs="DengXian-Regular"/>
          <w:sz w:val="32"/>
          <w:szCs w:val="32"/>
        </w:rPr>
        <w:t>个（详见附件2-2-2），涉及资金</w:t>
      </w:r>
      <w:r>
        <w:rPr>
          <w:rFonts w:ascii="仿宋_GB2312" w:eastAsia="仿宋_GB2312" w:cs="DengXian-Regular"/>
          <w:sz w:val="32"/>
          <w:szCs w:val="32"/>
        </w:rPr>
        <w:t>4401.50</w:t>
      </w:r>
      <w:r>
        <w:rPr>
          <w:rFonts w:hint="eastAsia" w:ascii="仿宋_GB2312" w:eastAsia="仿宋_GB2312" w:cs="DengXian-Regular"/>
          <w:sz w:val="32"/>
          <w:szCs w:val="32"/>
        </w:rPr>
        <w:t>万元，所有项目均细化到具体用款单位及项目资金额度。项目预算细化率=（</w:t>
      </w:r>
      <w:r>
        <w:rPr>
          <w:rFonts w:ascii="仿宋_GB2312" w:eastAsia="仿宋_GB2312" w:cs="DengXian-Regular"/>
          <w:sz w:val="32"/>
          <w:szCs w:val="32"/>
        </w:rPr>
        <w:t>4401.50</w:t>
      </w:r>
      <w:r>
        <w:rPr>
          <w:rFonts w:hint="eastAsia" w:ascii="仿宋_GB2312" w:eastAsia="仿宋_GB2312" w:cs="DengXian-Regular"/>
          <w:sz w:val="32"/>
          <w:szCs w:val="32"/>
        </w:rPr>
        <w:t>/</w:t>
      </w:r>
      <w:r>
        <w:rPr>
          <w:rFonts w:ascii="仿宋_GB2312" w:eastAsia="仿宋_GB2312" w:cs="DengXian-Regular"/>
          <w:sz w:val="32"/>
          <w:szCs w:val="32"/>
        </w:rPr>
        <w:t>4401.50</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该指标主要考核截至2022年底保定市徐水区交通运输局在职人员控制情况，通过在职人员控制率衡量。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交通运输局职能配置内设机构和人员编制规定》的通知，保定市徐水区交通运输局人员编制为79人，根据保定市徐水区交通运输局2022年决算文本-部门基本情况表，截至2022年底，在职人员139人，在职人员控制率=（1</w:t>
      </w:r>
      <w:r>
        <w:rPr>
          <w:rFonts w:ascii="仿宋_GB2312" w:eastAsia="仿宋_GB2312" w:cs="DengXian-Regular"/>
          <w:sz w:val="32"/>
          <w:szCs w:val="32"/>
        </w:rPr>
        <w:t>39</w:t>
      </w:r>
      <w:r>
        <w:rPr>
          <w:rFonts w:hint="eastAsia" w:ascii="仿宋_GB2312" w:eastAsia="仿宋_GB2312" w:cs="DengXian-Regular"/>
          <w:sz w:val="32"/>
          <w:szCs w:val="32"/>
        </w:rPr>
        <w:t>/79）*100%=1</w:t>
      </w:r>
      <w:r>
        <w:rPr>
          <w:rFonts w:ascii="仿宋_GB2312" w:eastAsia="仿宋_GB2312" w:cs="DengXian-Regular"/>
          <w:sz w:val="32"/>
          <w:szCs w:val="32"/>
        </w:rPr>
        <w:t>75</w:t>
      </w:r>
      <w:r>
        <w:rPr>
          <w:rFonts w:hint="eastAsia" w:ascii="仿宋_GB2312" w:eastAsia="仿宋_GB2312" w:cs="DengXian-Regular"/>
          <w:sz w:val="32"/>
          <w:szCs w:val="32"/>
        </w:rPr>
        <w:t>.</w:t>
      </w:r>
      <w:r>
        <w:rPr>
          <w:rFonts w:ascii="仿宋_GB2312" w:eastAsia="仿宋_GB2312" w:cs="DengXian-Regular"/>
          <w:sz w:val="32"/>
          <w:szCs w:val="32"/>
        </w:rPr>
        <w:t>95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4</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保定市徐水区交通运输局202</w:t>
      </w:r>
      <w:r>
        <w:rPr>
          <w:rFonts w:ascii="仿宋_GB2312" w:eastAsia="仿宋_GB2312" w:cs="DengXian-Regular"/>
          <w:sz w:val="32"/>
          <w:szCs w:val="32"/>
        </w:rPr>
        <w:t>2</w:t>
      </w:r>
      <w:r>
        <w:rPr>
          <w:rFonts w:hint="eastAsia" w:ascii="仿宋_GB2312" w:eastAsia="仿宋_GB2312" w:cs="DengXian-Regular"/>
          <w:sz w:val="32"/>
          <w:szCs w:val="32"/>
        </w:rPr>
        <w:t>年度预算收入的追加数为</w:t>
      </w:r>
      <w:r>
        <w:rPr>
          <w:rFonts w:ascii="仿宋_GB2312" w:eastAsia="仿宋_GB2312" w:cs="DengXian-Regular"/>
          <w:sz w:val="32"/>
          <w:szCs w:val="32"/>
        </w:rPr>
        <w:t>4850.46</w:t>
      </w:r>
      <w:r>
        <w:rPr>
          <w:rFonts w:hint="eastAsia" w:ascii="仿宋_GB2312" w:eastAsia="仿宋_GB2312" w:cs="DengXian-Regular"/>
          <w:sz w:val="32"/>
          <w:szCs w:val="32"/>
        </w:rPr>
        <w:t>万元，年初预算数为</w:t>
      </w:r>
      <w:r>
        <w:rPr>
          <w:rFonts w:ascii="仿宋_GB2312" w:eastAsia="仿宋_GB2312" w:cs="DengXian-Regular"/>
          <w:sz w:val="32"/>
          <w:szCs w:val="32"/>
        </w:rPr>
        <w:t>2514.32</w:t>
      </w:r>
      <w:r>
        <w:rPr>
          <w:rFonts w:hint="eastAsia" w:ascii="仿宋_GB2312" w:eastAsia="仿宋_GB2312" w:cs="DengXian-Regular"/>
          <w:sz w:val="32"/>
          <w:szCs w:val="32"/>
        </w:rPr>
        <w:t>万元，预算收入调整率为</w:t>
      </w:r>
      <w:r>
        <w:rPr>
          <w:rFonts w:ascii="仿宋_GB2312" w:eastAsia="仿宋_GB2312" w:cs="DengXian-Regular"/>
          <w:sz w:val="32"/>
          <w:szCs w:val="32"/>
        </w:rPr>
        <w:t>192.91</w:t>
      </w:r>
      <w:r>
        <w:rPr>
          <w:rFonts w:hint="eastAsia" w:ascii="仿宋_GB2312" w:eastAsia="仿宋_GB2312" w:cs="DengXian-Regular"/>
          <w:sz w:val="32"/>
          <w:szCs w:val="32"/>
        </w:rPr>
        <w:t>%，预算调整增加了</w:t>
      </w:r>
      <w:r>
        <w:rPr>
          <w:rFonts w:ascii="仿宋_GB2312" w:eastAsia="仿宋_GB2312" w:cs="DengXian-Regular"/>
          <w:sz w:val="32"/>
          <w:szCs w:val="32"/>
        </w:rPr>
        <w:t>192.91</w:t>
      </w:r>
      <w:r>
        <w:rPr>
          <w:rFonts w:hint="eastAsia" w:ascii="仿宋_GB2312" w:eastAsia="仿宋_GB2312" w:cs="DengXian-Regular"/>
          <w:sz w:val="32"/>
          <w:szCs w:val="32"/>
        </w:rPr>
        <w:t>个百分点，扣</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根据保定市徐水区交通运输局2022年预算文本、决算文本，2022年收入预算数6915.82万元，收入决算数12533.91万元，收入完成率=（12533.9/6915.82）*100%=181.24%。</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保定市徐水区交通运输局2022年度预算支出的追加数合计</w:t>
      </w:r>
      <w:r>
        <w:rPr>
          <w:rFonts w:ascii="仿宋_GB2312" w:eastAsia="仿宋_GB2312" w:cs="DengXian-Regular"/>
          <w:sz w:val="32"/>
          <w:szCs w:val="32"/>
        </w:rPr>
        <w:t>5635.59</w:t>
      </w:r>
      <w:r>
        <w:rPr>
          <w:rFonts w:hint="eastAsia" w:ascii="仿宋_GB2312" w:eastAsia="仿宋_GB2312" w:cs="DengXian-Regular"/>
          <w:sz w:val="32"/>
          <w:szCs w:val="32"/>
        </w:rPr>
        <w:t>万元，年初预算数为691</w:t>
      </w:r>
      <w:r>
        <w:rPr>
          <w:rFonts w:ascii="仿宋_GB2312" w:eastAsia="仿宋_GB2312" w:cs="DengXian-Regular"/>
          <w:sz w:val="32"/>
          <w:szCs w:val="32"/>
        </w:rPr>
        <w:t>5.82</w:t>
      </w:r>
      <w:r>
        <w:rPr>
          <w:rFonts w:hint="eastAsia" w:ascii="仿宋_GB2312" w:eastAsia="仿宋_GB2312" w:cs="DengXian-Regular"/>
          <w:sz w:val="32"/>
          <w:szCs w:val="32"/>
        </w:rPr>
        <w:t>万元，预算支出调整率为</w:t>
      </w:r>
      <w:r>
        <w:rPr>
          <w:rFonts w:ascii="仿宋_GB2312" w:eastAsia="仿宋_GB2312" w:cs="DengXian-Regular"/>
          <w:sz w:val="32"/>
          <w:szCs w:val="32"/>
        </w:rPr>
        <w:t>81.49</w:t>
      </w:r>
      <w:r>
        <w:rPr>
          <w:rFonts w:hint="eastAsia" w:ascii="仿宋_GB2312" w:eastAsia="仿宋_GB2312" w:cs="DengXian-Regular"/>
          <w:sz w:val="32"/>
          <w:szCs w:val="32"/>
        </w:rPr>
        <w:t>%，预算调整增加了</w:t>
      </w:r>
      <w:r>
        <w:rPr>
          <w:rFonts w:ascii="仿宋_GB2312" w:eastAsia="仿宋_GB2312" w:cs="DengXian-Regular"/>
          <w:sz w:val="32"/>
          <w:szCs w:val="32"/>
        </w:rPr>
        <w:t>81.49</w:t>
      </w:r>
      <w:r>
        <w:rPr>
          <w:rFonts w:hint="eastAsia" w:ascii="仿宋_GB2312" w:eastAsia="仿宋_GB2312" w:cs="DengXian-Regular"/>
          <w:sz w:val="32"/>
          <w:szCs w:val="32"/>
        </w:rPr>
        <w:t>个百分点，扣1分。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保定市徐水区交通运输局提供的2022年决算文本，部门决算财政拨款支出数</w:t>
      </w:r>
      <w:r>
        <w:rPr>
          <w:rFonts w:ascii="仿宋_GB2312" w:eastAsia="仿宋_GB2312" w:cs="DengXian-Regular"/>
          <w:sz w:val="32"/>
          <w:szCs w:val="32"/>
        </w:rPr>
        <w:t>12511.70</w:t>
      </w:r>
      <w:r>
        <w:rPr>
          <w:rFonts w:hint="eastAsia" w:ascii="仿宋_GB2312" w:eastAsia="仿宋_GB2312" w:cs="DengXian-Regular"/>
          <w:sz w:val="32"/>
          <w:szCs w:val="32"/>
        </w:rPr>
        <w:t>万元，财政拨款收入数</w:t>
      </w:r>
      <w:r>
        <w:rPr>
          <w:rFonts w:ascii="仿宋_GB2312" w:eastAsia="仿宋_GB2312" w:cs="DengXian-Regular"/>
          <w:sz w:val="32"/>
          <w:szCs w:val="32"/>
        </w:rPr>
        <w:t>12511.70</w:t>
      </w:r>
      <w:r>
        <w:rPr>
          <w:rFonts w:hint="eastAsia" w:ascii="仿宋_GB2312" w:eastAsia="仿宋_GB2312" w:cs="DengXian-Regular"/>
          <w:sz w:val="32"/>
          <w:szCs w:val="32"/>
        </w:rPr>
        <w:t>万元，财政拨款支出率=（财政拨款支出数/财政拨款收入数）*100%=</w:t>
      </w:r>
      <w:r>
        <w:rPr>
          <w:rFonts w:ascii="仿宋_GB2312" w:eastAsia="仿宋_GB2312" w:cs="DengXian-Regular"/>
          <w:sz w:val="32"/>
          <w:szCs w:val="32"/>
        </w:rPr>
        <w:t>100.00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90%。保定市徐水区交通运输局2022年年初结转和结余616.17万元，故支决算出数大于收入数。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根据保定市徐水区交通运输局2022年预算文本及决算文本，“三公”经费年初预算数22.16万元，年末决算数</w:t>
      </w:r>
      <w:r>
        <w:rPr>
          <w:rFonts w:ascii="仿宋_GB2312" w:eastAsia="仿宋_GB2312" w:cs="DengXian-Regular"/>
          <w:sz w:val="32"/>
          <w:szCs w:val="32"/>
        </w:rPr>
        <w:t>30.63</w:t>
      </w:r>
      <w:r>
        <w:rPr>
          <w:rFonts w:hint="eastAsia" w:ascii="仿宋_GB2312" w:eastAsia="仿宋_GB2312" w:cs="DengXian-Regular"/>
          <w:sz w:val="32"/>
          <w:szCs w:val="32"/>
        </w:rPr>
        <w:t>万元，“三公”经费控制率=（年末决算数/年初预算数）*100%=</w:t>
      </w:r>
      <w:r>
        <w:rPr>
          <w:rFonts w:ascii="仿宋_GB2312" w:eastAsia="仿宋_GB2312" w:cs="DengXian-Regular"/>
          <w:sz w:val="32"/>
          <w:szCs w:val="32"/>
        </w:rPr>
        <w:t>138.22</w:t>
      </w:r>
      <w:r>
        <w:rPr>
          <w:rFonts w:hint="eastAsia" w:ascii="仿宋_GB2312" w:eastAsia="仿宋_GB2312" w:cs="DengXian-Regular"/>
          <w:sz w:val="32"/>
          <w:szCs w:val="32"/>
        </w:rPr>
        <w:t>%</w:t>
      </w:r>
      <w:r>
        <w:rPr>
          <w:rFonts w:hint="eastAsia" w:ascii="Arial" w:hAnsi="Arial" w:eastAsia="仿宋_GB2312" w:cs="Arial"/>
          <w:sz w:val="32"/>
          <w:szCs w:val="32"/>
        </w:rPr>
        <w:t>&gt;</w:t>
      </w:r>
      <w:r>
        <w:rPr>
          <w:rFonts w:hint="eastAsia" w:ascii="仿宋_GB2312" w:eastAsia="仿宋_GB2312" w:cs="DengXian-Regular"/>
          <w:sz w:val="32"/>
          <w:szCs w:val="32"/>
        </w:rPr>
        <w:t>100%,扣1分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根据保定市徐水区交通运输局2022年预算文本及决算文本，政府采购年初预算数0万元，年末决算数8994.66万元，政府采购执行率为100%。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交通运输局2022年明细账、会计凭证等相关资料，保定市徐水区交通运输局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经核查保定市徐水区交通运输局2022年决算文本、明细账及总账，保定市徐水区交通运输局决算文本数据均与明细账、总账一致。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工作制度涵盖了财务制度、网络安全制度、公务用车制度等相关制度，经检查保定市徐水区交通运输局付款流程审批单、资产盘点表等资料，保定市徐水区交通运输局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保定市徐水区交通运输局2022年按政府信息公开的有关要求在保定市徐水区人民政府网公开了2022年的预决算情况、部门责任清单、行政监督清单等相关信息。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根据保定市徐水区交通运输局提供的会计账簿、凭证及其他相关资料，保定市徐水区交通运输局会计信息资料真实完整，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保定市徐水区交通运输局建立了固定资产台账、无形资产台账，资产保存完整，2022年新增资产3.27万元，包含：电脑及计算机设备（3.27万元），资产购置手续完备，配置符合要求，资产管理整体较规范。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2022年度财政专项资金部门绩效自评价工作的通知》及保定市徐水区交通运输局2022年一般项目部门绩效自评表，保定市徐水区交通运输局2022年开展绩效自评的项目数为20个，年初预算文本项目数3个，要求自评项目个数20个，自评覆盖率为 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保定市徐水区交通运输局2022年参评数量20个，绩效评价结果达到优等的数量20个，绩效评价优等率为100%。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4"/>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根据保定市徐水区交通运输局2022年决算文本及相关资料，保定市徐水区交通运输局2022年结转结余资金616.17万元，决算收入12533.91万元，结转结余率4.92%，小于5%。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保定市徐水区交通运输局2022年实际支出项目资金总额10186.35万元，年初预算共3个项目，预算数4401.5万元，年中追加项目资金5784.85万元，项目资金使用率为100%。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 完成及时率（5分）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该指标主要评价项目资金利用时效，通过项目资金完成及时率来衡量。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保定市徐水区交通运输局各项目完成基本及时，其中农村公路养护项目由于政策调整等特殊原因未能实施</w:t>
      </w:r>
      <w:r>
        <w:rPr>
          <w:rFonts w:ascii="仿宋_GB2312" w:eastAsia="仿宋_GB2312" w:cs="DengXian-Regular"/>
          <w:sz w:val="32"/>
          <w:szCs w:val="32"/>
        </w:rPr>
        <w:t>或未能</w:t>
      </w:r>
      <w:r>
        <w:rPr>
          <w:rFonts w:hint="eastAsia" w:ascii="仿宋_GB2312" w:eastAsia="仿宋_GB2312" w:cs="DengXian-Regular"/>
          <w:sz w:val="32"/>
          <w:szCs w:val="32"/>
        </w:rPr>
        <w:t>全部实施。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该指标主要评价项目资金所达到的质量达标情况，通过质量达标率来衡量。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保定市徐水区交通运输局各项目完成后及时进行了竣工验收，质量合格率达100%。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5.重点工作办结率（5分）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该指标主要评价项目资金所完成的重点工作办结情况，通过重点工作办结率来衡量。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保定市徐水区交通运输局对政府安排的或本单位计划的重点工作均做到了及时开展，按要求完成进度。重点工作办结率达100%。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4"/>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92652784"/>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保定市徐水区交通运输局提供的相关资料，保定市徐水区交通运输局履行职责对社会发展所带来的社会效益较显著，有效的提高了社会公众对农村公路的保护和意识，减少了社会对农村公路破坏及侵犯路权的负面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4"/>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asciiTheme="minorEastAsia" w:hAnsiTheme="minorEastAsia" w:eastAsiaTheme="minorEastAsia"/>
                <w:sz w:val="18"/>
                <w:szCs w:val="18"/>
              </w:rPr>
              <w:t>对该部门工作现状的总体评价</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47</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3</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97.6</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asciiTheme="minorEastAsia" w:hAnsiTheme="minorEastAsia" w:eastAsiaTheme="minorEastAsia"/>
                <w:sz w:val="18"/>
                <w:szCs w:val="18"/>
              </w:rPr>
              <w:t>对公路在改善居民生产、生活及出行条件方面</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46</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3</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95.6</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asciiTheme="minorEastAsia" w:hAnsiTheme="minorEastAsia" w:eastAsiaTheme="minorEastAsia"/>
                <w:sz w:val="18"/>
                <w:szCs w:val="18"/>
              </w:rPr>
              <w:t>公路交通运输基础设施的建设质量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94.8</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经计算，总体得分为96分，小于(大于）90分，评价等级为“优”。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该指标实际得分5分。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保定市徐水区交通运输局</w:t>
      </w:r>
      <w:r>
        <w:rPr>
          <w:rFonts w:hint="eastAsia" w:ascii="仿宋_GB2312" w:eastAsia="仿宋_GB2312" w:cs="Times New Roman" w:hAnsiTheme="minorEastAsia"/>
          <w:sz w:val="32"/>
          <w:szCs w:val="32"/>
          <w:u w:color="000000"/>
        </w:rPr>
        <w:t>2022年部门整体支出基本按相关要求执行预算、决算，完成了绩效目标，资金使用效益良好。通过评价，也发现一些不足之处，具体情况如下：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1.部分绩效指标细化</w:t>
      </w:r>
      <w:r>
        <w:rPr>
          <w:rFonts w:ascii="仿宋_GB2312" w:eastAsia="仿宋_GB2312" w:cs="Times New Roman" w:hAnsiTheme="minorEastAsia"/>
          <w:sz w:val="32"/>
          <w:szCs w:val="32"/>
          <w:u w:color="000000"/>
        </w:rPr>
        <w:t>量化</w:t>
      </w:r>
      <w:r>
        <w:rPr>
          <w:rFonts w:hint="eastAsia" w:ascii="仿宋_GB2312" w:eastAsia="仿宋_GB2312" w:cs="Times New Roman" w:hAnsiTheme="minorEastAsia"/>
          <w:sz w:val="32"/>
          <w:szCs w:val="32"/>
          <w:u w:color="000000"/>
        </w:rPr>
        <w:t>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w:t>
      </w:r>
    </w:p>
    <w:p>
      <w:pPr>
        <w:pStyle w:val="3"/>
        <w:keepNext w:val="0"/>
        <w:keepLines w:val="0"/>
        <w:suppressLineNumbers/>
        <w:spacing w:before="0" w:after="0" w:line="360" w:lineRule="auto"/>
        <w:ind w:firstLine="643" w:firstLineChars="200"/>
        <w:rPr>
          <w:rFonts w:ascii="黑体"/>
        </w:rPr>
      </w:pPr>
      <w:r>
        <w:rPr>
          <w:rFonts w:hint="eastAsia" w:ascii="黑体"/>
        </w:rPr>
        <w:t>六、绩效评价意见及建议</w:t>
      </w:r>
    </w:p>
    <w:p>
      <w:pPr>
        <w:spacing w:after="0" w:line="360" w:lineRule="auto"/>
        <w:ind w:firstLine="640" w:firstLineChars="200"/>
        <w:jc w:val="both"/>
        <w:textAlignment w:val="baseline"/>
      </w:pPr>
      <w:r>
        <w:rPr>
          <w:rFonts w:hint="eastAsia" w:ascii="仿宋_GB2312" w:eastAsia="仿宋_GB2312" w:cs="DengXian-Regular"/>
          <w:sz w:val="32"/>
          <w:szCs w:val="32"/>
        </w:rPr>
        <w:t>通过对各项指标得分及扣分原因的分析，保定市徐水区交通运输局2022年度部门整体支出基本按相关要求执行预算、决算，完成了绩效目标，资金使用效益良好。通过本次绩效评价工作，也发现在以下几个方面存在一些不足之处，具体</w:t>
      </w:r>
      <w:r>
        <w:rPr>
          <w:rFonts w:hint="eastAsia" w:ascii="仿宋_GB2312" w:eastAsia="仿宋_GB2312" w:cs="Times New Roman" w:hAnsiTheme="minorEastAsia"/>
          <w:sz w:val="32"/>
          <w:szCs w:val="32"/>
          <w:u w:color="000000"/>
        </w:rPr>
        <w:t>是：部分绩效指标方面、预算决算比较、预算追加方面。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hint="eastAsia" w:ascii="仿宋_GB2312" w:eastAsia="仿宋_GB2312" w:cs="Times New Roman" w:hAnsiTheme="minorEastAsia"/>
          <w:sz w:val="32"/>
          <w:szCs w:val="32"/>
          <w:u w:color="000000"/>
        </w:rPr>
        <w:t xml:space="preserve"> 预算追加方面和</w:t>
      </w:r>
      <w:r>
        <w:rPr>
          <w:rFonts w:hint="eastAsia" w:ascii="仿宋_GB2312" w:eastAsia="仿宋_GB2312" w:cs="DengXian-Regular"/>
          <w:sz w:val="32"/>
          <w:szCs w:val="32"/>
        </w:rPr>
        <w:t>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对项目资金进行梳理，督促项目进度和资金拨付进度，应拨付的资金及时拨付，不具备条件的资金及时收回，同时，对于按规定可以结转至下年的中央及省级项目资金，在下年的项目安排时优先考虑。较年初预算追加预算比例较高，在一定程度上难以从年初预算方面分析确定全年收支的实际整体情况，应创新完善相关机制，降低年初预算和追加预算之间的差额。</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4640" w:firstLineChars="145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保定市徐水区交通运输局</w:t>
      </w:r>
    </w:p>
    <w:p>
      <w:pPr>
        <w:spacing w:after="0" w:line="360" w:lineRule="auto"/>
        <w:ind w:firstLine="5280" w:firstLineChars="1650"/>
        <w:jc w:val="both"/>
        <w:textAlignment w:val="baseline"/>
        <w:rPr>
          <w:rFonts w:ascii="仿宋_GB2312" w:eastAsia="仿宋_GB2312" w:cs="DengXian-Regular"/>
          <w:sz w:val="32"/>
          <w:szCs w:val="32"/>
        </w:rPr>
      </w:pPr>
      <w:r>
        <w:rPr>
          <w:rFonts w:hint="eastAsia" w:ascii="仿宋_GB2312" w:eastAsia="仿宋_GB2312" w:cs="DengXian-Regular"/>
          <w:sz w:val="32"/>
          <w:szCs w:val="32"/>
        </w:rPr>
        <w:t>2023年8月1</w:t>
      </w:r>
      <w:r>
        <w:rPr>
          <w:rFonts w:ascii="仿宋_GB2312" w:eastAsia="仿宋_GB2312" w:cs="DengXian-Regular"/>
          <w:sz w:val="32"/>
          <w:szCs w:val="32"/>
        </w:rPr>
        <w:t>4</w:t>
      </w:r>
      <w:r>
        <w:rPr>
          <w:rFonts w:hint="eastAsia" w:ascii="仿宋_GB2312" w:eastAsia="仿宋_GB2312" w:cs="DengXian-Regular"/>
          <w:sz w:val="32"/>
          <w:szCs w:val="32"/>
        </w:rPr>
        <w:t>日</w:t>
      </w:r>
    </w:p>
    <w:p>
      <w:pPr>
        <w:spacing w:after="0" w:line="360" w:lineRule="auto"/>
        <w:ind w:firstLine="5280" w:firstLineChars="1650"/>
        <w:jc w:val="both"/>
        <w:textAlignment w:val="baseline"/>
        <w:rPr>
          <w:rFonts w:ascii="仿宋_GB2312" w:eastAsia="仿宋_GB2312" w:cs="DengXian-Regular"/>
          <w:sz w:val="32"/>
          <w:szCs w:val="32"/>
        </w:rPr>
      </w:pPr>
    </w:p>
    <w:p>
      <w:pPr>
        <w:spacing w:after="0" w:line="360" w:lineRule="auto"/>
        <w:ind w:firstLine="5280" w:firstLineChars="1650"/>
        <w:jc w:val="both"/>
        <w:textAlignment w:val="baseline"/>
        <w:rPr>
          <w:rFonts w:ascii="仿宋_GB2312" w:eastAsia="仿宋_GB2312" w:cs="DengXian-Regular"/>
          <w:sz w:val="32"/>
          <w:szCs w:val="32"/>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w:t>
      </w:r>
    </w:p>
    <w:p>
      <w:pPr>
        <w:spacing w:after="160" w:line="400" w:lineRule="exact"/>
        <w:jc w:val="center"/>
        <w:rPr>
          <w:rFonts w:ascii="黑体" w:hAnsi="黑体" w:eastAsia="黑体" w:cs="Times New Roman"/>
          <w:sz w:val="32"/>
          <w:szCs w:val="32"/>
        </w:rPr>
      </w:pPr>
      <w:r>
        <w:rPr>
          <w:rFonts w:hint="eastAsia" w:ascii="黑体" w:hAnsi="黑体" w:eastAsia="黑体" w:cs="Times New Roman"/>
          <w:sz w:val="32"/>
          <w:szCs w:val="32"/>
        </w:rPr>
        <w:t>保定市徐水区交通运输局</w:t>
      </w:r>
    </w:p>
    <w:p>
      <w:pPr>
        <w:spacing w:after="160" w:line="400" w:lineRule="exact"/>
        <w:jc w:val="center"/>
        <w:rPr>
          <w:rFonts w:ascii="黑体" w:hAnsi="黑体" w:eastAsia="黑体" w:cs="Times New Roman"/>
          <w:sz w:val="32"/>
          <w:szCs w:val="32"/>
        </w:rPr>
      </w:pPr>
      <w:r>
        <w:rPr>
          <w:rFonts w:hint="eastAsia" w:ascii="黑体" w:hAnsi="黑体" w:eastAsia="黑体" w:cs="Times New Roman"/>
          <w:sz w:val="32"/>
          <w:szCs w:val="32"/>
        </w:rPr>
        <w:t>部门基本情况及主要职责</w:t>
      </w:r>
    </w:p>
    <w:p>
      <w:pPr>
        <w:spacing w:after="160" w:line="480" w:lineRule="exact"/>
        <w:rPr>
          <w:rFonts w:ascii="黑体" w:hAnsi="黑体" w:eastAsia="黑体" w:cs="Times New Roman"/>
          <w:sz w:val="32"/>
          <w:szCs w:val="32"/>
        </w:rPr>
      </w:pPr>
      <w:r>
        <w:rPr>
          <w:rFonts w:hint="eastAsia" w:ascii="黑体" w:hAnsi="黑体" w:eastAsia="黑体" w:cs="Times New Roman"/>
          <w:sz w:val="32"/>
          <w:szCs w:val="32"/>
        </w:rPr>
        <w:t>一、部门</w:t>
      </w:r>
      <w:r>
        <w:rPr>
          <w:rFonts w:ascii="黑体" w:hAnsi="黑体" w:eastAsia="黑体" w:cs="Times New Roman"/>
          <w:sz w:val="32"/>
          <w:szCs w:val="32"/>
        </w:rPr>
        <w:t>职责</w:t>
      </w:r>
    </w:p>
    <w:p>
      <w:pPr>
        <w:spacing w:line="480" w:lineRule="exact"/>
        <w:ind w:firstLine="640" w:firstLineChars="200"/>
        <w:rPr>
          <w:rFonts w:ascii="仿宋_GB2312" w:eastAsia="仿宋_GB2312" w:cs="ArialUnicodeMS"/>
          <w:sz w:val="32"/>
          <w:szCs w:val="32"/>
        </w:rPr>
      </w:pPr>
      <w:r>
        <w:rPr>
          <w:rFonts w:hint="eastAsia" w:ascii="仿宋_GB2312" w:eastAsia="仿宋_GB2312" w:cs="ArialUnicodeMS"/>
          <w:sz w:val="32"/>
          <w:szCs w:val="32"/>
        </w:rPr>
        <w:t>根据保定市徐水县人民政府办公室《关于印发</w:t>
      </w:r>
      <w:r>
        <w:rPr>
          <w:rFonts w:ascii="仿宋_GB2312" w:eastAsia="仿宋_GB2312" w:cs="ArialUnicodeMS"/>
          <w:sz w:val="32"/>
          <w:szCs w:val="32"/>
        </w:rPr>
        <w:t>&lt;</w:t>
      </w:r>
      <w:r>
        <w:rPr>
          <w:rFonts w:hint="eastAsia" w:ascii="仿宋_GB2312" w:eastAsia="仿宋_GB2312" w:cs="ArialUnicodeMS"/>
          <w:sz w:val="32"/>
          <w:szCs w:val="32"/>
        </w:rPr>
        <w:t>徐水县交通运输局主要职责、内设机构和人员编制规定</w:t>
      </w:r>
      <w:r>
        <w:rPr>
          <w:rFonts w:ascii="仿宋_GB2312" w:eastAsia="仿宋_GB2312" w:cs="ArialUnicodeMS"/>
          <w:sz w:val="32"/>
          <w:szCs w:val="32"/>
        </w:rPr>
        <w:t>&gt;</w:t>
      </w:r>
      <w:r>
        <w:rPr>
          <w:rFonts w:hint="eastAsia" w:ascii="仿宋_GB2312" w:eastAsia="仿宋_GB2312" w:cs="ArialUnicodeMS"/>
          <w:sz w:val="32"/>
          <w:szCs w:val="32"/>
        </w:rPr>
        <w:t>的通知》（徐政办</w:t>
      </w:r>
      <w:r>
        <w:rPr>
          <w:rFonts w:ascii="仿宋_GB2312" w:eastAsia="仿宋_GB2312" w:cs="ArialUnicodeMS"/>
          <w:sz w:val="32"/>
          <w:szCs w:val="32"/>
        </w:rPr>
        <w:t>[2010]71</w:t>
      </w:r>
      <w:r>
        <w:rPr>
          <w:rFonts w:hint="eastAsia" w:ascii="仿宋_GB2312" w:eastAsia="仿宋_GB2312" w:cs="ArialUnicodeMS"/>
          <w:sz w:val="32"/>
          <w:szCs w:val="32"/>
        </w:rPr>
        <w:t>号），现将我局部门职责概况说明如下：</w:t>
      </w:r>
    </w:p>
    <w:p>
      <w:pPr>
        <w:spacing w:line="480" w:lineRule="exact"/>
        <w:ind w:firstLine="640" w:firstLineChars="200"/>
        <w:rPr>
          <w:rFonts w:ascii="仿宋_GB2312" w:eastAsia="仿宋_GB2312" w:cs="ArialUnicodeMS"/>
          <w:sz w:val="32"/>
          <w:szCs w:val="32"/>
        </w:rPr>
      </w:pPr>
      <w:r>
        <w:rPr>
          <w:rFonts w:hint="eastAsia" w:ascii="仿宋_GB2312" w:eastAsia="仿宋_GB2312" w:cs="ArialUnicodeMS"/>
          <w:sz w:val="32"/>
          <w:szCs w:val="32"/>
        </w:rPr>
        <w:t>（一）根据区总体部署，拟定全区公路、水路交通发展规划、中长期规划和年度计划。</w:t>
      </w:r>
      <w:r>
        <w:rPr>
          <w:rFonts w:ascii="仿宋_GB2312" w:eastAsia="仿宋_GB2312" w:cs="ArialUnicodeMS"/>
          <w:sz w:val="32"/>
          <w:szCs w:val="32"/>
        </w:rPr>
        <w:br w:type="textWrapping"/>
      </w:r>
      <w:r>
        <w:rPr>
          <w:rFonts w:hint="eastAsia" w:ascii="仿宋_GB2312" w:eastAsia="仿宋_GB2312" w:cs="ArialUnicodeMS"/>
          <w:sz w:val="32"/>
          <w:szCs w:val="32"/>
        </w:rPr>
        <w:t>　　（二）负责全区公路、水路的运输行业管理和运输组织管理；负责全区营业性客货运输停车站（场）的行业管理；负责全区出租汽车管理。</w:t>
      </w:r>
      <w:r>
        <w:rPr>
          <w:rFonts w:ascii="仿宋_GB2312" w:eastAsia="仿宋_GB2312" w:cs="ArialUnicodeMS"/>
          <w:sz w:val="32"/>
          <w:szCs w:val="32"/>
        </w:rPr>
        <w:br w:type="textWrapping"/>
      </w:r>
      <w:r>
        <w:rPr>
          <w:rFonts w:hint="eastAsia" w:ascii="仿宋_GB2312" w:eastAsia="仿宋_GB2312" w:cs="ArialUnicodeMS"/>
          <w:sz w:val="32"/>
          <w:szCs w:val="32"/>
        </w:rPr>
        <w:t>　　（三）会同有关部门培育和管理交通运输市场和交通基础设施建设，引导交通运输业优化结构，协调发展。</w:t>
      </w:r>
      <w:r>
        <w:rPr>
          <w:rFonts w:ascii="仿宋_GB2312" w:eastAsia="仿宋_GB2312" w:cs="ArialUnicodeMS"/>
          <w:sz w:val="32"/>
          <w:szCs w:val="32"/>
        </w:rPr>
        <w:br w:type="textWrapping"/>
      </w:r>
      <w:r>
        <w:rPr>
          <w:rFonts w:hint="eastAsia" w:ascii="仿宋_GB2312" w:eastAsia="仿宋_GB2312" w:cs="ArialUnicodeMS"/>
          <w:sz w:val="32"/>
          <w:szCs w:val="32"/>
        </w:rPr>
        <w:t>　　（四）组织县乡公路及其设施的建设、养护、管理和规费稽征；负责全区道路运输市场、汽车维修市场、车辆技术检测、汽车驾驶学校和驾驶员工作的行业管理；指导和管理城乡客、货运输的衔接协调工作。</w:t>
      </w:r>
      <w:r>
        <w:rPr>
          <w:rFonts w:ascii="仿宋_GB2312" w:eastAsia="仿宋_GB2312" w:cs="ArialUnicodeMS"/>
          <w:sz w:val="32"/>
          <w:szCs w:val="32"/>
        </w:rPr>
        <w:br w:type="textWrapping"/>
      </w:r>
      <w:r>
        <w:rPr>
          <w:rFonts w:hint="eastAsia" w:ascii="仿宋_GB2312" w:eastAsia="仿宋_GB2312" w:cs="ArialUnicodeMS"/>
          <w:sz w:val="32"/>
          <w:szCs w:val="32"/>
        </w:rPr>
        <w:t>　　（五）负责全区车辆规费稽征；负责水上港航监督、船舶检验维修、救助打捞、通信导航、船舶代理、航道和港航设施建设使用岸线的行业管理。</w:t>
      </w:r>
      <w:r>
        <w:rPr>
          <w:rFonts w:ascii="仿宋_GB2312" w:eastAsia="仿宋_GB2312" w:cs="ArialUnicodeMS"/>
          <w:sz w:val="32"/>
          <w:szCs w:val="32"/>
        </w:rPr>
        <w:br w:type="textWrapping"/>
      </w:r>
      <w:r>
        <w:rPr>
          <w:rFonts w:hint="eastAsia" w:ascii="仿宋_GB2312" w:eastAsia="仿宋_GB2312" w:cs="ArialUnicodeMS"/>
          <w:sz w:val="32"/>
          <w:szCs w:val="32"/>
        </w:rPr>
        <w:t>　　（六）指导全区交通行业体制改革和企业管理；负责局属单位国有资产管理；组织全区交通系统内部审计工作。</w:t>
      </w:r>
      <w:r>
        <w:rPr>
          <w:rFonts w:ascii="仿宋_GB2312" w:eastAsia="仿宋_GB2312" w:cs="ArialUnicodeMS"/>
          <w:sz w:val="32"/>
          <w:szCs w:val="32"/>
        </w:rPr>
        <w:br w:type="textWrapping"/>
      </w:r>
      <w:r>
        <w:rPr>
          <w:rFonts w:hint="eastAsia" w:ascii="仿宋_GB2312" w:eastAsia="仿宋_GB2312" w:cs="ArialUnicodeMS"/>
          <w:sz w:val="32"/>
          <w:szCs w:val="32"/>
        </w:rPr>
        <w:t>　　（七）制定交通科技政策、技术标准和规范；组织科技开发，推动行业技术进步；负责交通工程质量监督；按照有关规定组织交通工业产品的认证和质量监督。指导全区交通行业人才开发、预测、教育、培训、交流和使用工作。</w:t>
      </w:r>
      <w:r>
        <w:rPr>
          <w:rFonts w:ascii="仿宋_GB2312" w:eastAsia="仿宋_GB2312" w:cs="ArialUnicodeMS"/>
          <w:sz w:val="32"/>
          <w:szCs w:val="32"/>
        </w:rPr>
        <w:br w:type="textWrapping"/>
      </w:r>
      <w:r>
        <w:rPr>
          <w:rFonts w:hint="eastAsia" w:ascii="仿宋_GB2312" w:eastAsia="仿宋_GB2312" w:cs="ArialUnicodeMS"/>
          <w:sz w:val="32"/>
          <w:szCs w:val="32"/>
        </w:rPr>
        <w:t>　　（八）负责局机关并指导局属单位人事、劳动、机构编制管理，人力资源开发工作；负责直属单位领导班子建设；受有关部门委托，负责全区机关、企事业单位汽车专业和与交通相关的专业工程工人技术等级培训、考核工作；指导全区交通行业的精神文明建设和职工队伍思想建设。交通系统内的宣传工作。</w:t>
      </w:r>
      <w:r>
        <w:rPr>
          <w:rFonts w:ascii="仿宋_GB2312" w:eastAsia="仿宋_GB2312" w:cs="ArialUnicodeMS"/>
          <w:sz w:val="32"/>
          <w:szCs w:val="32"/>
        </w:rPr>
        <w:br w:type="textWrapping"/>
      </w:r>
      <w:r>
        <w:rPr>
          <w:rFonts w:hint="eastAsia" w:ascii="仿宋_GB2312" w:eastAsia="仿宋_GB2312" w:cs="ArialUnicodeMS"/>
          <w:sz w:val="32"/>
          <w:szCs w:val="32"/>
        </w:rPr>
        <w:t>　　（九）指导全区交通行业涉外工作，指导利用外资。</w:t>
      </w:r>
      <w:r>
        <w:rPr>
          <w:rFonts w:ascii="仿宋_GB2312" w:eastAsia="仿宋_GB2312" w:cs="ArialUnicodeMS"/>
          <w:sz w:val="32"/>
          <w:szCs w:val="32"/>
        </w:rPr>
        <w:br w:type="textWrapping"/>
      </w:r>
      <w:r>
        <w:rPr>
          <w:rFonts w:hint="eastAsia" w:ascii="仿宋_GB2312" w:eastAsia="仿宋_GB2312" w:cs="ArialUnicodeMS"/>
          <w:sz w:val="32"/>
          <w:szCs w:val="32"/>
        </w:rPr>
        <w:t>　　（十）承办区政府交办的其他事项。</w:t>
      </w:r>
    </w:p>
    <w:p>
      <w:pPr>
        <w:spacing w:after="160" w:line="480" w:lineRule="exact"/>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机构设置</w:t>
      </w:r>
    </w:p>
    <w:p>
      <w:pPr>
        <w:spacing w:line="480" w:lineRule="exact"/>
        <w:ind w:firstLine="640" w:firstLineChars="200"/>
        <w:rPr>
          <w:rFonts w:ascii="仿宋_GB2312" w:eastAsia="仿宋_GB2312" w:cs="ArialUnicodeMS"/>
          <w:sz w:val="32"/>
          <w:szCs w:val="32"/>
        </w:rPr>
      </w:pPr>
      <w:r>
        <w:rPr>
          <w:rFonts w:hint="eastAsia" w:ascii="仿宋_GB2312" w:eastAsia="仿宋_GB2312" w:cs="ArialUnicodeMS"/>
          <w:sz w:val="32"/>
          <w:szCs w:val="32"/>
        </w:rPr>
        <w:t>从决算编报单位构成看，纳入2022年度本部门决算汇编范围的独立核算单位（以下简称“单位”）共1个，具体情况如下：</w:t>
      </w:r>
    </w:p>
    <w:tbl>
      <w:tblPr>
        <w:tblStyle w:val="25"/>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546"/>
        <w:gridCol w:w="2552"/>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480" w:lineRule="exact"/>
              <w:jc w:val="center"/>
              <w:rPr>
                <w:rFonts w:ascii="仿宋_GB2312" w:eastAsia="仿宋_GB2312" w:cs="ArialUnicodeMS"/>
                <w:b/>
                <w:bCs/>
                <w:sz w:val="28"/>
                <w:szCs w:val="28"/>
              </w:rPr>
            </w:pPr>
            <w:r>
              <w:rPr>
                <w:rFonts w:hint="eastAsia" w:ascii="仿宋_GB2312" w:eastAsia="仿宋_GB2312" w:cs="ArialUnicodeMS"/>
                <w:b/>
                <w:bCs/>
                <w:sz w:val="28"/>
                <w:szCs w:val="28"/>
              </w:rPr>
              <w:t>序号</w:t>
            </w:r>
          </w:p>
        </w:tc>
        <w:tc>
          <w:tcPr>
            <w:tcW w:w="3546" w:type="dxa"/>
            <w:vAlign w:val="center"/>
          </w:tcPr>
          <w:p>
            <w:pPr>
              <w:spacing w:line="480" w:lineRule="exact"/>
              <w:jc w:val="center"/>
              <w:rPr>
                <w:rFonts w:ascii="仿宋_GB2312" w:eastAsia="仿宋_GB2312" w:cs="ArialUnicodeMS"/>
                <w:b/>
                <w:bCs/>
                <w:sz w:val="28"/>
                <w:szCs w:val="28"/>
              </w:rPr>
            </w:pPr>
            <w:r>
              <w:rPr>
                <w:rFonts w:hint="eastAsia" w:ascii="仿宋_GB2312" w:eastAsia="仿宋_GB2312" w:cs="ArialUnicodeMS"/>
                <w:b/>
                <w:bCs/>
                <w:sz w:val="28"/>
                <w:szCs w:val="28"/>
              </w:rPr>
              <w:t>单位名称</w:t>
            </w:r>
          </w:p>
        </w:tc>
        <w:tc>
          <w:tcPr>
            <w:tcW w:w="2552" w:type="dxa"/>
            <w:vAlign w:val="center"/>
          </w:tcPr>
          <w:p>
            <w:pPr>
              <w:spacing w:line="480" w:lineRule="exact"/>
              <w:jc w:val="center"/>
              <w:rPr>
                <w:rFonts w:ascii="仿宋_GB2312" w:eastAsia="仿宋_GB2312" w:cs="ArialUnicodeMS"/>
                <w:b/>
                <w:bCs/>
                <w:sz w:val="28"/>
                <w:szCs w:val="28"/>
              </w:rPr>
            </w:pPr>
            <w:r>
              <w:rPr>
                <w:rFonts w:hint="eastAsia" w:ascii="仿宋_GB2312" w:eastAsia="仿宋_GB2312" w:cs="ArialUnicodeMS"/>
                <w:b/>
                <w:bCs/>
                <w:sz w:val="28"/>
                <w:szCs w:val="28"/>
              </w:rPr>
              <w:t>单位基本性质</w:t>
            </w:r>
          </w:p>
        </w:tc>
        <w:tc>
          <w:tcPr>
            <w:tcW w:w="2497" w:type="dxa"/>
            <w:vAlign w:val="center"/>
          </w:tcPr>
          <w:p>
            <w:pPr>
              <w:spacing w:line="480" w:lineRule="exact"/>
              <w:jc w:val="center"/>
              <w:rPr>
                <w:rFonts w:ascii="仿宋_GB2312" w:eastAsia="仿宋_GB2312" w:cs="ArialUnicodeMS"/>
                <w:b/>
                <w:bCs/>
                <w:sz w:val="28"/>
                <w:szCs w:val="28"/>
              </w:rPr>
            </w:pPr>
            <w:r>
              <w:rPr>
                <w:rFonts w:hint="eastAsia" w:ascii="仿宋_GB2312" w:eastAsia="仿宋_GB2312" w:cs="ArialUnicodeMS"/>
                <w:b/>
                <w:bCs/>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85" w:type="dxa"/>
          </w:tcPr>
          <w:p>
            <w:pPr>
              <w:spacing w:line="480" w:lineRule="exact"/>
              <w:jc w:val="center"/>
              <w:rPr>
                <w:rFonts w:ascii="仿宋_GB2312" w:eastAsia="仿宋_GB2312" w:cs="ArialUnicodeMS"/>
                <w:sz w:val="28"/>
                <w:szCs w:val="28"/>
              </w:rPr>
            </w:pPr>
            <w:r>
              <w:rPr>
                <w:rFonts w:hint="eastAsia" w:ascii="仿宋_GB2312" w:eastAsia="仿宋_GB2312" w:cs="ArialUnicodeMS"/>
                <w:sz w:val="28"/>
                <w:szCs w:val="28"/>
              </w:rPr>
              <w:t>1</w:t>
            </w:r>
          </w:p>
        </w:tc>
        <w:tc>
          <w:tcPr>
            <w:tcW w:w="3546" w:type="dxa"/>
          </w:tcPr>
          <w:p>
            <w:pPr>
              <w:spacing w:line="480" w:lineRule="exact"/>
              <w:rPr>
                <w:rFonts w:ascii="仿宋_GB2312" w:eastAsia="仿宋_GB2312" w:cs="ArialUnicodeMS"/>
                <w:sz w:val="28"/>
                <w:szCs w:val="28"/>
              </w:rPr>
            </w:pPr>
            <w:r>
              <w:rPr>
                <w:rFonts w:hint="eastAsia" w:ascii="仿宋_GB2312" w:eastAsia="仿宋_GB2312" w:cs="ArialUnicodeMS"/>
                <w:sz w:val="28"/>
                <w:szCs w:val="28"/>
              </w:rPr>
              <w:t>保定市</w:t>
            </w:r>
            <w:r>
              <w:rPr>
                <w:rFonts w:ascii="仿宋_GB2312" w:eastAsia="仿宋_GB2312" w:cs="ArialUnicodeMS"/>
                <w:sz w:val="28"/>
                <w:szCs w:val="28"/>
              </w:rPr>
              <w:t>徐水区交通运输局</w:t>
            </w:r>
          </w:p>
        </w:tc>
        <w:tc>
          <w:tcPr>
            <w:tcW w:w="2552" w:type="dxa"/>
          </w:tcPr>
          <w:p>
            <w:pPr>
              <w:spacing w:line="480" w:lineRule="exact"/>
              <w:rPr>
                <w:rFonts w:ascii="仿宋_GB2312" w:eastAsia="仿宋_GB2312" w:cs="ArialUnicodeMS"/>
                <w:sz w:val="28"/>
                <w:szCs w:val="28"/>
              </w:rPr>
            </w:pPr>
            <w:r>
              <w:rPr>
                <w:rFonts w:hint="eastAsia" w:ascii="仿宋_GB2312" w:eastAsia="仿宋_GB2312" w:cs="ArialUnicodeMS"/>
                <w:sz w:val="28"/>
                <w:szCs w:val="28"/>
              </w:rPr>
              <w:t>财政补助事业单位</w:t>
            </w:r>
          </w:p>
        </w:tc>
        <w:tc>
          <w:tcPr>
            <w:tcW w:w="2497" w:type="dxa"/>
          </w:tcPr>
          <w:p>
            <w:pPr>
              <w:spacing w:line="480" w:lineRule="exact"/>
              <w:jc w:val="center"/>
              <w:rPr>
                <w:rFonts w:ascii="仿宋_GB2312" w:eastAsia="仿宋_GB2312" w:cs="ArialUnicodeMS"/>
                <w:sz w:val="28"/>
                <w:szCs w:val="28"/>
              </w:rPr>
            </w:pPr>
            <w:r>
              <w:rPr>
                <w:rFonts w:hint="eastAsia" w:ascii="仿宋_GB2312" w:eastAsia="仿宋_GB2312" w:cs="ArialUnicodeMS"/>
                <w:sz w:val="28"/>
                <w:szCs w:val="28"/>
              </w:rPr>
              <w:t>财政</w:t>
            </w:r>
            <w:r>
              <w:rPr>
                <w:rFonts w:ascii="仿宋_GB2312" w:eastAsia="仿宋_GB2312" w:cs="ArialUnicodeMS"/>
                <w:sz w:val="28"/>
                <w:szCs w:val="28"/>
              </w:rPr>
              <w:t>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580" w:type="dxa"/>
            <w:gridSpan w:val="4"/>
            <w:tcBorders>
              <w:top w:val="single" w:color="auto" w:sz="4" w:space="0"/>
              <w:left w:val="nil"/>
              <w:bottom w:val="nil"/>
              <w:right w:val="nil"/>
            </w:tcBorders>
          </w:tcPr>
          <w:p>
            <w:pPr>
              <w:spacing w:line="480" w:lineRule="exact"/>
              <w:ind w:firstLine="560" w:firstLineChars="200"/>
              <w:rPr>
                <w:rFonts w:ascii="仿宋_GB2312" w:eastAsia="仿宋_GB2312" w:cs="ArialUnicodeMS"/>
                <w:sz w:val="28"/>
                <w:szCs w:val="28"/>
              </w:rPr>
            </w:pPr>
          </w:p>
        </w:tc>
      </w:tr>
    </w:tbl>
    <w:p>
      <w:pPr>
        <w:spacing w:after="160" w:line="480" w:lineRule="exact"/>
        <w:rPr>
          <w:rFonts w:ascii="黑体" w:hAnsi="黑体" w:eastAsia="黑体" w:cs="Times New Roman"/>
          <w:sz w:val="32"/>
          <w:szCs w:val="32"/>
        </w:rPr>
      </w:pPr>
      <w:r>
        <w:rPr>
          <w:rFonts w:hint="eastAsia" w:ascii="黑体" w:hAnsi="黑体" w:eastAsia="黑体" w:cs="Times New Roman"/>
          <w:sz w:val="32"/>
          <w:szCs w:val="32"/>
        </w:rPr>
        <w:t>三、人员情况</w:t>
      </w:r>
    </w:p>
    <w:p>
      <w:pPr>
        <w:spacing w:line="480" w:lineRule="exact"/>
        <w:ind w:left="220" w:leftChars="100" w:firstLine="320" w:firstLineChars="100"/>
        <w:rPr>
          <w:rFonts w:ascii="仿宋_GB2312" w:eastAsia="仿宋_GB2312" w:cs="ArialUnicodeMS"/>
          <w:sz w:val="32"/>
          <w:szCs w:val="32"/>
        </w:rPr>
      </w:pPr>
      <w:r>
        <w:rPr>
          <w:rFonts w:ascii="仿宋_GB2312" w:eastAsia="仿宋_GB2312" w:cs="ArialUnicodeMS"/>
          <w:sz w:val="32"/>
          <w:szCs w:val="32"/>
        </w:rPr>
        <w:t>20</w:t>
      </w:r>
      <w:r>
        <w:rPr>
          <w:rFonts w:hint="eastAsia" w:ascii="仿宋_GB2312" w:eastAsia="仿宋_GB2312" w:cs="ArialUnicodeMS"/>
          <w:sz w:val="32"/>
          <w:szCs w:val="32"/>
        </w:rPr>
        <w:t>2</w:t>
      </w:r>
      <w:r>
        <w:rPr>
          <w:rFonts w:ascii="仿宋_GB2312" w:eastAsia="仿宋_GB2312" w:cs="ArialUnicodeMS"/>
          <w:sz w:val="32"/>
          <w:szCs w:val="32"/>
        </w:rPr>
        <w:t>2</w:t>
      </w:r>
      <w:r>
        <w:rPr>
          <w:rFonts w:hint="eastAsia" w:ascii="仿宋_GB2312" w:eastAsia="仿宋_GB2312" w:cs="ArialUnicodeMS"/>
          <w:sz w:val="32"/>
          <w:szCs w:val="32"/>
        </w:rPr>
        <w:t>年</w:t>
      </w:r>
      <w:r>
        <w:rPr>
          <w:rFonts w:ascii="仿宋_GB2312" w:eastAsia="仿宋_GB2312" w:cs="ArialUnicodeMS"/>
          <w:sz w:val="32"/>
          <w:szCs w:val="32"/>
        </w:rPr>
        <w:t>末</w:t>
      </w:r>
      <w:r>
        <w:rPr>
          <w:rFonts w:hint="eastAsia" w:ascii="仿宋_GB2312" w:eastAsia="仿宋_GB2312" w:cs="ArialUnicodeMS"/>
          <w:sz w:val="32"/>
          <w:szCs w:val="32"/>
        </w:rPr>
        <w:t>实</w:t>
      </w:r>
      <w:r>
        <w:rPr>
          <w:rFonts w:ascii="仿宋_GB2312" w:eastAsia="仿宋_GB2312" w:cs="ArialUnicodeMS"/>
          <w:sz w:val="32"/>
          <w:szCs w:val="32"/>
        </w:rPr>
        <w:t>有人员</w:t>
      </w:r>
      <w:r>
        <w:rPr>
          <w:rFonts w:hint="eastAsia" w:ascii="仿宋_GB2312" w:eastAsia="仿宋_GB2312" w:cs="ArialUnicodeMS"/>
          <w:sz w:val="32"/>
          <w:szCs w:val="32"/>
        </w:rPr>
        <w:t>人</w:t>
      </w:r>
      <w:r>
        <w:rPr>
          <w:rFonts w:ascii="仿宋_GB2312" w:eastAsia="仿宋_GB2312" w:cs="ArialUnicodeMS"/>
          <w:sz w:val="32"/>
          <w:szCs w:val="32"/>
        </w:rPr>
        <w:t>，在职139</w:t>
      </w:r>
      <w:r>
        <w:rPr>
          <w:rFonts w:hint="eastAsia" w:ascii="仿宋_GB2312" w:eastAsia="仿宋_GB2312" w:cs="ArialUnicodeMS"/>
          <w:sz w:val="32"/>
          <w:szCs w:val="32"/>
        </w:rPr>
        <w:t>人</w:t>
      </w:r>
      <w:r>
        <w:rPr>
          <w:rFonts w:ascii="仿宋_GB2312" w:eastAsia="仿宋_GB2312" w:cs="ArialUnicodeMS"/>
          <w:sz w:val="32"/>
          <w:szCs w:val="32"/>
        </w:rPr>
        <w:t>。</w:t>
      </w:r>
      <w:r>
        <w:rPr>
          <w:rFonts w:hint="eastAsia" w:ascii="仿宋_GB2312" w:eastAsia="仿宋_GB2312" w:cs="ArialUnicodeMS"/>
          <w:sz w:val="32"/>
          <w:szCs w:val="32"/>
        </w:rPr>
        <w:t>在职</w:t>
      </w:r>
      <w:r>
        <w:rPr>
          <w:rFonts w:ascii="仿宋_GB2312" w:eastAsia="仿宋_GB2312" w:cs="ArialUnicodeMS"/>
          <w:sz w:val="32"/>
          <w:szCs w:val="32"/>
        </w:rPr>
        <w:t>人员</w:t>
      </w:r>
      <w:r>
        <w:rPr>
          <w:rFonts w:hint="eastAsia" w:ascii="仿宋_GB2312" w:eastAsia="仿宋_GB2312" w:cs="ArialUnicodeMS"/>
          <w:sz w:val="32"/>
          <w:szCs w:val="32"/>
        </w:rPr>
        <w:t>较</w:t>
      </w:r>
      <w:r>
        <w:rPr>
          <w:rFonts w:ascii="仿宋_GB2312" w:eastAsia="仿宋_GB2312" w:cs="ArialUnicodeMS"/>
          <w:sz w:val="32"/>
          <w:szCs w:val="32"/>
        </w:rPr>
        <w:t>上年</w:t>
      </w:r>
      <w:r>
        <w:rPr>
          <w:rFonts w:hint="eastAsia" w:ascii="仿宋_GB2312" w:eastAsia="仿宋_GB2312" w:cs="ArialUnicodeMS"/>
          <w:sz w:val="32"/>
          <w:szCs w:val="32"/>
        </w:rPr>
        <w:t>人数无变化</w:t>
      </w:r>
      <w:r>
        <w:rPr>
          <w:rFonts w:ascii="仿宋_GB2312" w:eastAsia="仿宋_GB2312" w:cs="ArialUnicodeMS"/>
          <w:sz w:val="32"/>
          <w:szCs w:val="32"/>
        </w:rPr>
        <w:t>，</w:t>
      </w:r>
      <w:r>
        <w:rPr>
          <w:rFonts w:hint="eastAsia" w:ascii="仿宋_GB2312" w:eastAsia="仿宋_GB2312" w:cs="ArialUnicodeMS"/>
          <w:sz w:val="32"/>
          <w:szCs w:val="32"/>
        </w:rPr>
        <w:t>其中在职人员退休减少2人，在职</w:t>
      </w:r>
      <w:r>
        <w:rPr>
          <w:rFonts w:ascii="仿宋_GB2312" w:eastAsia="仿宋_GB2312" w:cs="ArialUnicodeMS"/>
          <w:sz w:val="32"/>
          <w:szCs w:val="32"/>
        </w:rPr>
        <w:t>人员</w:t>
      </w:r>
      <w:r>
        <w:rPr>
          <w:rFonts w:hint="eastAsia" w:ascii="仿宋_GB2312" w:eastAsia="仿宋_GB2312" w:cs="ArialUnicodeMS"/>
          <w:sz w:val="32"/>
          <w:szCs w:val="32"/>
        </w:rPr>
        <w:t>调入增加2人。</w:t>
      </w:r>
    </w:p>
    <w:p>
      <w:pPr>
        <w:spacing w:after="0" w:line="360" w:lineRule="auto"/>
        <w:jc w:val="both"/>
        <w:textAlignment w:val="baseline"/>
        <w:rPr>
          <w:rFonts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sectPr>
          <w:footerReference r:id="rId5" w:type="default"/>
          <w:pgSz w:w="11906" w:h="16838"/>
          <w:pgMar w:top="1440" w:right="1797" w:bottom="1191" w:left="1797" w:header="709" w:footer="709" w:gutter="0"/>
          <w:pgNumType w:start="1"/>
          <w:cols w:space="708" w:num="1"/>
          <w:docGrid w:linePitch="360" w:charSpace="0"/>
        </w:sect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附件2：</w:t>
      </w:r>
      <w:r>
        <w:rPr>
          <w:rFonts w:ascii="仿宋_GB2312" w:eastAsia="仿宋_GB2312" w:cs="Times New Roman" w:hAnsiTheme="minorEastAsia"/>
          <w:sz w:val="32"/>
          <w:szCs w:val="32"/>
          <w:u w:color="000000"/>
        </w:rPr>
        <w:t xml:space="preserve"> </w:t>
      </w:r>
    </w:p>
    <w:p>
      <w:pPr>
        <w:spacing w:after="0" w:line="360" w:lineRule="auto"/>
        <w:jc w:val="center"/>
        <w:textAlignment w:val="baseline"/>
        <w:rPr>
          <w:rFonts w:ascii="仿宋_GB2312" w:eastAsia="仿宋_GB2312" w:cs="DengXian-Regular"/>
          <w:b/>
          <w:sz w:val="36"/>
          <w:szCs w:val="36"/>
        </w:rPr>
      </w:pPr>
      <w:r>
        <w:rPr>
          <w:rFonts w:ascii="仿宋_GB2312" w:eastAsia="仿宋_GB2312" w:cs="Times New Roman" w:hAnsiTheme="minorEastAsia"/>
          <w:b/>
          <w:sz w:val="36"/>
          <w:szCs w:val="36"/>
          <w:u w:color="000000"/>
        </w:rPr>
        <w:t>2022</w:t>
      </w:r>
      <w:r>
        <w:rPr>
          <w:rFonts w:hint="eastAsia" w:ascii="仿宋_GB2312" w:eastAsia="仿宋_GB2312" w:cs="Times New Roman" w:hAnsiTheme="minorEastAsia"/>
          <w:b/>
          <w:sz w:val="36"/>
          <w:szCs w:val="36"/>
          <w:u w:color="000000"/>
        </w:rPr>
        <w:t>年度</w:t>
      </w:r>
      <w:r>
        <w:rPr>
          <w:rFonts w:hint="eastAsia" w:ascii="仿宋_GB2312" w:eastAsia="仿宋_GB2312" w:cs="DengXian-Regular"/>
          <w:b/>
          <w:sz w:val="36"/>
          <w:szCs w:val="36"/>
        </w:rPr>
        <w:t>保定市徐水区交通运输局</w:t>
      </w:r>
    </w:p>
    <w:p>
      <w:pPr>
        <w:spacing w:after="0" w:line="360" w:lineRule="auto"/>
        <w:jc w:val="center"/>
        <w:textAlignment w:val="baseline"/>
        <w:rPr>
          <w:rFonts w:ascii="仿宋_GB2312" w:eastAsia="仿宋_GB2312" w:cs="Times New Roman" w:hAnsiTheme="minorEastAsia"/>
          <w:b/>
          <w:sz w:val="36"/>
          <w:szCs w:val="36"/>
          <w:u w:color="000000"/>
        </w:rPr>
      </w:pPr>
      <w:r>
        <w:rPr>
          <w:rFonts w:hint="eastAsia" w:ascii="仿宋_GB2312" w:eastAsia="仿宋_GB2312" w:cs="Times New Roman" w:hAnsiTheme="minorEastAsia"/>
          <w:b/>
          <w:sz w:val="36"/>
          <w:szCs w:val="36"/>
          <w:u w:color="000000"/>
        </w:rPr>
        <w:t>收支预算及决算明细表</w:t>
      </w:r>
    </w:p>
    <w:p>
      <w:pPr>
        <w:spacing w:after="0" w:line="360" w:lineRule="auto"/>
        <w:jc w:val="both"/>
        <w:textAlignment w:val="baseline"/>
        <w:rPr>
          <w:rFonts w:ascii="仿宋_GB2312" w:eastAsia="仿宋_GB2312" w:cs="Times New Roman" w:hAnsiTheme="minorEastAsia"/>
          <w:b/>
          <w:sz w:val="36"/>
          <w:szCs w:val="36"/>
          <w:u w:color="000000"/>
        </w:rPr>
      </w:pPr>
      <w:r>
        <w:rPr>
          <w:rFonts w:hint="eastAsia" w:ascii="仿宋_GB2312" w:eastAsia="仿宋_GB2312" w:cs="Times New Roman" w:hAnsiTheme="minorEastAsia"/>
          <w:b/>
          <w:sz w:val="36"/>
          <w:szCs w:val="36"/>
          <w:u w:color="000000"/>
        </w:rPr>
        <w:drawing>
          <wp:inline distT="0" distB="0" distL="0" distR="0">
            <wp:extent cx="9021445" cy="33477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021445" cy="3347720"/>
                    </a:xfrm>
                    <a:prstGeom prst="rect">
                      <a:avLst/>
                    </a:prstGeom>
                  </pic:spPr>
                </pic:pic>
              </a:graphicData>
            </a:graphic>
          </wp:inline>
        </w:drawing>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7" w:name="_Toc465149534"/>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w:t>
      </w:r>
      <w:r>
        <w:rPr>
          <w:rFonts w:ascii="仿宋_GB2312" w:eastAsia="仿宋_GB2312" w:cs="Times New Roman" w:hAnsiTheme="minorEastAsia"/>
          <w:sz w:val="32"/>
          <w:szCs w:val="32"/>
          <w:u w:color="000000"/>
        </w:rPr>
        <w:t>3</w:t>
      </w:r>
      <w:r>
        <w:rPr>
          <w:rFonts w:hint="eastAsia" w:ascii="仿宋_GB2312" w:eastAsia="仿宋_GB2312" w:cs="Times New Roman" w:hAnsiTheme="minorEastAsia"/>
          <w:sz w:val="32"/>
          <w:szCs w:val="32"/>
          <w:u w:color="000000"/>
        </w:rPr>
        <w:t>：</w:t>
      </w:r>
    </w:p>
    <w:tbl>
      <w:tblPr>
        <w:tblStyle w:val="24"/>
        <w:tblW w:w="15120" w:type="dxa"/>
        <w:tblInd w:w="108" w:type="dxa"/>
        <w:tblLayout w:type="autofit"/>
        <w:tblCellMar>
          <w:top w:w="0" w:type="dxa"/>
          <w:left w:w="108" w:type="dxa"/>
          <w:bottom w:w="0" w:type="dxa"/>
          <w:right w:w="108" w:type="dxa"/>
        </w:tblCellMar>
      </w:tblPr>
      <w:tblGrid>
        <w:gridCol w:w="580"/>
        <w:gridCol w:w="580"/>
        <w:gridCol w:w="1960"/>
        <w:gridCol w:w="4620"/>
        <w:gridCol w:w="7380"/>
      </w:tblGrid>
      <w:tr>
        <w:tblPrEx>
          <w:tblCellMar>
            <w:top w:w="0" w:type="dxa"/>
            <w:left w:w="108" w:type="dxa"/>
            <w:bottom w:w="0" w:type="dxa"/>
            <w:right w:w="108" w:type="dxa"/>
          </w:tblCellMar>
        </w:tblPrEx>
        <w:trPr>
          <w:trHeight w:val="375" w:hRule="atLeast"/>
        </w:trPr>
        <w:tc>
          <w:tcPr>
            <w:tcW w:w="1160" w:type="dxa"/>
            <w:gridSpan w:val="2"/>
            <w:tcBorders>
              <w:top w:val="nil"/>
              <w:left w:val="nil"/>
              <w:bottom w:val="nil"/>
              <w:right w:val="nil"/>
            </w:tcBorders>
            <w:shd w:val="clear" w:color="auto" w:fill="auto"/>
            <w:noWrap/>
            <w:vAlign w:val="center"/>
          </w:tcPr>
          <w:p>
            <w:pPr>
              <w:adjustRightInd/>
              <w:snapToGrid/>
              <w:spacing w:after="0"/>
              <w:rPr>
                <w:rFonts w:ascii="黑体" w:hAnsi="黑体" w:eastAsia="黑体" w:cs="宋体"/>
                <w:sz w:val="28"/>
                <w:szCs w:val="28"/>
              </w:rPr>
            </w:pPr>
          </w:p>
        </w:tc>
        <w:tc>
          <w:tcPr>
            <w:tcW w:w="1960" w:type="dxa"/>
            <w:tcBorders>
              <w:top w:val="nil"/>
              <w:left w:val="nil"/>
              <w:bottom w:val="nil"/>
              <w:right w:val="nil"/>
            </w:tcBorders>
            <w:shd w:val="clear" w:color="auto" w:fill="auto"/>
            <w:noWrap/>
            <w:vAlign w:val="center"/>
          </w:tcPr>
          <w:p>
            <w:pPr>
              <w:adjustRightInd/>
              <w:snapToGrid/>
              <w:spacing w:after="0"/>
              <w:rPr>
                <w:rFonts w:ascii="黑体" w:hAnsi="黑体" w:eastAsia="黑体" w:cs="宋体"/>
                <w:sz w:val="28"/>
                <w:szCs w:val="28"/>
              </w:rPr>
            </w:pPr>
          </w:p>
        </w:tc>
        <w:tc>
          <w:tcPr>
            <w:tcW w:w="4620" w:type="dxa"/>
            <w:tcBorders>
              <w:top w:val="nil"/>
              <w:left w:val="nil"/>
              <w:bottom w:val="nil"/>
              <w:right w:val="nil"/>
            </w:tcBorders>
            <w:shd w:val="clear" w:color="auto" w:fill="auto"/>
            <w:noWrap/>
            <w:vAlign w:val="center"/>
          </w:tcPr>
          <w:p>
            <w:pPr>
              <w:adjustRightInd/>
              <w:snapToGrid/>
              <w:spacing w:after="0"/>
              <w:rPr>
                <w:rFonts w:ascii="Times New Roman" w:hAnsi="Times New Roman" w:eastAsia="Times New Roman" w:cs="Times New Roman"/>
                <w:sz w:val="20"/>
                <w:szCs w:val="20"/>
              </w:rPr>
            </w:pPr>
          </w:p>
        </w:tc>
        <w:tc>
          <w:tcPr>
            <w:tcW w:w="7380" w:type="dxa"/>
            <w:tcBorders>
              <w:top w:val="nil"/>
              <w:left w:val="nil"/>
              <w:bottom w:val="nil"/>
              <w:right w:val="nil"/>
            </w:tcBorders>
            <w:shd w:val="clear" w:color="auto" w:fill="auto"/>
            <w:noWrap/>
            <w:vAlign w:val="center"/>
          </w:tcPr>
          <w:p>
            <w:pPr>
              <w:adjustRightInd/>
              <w:snapToGrid/>
              <w:spacing w:after="0"/>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795" w:hRule="atLeast"/>
        </w:trPr>
        <w:tc>
          <w:tcPr>
            <w:tcW w:w="15120" w:type="dxa"/>
            <w:gridSpan w:val="5"/>
            <w:tcBorders>
              <w:top w:val="nil"/>
              <w:left w:val="nil"/>
              <w:bottom w:val="nil"/>
              <w:right w:val="nil"/>
            </w:tcBorders>
            <w:shd w:val="clear" w:color="auto" w:fill="auto"/>
            <w:noWrap/>
            <w:vAlign w:val="center"/>
          </w:tcPr>
          <w:p>
            <w:pPr>
              <w:adjustRightInd/>
              <w:snapToGrid/>
              <w:spacing w:after="0"/>
              <w:jc w:val="center"/>
              <w:rPr>
                <w:rFonts w:ascii="宋体" w:hAnsi="宋体" w:eastAsia="宋体" w:cs="宋体"/>
                <w:b/>
                <w:bCs/>
                <w:sz w:val="32"/>
                <w:szCs w:val="32"/>
              </w:rPr>
            </w:pPr>
            <w:r>
              <w:rPr>
                <w:rFonts w:hint="eastAsia" w:ascii="宋体" w:hAnsi="宋体" w:eastAsia="宋体" w:cs="宋体"/>
                <w:b/>
                <w:bCs/>
                <w:sz w:val="32"/>
                <w:szCs w:val="32"/>
              </w:rPr>
              <w:t>部门整体支出绩效评价共性指标体系</w:t>
            </w:r>
          </w:p>
        </w:tc>
      </w:tr>
      <w:tr>
        <w:tblPrEx>
          <w:tblCellMar>
            <w:top w:w="0" w:type="dxa"/>
            <w:left w:w="108" w:type="dxa"/>
            <w:bottom w:w="0" w:type="dxa"/>
            <w:right w:w="108" w:type="dxa"/>
          </w:tblCellMar>
        </w:tblPrEx>
        <w:trPr>
          <w:trHeight w:val="66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b/>
                <w:bCs/>
                <w:sz w:val="20"/>
                <w:szCs w:val="20"/>
              </w:rPr>
            </w:pPr>
            <w:r>
              <w:rPr>
                <w:rFonts w:hint="eastAsia" w:ascii="楷体_GB2312" w:hAnsi="宋体" w:eastAsia="楷体_GB2312" w:cs="宋体"/>
                <w:b/>
                <w:bCs/>
                <w:sz w:val="20"/>
                <w:szCs w:val="20"/>
              </w:rPr>
              <w:t>一级</w:t>
            </w:r>
            <w:r>
              <w:rPr>
                <w:rFonts w:hint="eastAsia" w:ascii="楷体_GB2312" w:hAnsi="宋体" w:eastAsia="楷体_GB2312" w:cs="宋体"/>
                <w:b/>
                <w:bCs/>
                <w:sz w:val="20"/>
                <w:szCs w:val="20"/>
              </w:rPr>
              <w:br w:type="textWrapping"/>
            </w:r>
            <w:r>
              <w:rPr>
                <w:rFonts w:hint="eastAsia" w:ascii="楷体_GB2312" w:hAnsi="宋体" w:eastAsia="楷体_GB2312" w:cs="宋体"/>
                <w:b/>
                <w:bCs/>
                <w:sz w:val="20"/>
                <w:szCs w:val="20"/>
              </w:rPr>
              <w:t>指标</w:t>
            </w:r>
          </w:p>
        </w:tc>
        <w:tc>
          <w:tcPr>
            <w:tcW w:w="5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b/>
                <w:bCs/>
                <w:sz w:val="20"/>
                <w:szCs w:val="20"/>
              </w:rPr>
            </w:pPr>
            <w:r>
              <w:rPr>
                <w:rFonts w:hint="eastAsia" w:ascii="楷体_GB2312" w:hAnsi="宋体" w:eastAsia="楷体_GB2312" w:cs="宋体"/>
                <w:b/>
                <w:bCs/>
                <w:sz w:val="20"/>
                <w:szCs w:val="20"/>
              </w:rPr>
              <w:t>二级</w:t>
            </w:r>
            <w:r>
              <w:rPr>
                <w:rFonts w:hint="eastAsia" w:ascii="楷体_GB2312" w:hAnsi="宋体" w:eastAsia="楷体_GB2312" w:cs="宋体"/>
                <w:b/>
                <w:bCs/>
                <w:sz w:val="20"/>
                <w:szCs w:val="20"/>
              </w:rPr>
              <w:br w:type="textWrapping"/>
            </w:r>
            <w:r>
              <w:rPr>
                <w:rFonts w:hint="eastAsia" w:ascii="楷体_GB2312" w:hAnsi="宋体" w:eastAsia="楷体_GB2312" w:cs="宋体"/>
                <w:b/>
                <w:bCs/>
                <w:sz w:val="20"/>
                <w:szCs w:val="20"/>
              </w:rPr>
              <w:t>指标</w:t>
            </w:r>
          </w:p>
        </w:tc>
        <w:tc>
          <w:tcPr>
            <w:tcW w:w="19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b/>
                <w:bCs/>
                <w:sz w:val="20"/>
                <w:szCs w:val="20"/>
              </w:rPr>
            </w:pPr>
            <w:r>
              <w:rPr>
                <w:rFonts w:hint="eastAsia" w:ascii="楷体_GB2312" w:hAnsi="宋体" w:eastAsia="楷体_GB2312" w:cs="宋体"/>
                <w:b/>
                <w:bCs/>
                <w:sz w:val="20"/>
                <w:szCs w:val="20"/>
              </w:rPr>
              <w:t>三级指标</w:t>
            </w:r>
          </w:p>
        </w:tc>
        <w:tc>
          <w:tcPr>
            <w:tcW w:w="46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b/>
                <w:bCs/>
                <w:sz w:val="20"/>
                <w:szCs w:val="20"/>
              </w:rPr>
            </w:pPr>
            <w:r>
              <w:rPr>
                <w:rFonts w:hint="eastAsia" w:ascii="楷体_GB2312" w:hAnsi="宋体" w:eastAsia="楷体_GB2312" w:cs="宋体"/>
                <w:b/>
                <w:bCs/>
                <w:sz w:val="20"/>
                <w:szCs w:val="20"/>
              </w:rPr>
              <w:t>指标解释</w:t>
            </w:r>
          </w:p>
        </w:tc>
        <w:tc>
          <w:tcPr>
            <w:tcW w:w="73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b/>
                <w:bCs/>
                <w:sz w:val="20"/>
                <w:szCs w:val="20"/>
              </w:rPr>
            </w:pPr>
            <w:r>
              <w:rPr>
                <w:rFonts w:hint="eastAsia" w:ascii="楷体_GB2312" w:hAnsi="宋体" w:eastAsia="楷体_GB2312" w:cs="宋体"/>
                <w:b/>
                <w:bCs/>
                <w:sz w:val="20"/>
                <w:szCs w:val="20"/>
              </w:rPr>
              <w:t>指标说明</w:t>
            </w:r>
          </w:p>
        </w:tc>
      </w:tr>
      <w:tr>
        <w:tblPrEx>
          <w:tblCellMar>
            <w:top w:w="0" w:type="dxa"/>
            <w:left w:w="108" w:type="dxa"/>
            <w:bottom w:w="0" w:type="dxa"/>
            <w:right w:w="108" w:type="dxa"/>
          </w:tblCellMar>
        </w:tblPrEx>
        <w:trPr>
          <w:trHeight w:val="1335" w:hRule="atLeast"/>
        </w:trPr>
        <w:tc>
          <w:tcPr>
            <w:tcW w:w="58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投   入</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目标</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设定</w:t>
            </w: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绩效目标合理性</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部门（单位）所设立的整体绩效目标依据是否充分，是否符合客观实际，用以反映和考核部门（单位）整体绩效目标与部门履职、年度工作任务的相符性情况。</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评价要点：</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①是否符合国家法律法规、国民经济和社会发展总体规划；</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②是否符合部门“三定”方案确定的职责；</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③是否符合部门制定的中长期实施规划。</w:t>
            </w:r>
          </w:p>
        </w:tc>
      </w:tr>
      <w:tr>
        <w:tblPrEx>
          <w:tblCellMar>
            <w:top w:w="0" w:type="dxa"/>
            <w:left w:w="108" w:type="dxa"/>
            <w:bottom w:w="0" w:type="dxa"/>
            <w:right w:w="108" w:type="dxa"/>
          </w:tblCellMar>
        </w:tblPrEx>
        <w:trPr>
          <w:trHeight w:val="148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绩效指标明确性</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部门（单位）依据整体绩效目标所设定的绩效指标是否清晰、细化、可衡量，用以反映和考核部门（单位）整体绩效目标的明细化情况。</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评价要点：</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①是否将部门整体的绩效目标细化分解为具体的工作任务；</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②是否通过清晰、可衡量的指标值予以体现。    ③是否与部门年度的任务数或计划数相对应；</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④是否与本年度部门预算资金相匹配。</w:t>
            </w:r>
          </w:p>
        </w:tc>
      </w:tr>
      <w:tr>
        <w:tblPrEx>
          <w:tblCellMar>
            <w:top w:w="0" w:type="dxa"/>
            <w:left w:w="108" w:type="dxa"/>
            <w:bottom w:w="0" w:type="dxa"/>
            <w:right w:w="108" w:type="dxa"/>
          </w:tblCellMar>
        </w:tblPrEx>
        <w:trPr>
          <w:trHeight w:val="100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预算</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配置</w:t>
            </w: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在职人员控制率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部门（单位）本年度实际在职人员数与编制数的比率，用以反映和考核部门（单位）对人员成本的控制程度。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在职人员控制率=（在职人员数/编制数）×100%。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在职人员数：部门（单位）实际在职人数，以财政部确定的部门决算编制口径为准。</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编制数：机构编制部门核定批复的部门（单位）的人员编制数。</w:t>
            </w:r>
          </w:p>
        </w:tc>
      </w:tr>
      <w:tr>
        <w:tblPrEx>
          <w:tblCellMar>
            <w:top w:w="0" w:type="dxa"/>
            <w:left w:w="108" w:type="dxa"/>
            <w:bottom w:w="0" w:type="dxa"/>
            <w:right w:w="108" w:type="dxa"/>
          </w:tblCellMar>
        </w:tblPrEx>
        <w:trPr>
          <w:trHeight w:val="127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“三公经费”变动率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部门（单位）本年度“三公经费”预算数与上年度“三公经费”预算数的变动比率，用以反映和考核部门（单位）对控制重点行政成本的努力程度。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“三公经费”变动率=[（本年度“三公经费”总额-上年度“三公经费”总额）/上年度“三公经费”总额]×100%。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“三公经费”：年度预算安排的因公出国（境）费、公务车辆购置及运行费和公务招待费。</w:t>
            </w:r>
          </w:p>
        </w:tc>
      </w:tr>
      <w:tr>
        <w:tblPrEx>
          <w:tblCellMar>
            <w:top w:w="0" w:type="dxa"/>
            <w:left w:w="108" w:type="dxa"/>
            <w:bottom w:w="0" w:type="dxa"/>
            <w:right w:w="108" w:type="dxa"/>
          </w:tblCellMar>
        </w:tblPrEx>
        <w:trPr>
          <w:trHeight w:val="160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重点支出安排率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部门（单位）本年度预算安排的重点项目支出与部门项目总支出的比率，用以反映和考核部门（单位）对履行主要职责或完成重点任务的保障程度。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重点支出安排率=（重点项目支出/项目总支出）×100%。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重点项目支出：部门（单位）年度预算安排的，与本部门履职和发展密切相关、具有明显社会和经济影响、党委政府关心或社会比较关注的项目支出总额。</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项目总支出：部门（单位）年度预算安排的项目支出总额。</w:t>
            </w:r>
          </w:p>
        </w:tc>
      </w:tr>
      <w:tr>
        <w:tblPrEx>
          <w:tblCellMar>
            <w:top w:w="0" w:type="dxa"/>
            <w:left w:w="108" w:type="dxa"/>
            <w:bottom w:w="0" w:type="dxa"/>
            <w:right w:w="108" w:type="dxa"/>
          </w:tblCellMar>
        </w:tblPrEx>
        <w:trPr>
          <w:trHeight w:val="1200" w:hRule="atLeast"/>
        </w:trPr>
        <w:tc>
          <w:tcPr>
            <w:tcW w:w="58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过   程</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预算</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执行</w:t>
            </w: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预算完成率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部门（单位）本年度预算完成数与预算数的比率，用以反映和考核部门（单位）预算完成程度。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预算完成率=（预算完成数/预算数）×100%。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预算完成数：部门（单位）本年度实际完成的预算数。</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预算数：财政部门批复的本年度部门（单位）预算数。</w:t>
            </w:r>
          </w:p>
        </w:tc>
      </w:tr>
      <w:tr>
        <w:tblPrEx>
          <w:tblCellMar>
            <w:top w:w="0" w:type="dxa"/>
            <w:left w:w="108" w:type="dxa"/>
            <w:bottom w:w="0" w:type="dxa"/>
            <w:right w:w="108" w:type="dxa"/>
          </w:tblCellMar>
        </w:tblPrEx>
        <w:trPr>
          <w:trHeight w:val="1380"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预算调整率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部门（单位）本年度预算调整数与预算数的比率，用以反映和考核部门（单位）预算的调整程度。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预算调整率=（预算调整数/预算数）×100%。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预算调整数：部门（单位）在本年度内涉及预算的追加、追减或结构调整的资金总和（因落实国家政策、发生不可抗力、上级部门或本级党委政府临时交办而产生的调整除外）。</w:t>
            </w:r>
          </w:p>
        </w:tc>
      </w:tr>
      <w:tr>
        <w:tblPrEx>
          <w:tblCellMar>
            <w:top w:w="0" w:type="dxa"/>
            <w:left w:w="108" w:type="dxa"/>
            <w:bottom w:w="0" w:type="dxa"/>
            <w:right w:w="108" w:type="dxa"/>
          </w:tblCellMar>
        </w:tblPrEx>
        <w:trPr>
          <w:trHeight w:val="190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支付进度率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部门（单位）实际支付进度与既定支付进度的比率，用以反映和考核部门（单位）预算执行的及时性和均衡性程度。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支付进度率=（实际支付进度/既定支付进度）×100%。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实际支付进度：部门（单位）在某一时点的支出预算执行总数与年度支出预算数的比率。</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既定支付进度：由部门（单位）在申报部门整体绩效目标时，参照序时支付进度、前三年支付进度、同级部门平均支付进度水平等确定的，在某一时点应达到的支付进度（比率）。</w:t>
            </w:r>
          </w:p>
        </w:tc>
      </w:tr>
      <w:tr>
        <w:tblPrEx>
          <w:tblCellMar>
            <w:top w:w="0" w:type="dxa"/>
            <w:left w:w="108" w:type="dxa"/>
            <w:bottom w:w="0" w:type="dxa"/>
            <w:right w:w="108" w:type="dxa"/>
          </w:tblCellMar>
        </w:tblPrEx>
        <w:trPr>
          <w:trHeight w:val="1095" w:hRule="atLeast"/>
        </w:trPr>
        <w:tc>
          <w:tcPr>
            <w:tcW w:w="58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过程</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预算执行</w:t>
            </w: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结转结余率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部门（单位）本年度结转结余总额与支出预算数的比率，用以反映和考核部门（单位）对本年度结转结余资金的实际控制程度。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结转结余率=结转结余总额/支出预算数×100%。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结转结余总额：部门（单位）本年度的结转资金与结余资金之和（以决算数为准）。</w:t>
            </w:r>
          </w:p>
        </w:tc>
      </w:tr>
      <w:tr>
        <w:tblPrEx>
          <w:tblCellMar>
            <w:top w:w="0" w:type="dxa"/>
            <w:left w:w="108" w:type="dxa"/>
            <w:bottom w:w="0" w:type="dxa"/>
            <w:right w:w="108" w:type="dxa"/>
          </w:tblCellMar>
        </w:tblPrEx>
        <w:trPr>
          <w:trHeight w:val="115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结转结余变动率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部门（单位）本年度结转结余资金总额与上年度结转结余资金总额的变动比率，用以反映和考核部门（单位）对控制结转结余资金的努力程度。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结转结余变动率=[（本年度累计结转结余资金总额-上年度累计结转结余资金总额）/上年度累计结转结余资金总额]×100%。</w:t>
            </w:r>
          </w:p>
        </w:tc>
      </w:tr>
      <w:tr>
        <w:tblPrEx>
          <w:tblCellMar>
            <w:top w:w="0" w:type="dxa"/>
            <w:left w:w="108" w:type="dxa"/>
            <w:bottom w:w="0" w:type="dxa"/>
            <w:right w:w="108" w:type="dxa"/>
          </w:tblCellMar>
        </w:tblPrEx>
        <w:trPr>
          <w:trHeight w:val="112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公用经费控制率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部门（单位）本年度实际支出的公用经费总额与预算安排的公用经费总额的比率，用以反映和考核部门（单位）对机构运转成本的实际控制程度。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公用经费控制率=（实际支出公用经费总额/预算安排公用经费总额）×100%。</w:t>
            </w:r>
          </w:p>
        </w:tc>
      </w:tr>
      <w:tr>
        <w:tblPrEx>
          <w:tblCellMar>
            <w:top w:w="0" w:type="dxa"/>
            <w:left w:w="108" w:type="dxa"/>
            <w:bottom w:w="0" w:type="dxa"/>
            <w:right w:w="108" w:type="dxa"/>
          </w:tblCellMar>
        </w:tblPrEx>
        <w:trPr>
          <w:trHeight w:val="130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“三公经费”控制率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部门（单位）本年度“三公经费”实际支出数与预算安排数的比率，用以反映和考核部门（单位）对“三公经费”的实际控制程度。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“三公经费”控制率=（“三公经费”实际支出数/“三公经费”预算安排数）×100%。</w:t>
            </w:r>
          </w:p>
        </w:tc>
      </w:tr>
      <w:tr>
        <w:tblPrEx>
          <w:tblCellMar>
            <w:top w:w="0" w:type="dxa"/>
            <w:left w:w="108" w:type="dxa"/>
            <w:bottom w:w="0" w:type="dxa"/>
            <w:right w:w="108" w:type="dxa"/>
          </w:tblCellMar>
        </w:tblPrEx>
        <w:trPr>
          <w:trHeight w:val="1680"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政府采购执行率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部门（单位）本年度实际政府采购金额与年初政府采购预算的比率，用以反映和考核部门（单位）政府采购预算执行情况。</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政府采购执行率=（实际政府采购金额/政府采购预算数）×100%；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 xml:space="preserve">政府采购预算：采购机关根据事业发展计划和行政任务编制的、并经过规定程序批准的年度政府采购计划。 </w:t>
            </w:r>
          </w:p>
        </w:tc>
      </w:tr>
      <w:tr>
        <w:tblPrEx>
          <w:tblCellMar>
            <w:top w:w="0" w:type="dxa"/>
            <w:left w:w="108" w:type="dxa"/>
            <w:bottom w:w="0" w:type="dxa"/>
            <w:right w:w="108" w:type="dxa"/>
          </w:tblCellMar>
        </w:tblPrEx>
        <w:trPr>
          <w:trHeight w:val="1500"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预算</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管理</w:t>
            </w: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管理制度健全性</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部门（单位）为加强预算管理、规范财务行为而制定的管理制度是否健全完整，用以反映和考核部门（单位）预算管理制度对完成主要职责或促进事业发展的保障情况。</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评价要点：</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①是否已制定或具有预算资金管理办法、内部财务管理制度、会计核算制度等管理制度；</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②相关管理制度是否合法、合规、完整；</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③相关管理制度是否得到有效执行。</w:t>
            </w:r>
          </w:p>
        </w:tc>
      </w:tr>
      <w:tr>
        <w:tblPrEx>
          <w:tblCellMar>
            <w:top w:w="0" w:type="dxa"/>
            <w:left w:w="108" w:type="dxa"/>
            <w:bottom w:w="0" w:type="dxa"/>
            <w:right w:w="108" w:type="dxa"/>
          </w:tblCellMar>
        </w:tblPrEx>
        <w:trPr>
          <w:trHeight w:val="226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资金使用合规性</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部门（单位）使用预算资金是否符合相关的预算财务管理制度的规定，用以反映和考核部门（单位）预算资金的规范运行情况。</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评价要点：</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①是否符合国家财经法规和财务管理制度规定以及有关专项资金管理办法的规定；</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②资金的拨付是否有完整的审批程序和手续；</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③项目的重大开支是否经过评估论证；</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④是否符合部门预算批复的用途；</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⑤是否存在截留、挤占、挪用、虚列支出等情况。</w:t>
            </w:r>
          </w:p>
        </w:tc>
      </w:tr>
      <w:tr>
        <w:tblPrEx>
          <w:tblCellMar>
            <w:top w:w="0" w:type="dxa"/>
            <w:left w:w="108" w:type="dxa"/>
            <w:bottom w:w="0" w:type="dxa"/>
            <w:right w:w="108" w:type="dxa"/>
          </w:tblCellMar>
        </w:tblPrEx>
        <w:trPr>
          <w:trHeight w:val="2220"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预决算信息公开性</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部门（单位）是否按照政府信息公开有关规定公开相关预决算信息，用以反映和考核部门（单位）预决算管理的公开透明情况。</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评价要点：</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①是否按规定内容公开预决算信息；</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②是否按规定时限公开预决算信息。</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预决算信息是指与部门预算、执行、决算、监督、绩效等管理相关的信息。</w:t>
            </w:r>
          </w:p>
        </w:tc>
      </w:tr>
      <w:tr>
        <w:tblPrEx>
          <w:tblCellMar>
            <w:top w:w="0" w:type="dxa"/>
            <w:left w:w="108" w:type="dxa"/>
            <w:bottom w:w="0" w:type="dxa"/>
            <w:right w:w="108" w:type="dxa"/>
          </w:tblCellMar>
        </w:tblPrEx>
        <w:trPr>
          <w:trHeight w:val="169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基础信息完善性</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部门（单位）基础信息是否完善，用以反映和考核基础信息对预算管理工作的支撑情况。</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评价要点：</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①基础数据信息和会计信息资料是否真实；</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②基础数据信息和会计信息资料是否完整；</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③基础数据信息和会计信息资料是否准确。</w:t>
            </w:r>
          </w:p>
        </w:tc>
      </w:tr>
      <w:tr>
        <w:tblPrEx>
          <w:tblCellMar>
            <w:top w:w="0" w:type="dxa"/>
            <w:left w:w="108" w:type="dxa"/>
            <w:bottom w:w="0" w:type="dxa"/>
            <w:right w:w="108" w:type="dxa"/>
          </w:tblCellMar>
        </w:tblPrEx>
        <w:trPr>
          <w:trHeight w:val="1290" w:hRule="atLeast"/>
        </w:trPr>
        <w:tc>
          <w:tcPr>
            <w:tcW w:w="58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过   程</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资产</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管理</w:t>
            </w: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管理制度健全性</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部门（单位）为加强资产管理、规范资产管理行为而制定的管理制度是否健全完整，用以反映和考核部门（单位）资产管理制度对完成主要职责或促进社会发展的保障情况。</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评价要点：</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①是否已制定或具有资产管理制度；           ②相关资金管理制度是否合法、合规、完整；</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③相关资产管理制度是否得到有效执行。</w:t>
            </w:r>
          </w:p>
        </w:tc>
      </w:tr>
      <w:tr>
        <w:tblPrEx>
          <w:tblCellMar>
            <w:top w:w="0" w:type="dxa"/>
            <w:left w:w="108" w:type="dxa"/>
            <w:bottom w:w="0" w:type="dxa"/>
            <w:right w:w="108" w:type="dxa"/>
          </w:tblCellMar>
        </w:tblPrEx>
        <w:trPr>
          <w:trHeight w:val="1440"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资产管理安全性</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部门（单位）的资产是否保存完整、使用合规、配置合理、处置规范、收入及时足额上缴，用以反映和考核部门（单位）资产安全运行情况。</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评价要点：</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①资产保存是否完整；</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②资产配置是否合理；</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③资产处置是否规范；</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④资产账务管理是否合规，是否帐实相符；</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⑤资产是否有偿使用及处置收入及时足额上缴。</w:t>
            </w:r>
          </w:p>
        </w:tc>
      </w:tr>
      <w:tr>
        <w:tblPrEx>
          <w:tblCellMar>
            <w:top w:w="0" w:type="dxa"/>
            <w:left w:w="108" w:type="dxa"/>
            <w:bottom w:w="0" w:type="dxa"/>
            <w:right w:w="108" w:type="dxa"/>
          </w:tblCellMar>
        </w:tblPrEx>
        <w:trPr>
          <w:trHeight w:val="840"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固定资产利用率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部门（单位）实际在用固定资产总额与所有固定资产总额的比率，用以反映和考核部门（单位）固定资产使用效率程度。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固定资产利用率=（实际在用固定资产总额/所有固定资产总额）×100%。</w:t>
            </w:r>
          </w:p>
        </w:tc>
      </w:tr>
      <w:tr>
        <w:tblPrEx>
          <w:tblCellMar>
            <w:top w:w="0" w:type="dxa"/>
            <w:left w:w="108" w:type="dxa"/>
            <w:bottom w:w="0" w:type="dxa"/>
            <w:right w:w="108" w:type="dxa"/>
          </w:tblCellMar>
        </w:tblPrEx>
        <w:trPr>
          <w:trHeight w:val="2025" w:hRule="atLeast"/>
        </w:trPr>
        <w:tc>
          <w:tcPr>
            <w:tcW w:w="58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产   出</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职责</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履行</w:t>
            </w: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实际完成率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部门（单位）履行职责而实际完成工作数与计划工作数的比率，用以反映和考核部门（单位）履职工作任务目标的实现程度。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实际完成率=（实际完成工作数/计划工作数）×100%。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实际完成工作数：一定时期（年度或规划期）内部门（单位）实际完成工作任务的数量。</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计划工作数：部门（单位）整体绩效目标确定的一定时期（年度或规划期）内预计完成工作任务的数量。</w:t>
            </w:r>
          </w:p>
        </w:tc>
      </w:tr>
      <w:tr>
        <w:tblPrEx>
          <w:tblCellMar>
            <w:top w:w="0" w:type="dxa"/>
            <w:left w:w="108" w:type="dxa"/>
            <w:bottom w:w="0" w:type="dxa"/>
            <w:right w:w="108" w:type="dxa"/>
          </w:tblCellMar>
        </w:tblPrEx>
        <w:trPr>
          <w:trHeight w:val="163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完成及时率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部门（单位）在规定时限内及时完成的实际工作数与计划工作数的比率,用以反映和考核部门履职时效目标的实现程度。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完成及时率=（及时完成实际工作数/计划工作数）×100%。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及时完成实际工作数：部门（单位）按照整体绩效目标确定的时限实际完成的工作任务数量。</w:t>
            </w:r>
          </w:p>
        </w:tc>
      </w:tr>
      <w:tr>
        <w:tblPrEx>
          <w:tblCellMar>
            <w:top w:w="0" w:type="dxa"/>
            <w:left w:w="108" w:type="dxa"/>
            <w:bottom w:w="0" w:type="dxa"/>
            <w:right w:w="108" w:type="dxa"/>
          </w:tblCellMar>
        </w:tblPrEx>
        <w:trPr>
          <w:trHeight w:val="127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质量达标率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达到质量标准（绩效标准值）的实际工作数与计划工作数的比率,用以反映和考核部门履职质量目标的实现程度。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质量达标率=（质量达标实际工作数/计划工作数）×100%。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质量达标实际工作数：一定时期（年度或规划期）内部门（单位）实际完成工作数中达到部门绩效目标要求（绩效标准值）的工作任务数量。</w:t>
            </w:r>
          </w:p>
        </w:tc>
      </w:tr>
      <w:tr>
        <w:tblPrEx>
          <w:tblCellMar>
            <w:top w:w="0" w:type="dxa"/>
            <w:left w:w="108" w:type="dxa"/>
            <w:bottom w:w="0" w:type="dxa"/>
            <w:right w:w="108" w:type="dxa"/>
          </w:tblCellMar>
        </w:tblPrEx>
        <w:trPr>
          <w:trHeight w:val="115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重点工作办结率</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部门（单位）年度重点工作实际完成数与交办或下达数的比率，用以反映部门（单位）对重点工作的办理落实程度。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重点工作办结率=（重点工作实际完成数/交办或下达数）×100%。</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重点工作是指党委、政府、人大、相关部门交办或下达的工作任务。</w:t>
            </w:r>
          </w:p>
        </w:tc>
      </w:tr>
      <w:tr>
        <w:tblPrEx>
          <w:tblCellMar>
            <w:top w:w="0" w:type="dxa"/>
            <w:left w:w="108" w:type="dxa"/>
            <w:bottom w:w="0" w:type="dxa"/>
            <w:right w:w="108" w:type="dxa"/>
          </w:tblCellMar>
        </w:tblPrEx>
        <w:trPr>
          <w:trHeight w:val="735" w:hRule="atLeast"/>
        </w:trPr>
        <w:tc>
          <w:tcPr>
            <w:tcW w:w="58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效   果</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楷体_GB2312" w:hAnsi="宋体" w:eastAsia="楷体_GB2312" w:cs="宋体"/>
                <w:sz w:val="20"/>
                <w:szCs w:val="20"/>
              </w:rPr>
            </w:pPr>
            <w:r>
              <w:rPr>
                <w:rFonts w:hint="eastAsia" w:ascii="楷体_GB2312" w:hAnsi="宋体" w:eastAsia="楷体_GB2312" w:cs="宋体"/>
                <w:sz w:val="20"/>
                <w:szCs w:val="20"/>
              </w:rPr>
              <w:t>履职</w:t>
            </w:r>
            <w:r>
              <w:rPr>
                <w:rFonts w:hint="eastAsia" w:ascii="楷体_GB2312" w:hAnsi="宋体" w:eastAsia="楷体_GB2312" w:cs="宋体"/>
                <w:sz w:val="20"/>
                <w:szCs w:val="20"/>
              </w:rPr>
              <w:br w:type="textWrapping"/>
            </w:r>
            <w:r>
              <w:rPr>
                <w:rFonts w:hint="eastAsia" w:ascii="楷体_GB2312" w:hAnsi="宋体" w:eastAsia="楷体_GB2312" w:cs="宋体"/>
                <w:sz w:val="20"/>
                <w:szCs w:val="20"/>
              </w:rPr>
              <w:t>效益</w:t>
            </w: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经济效益</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部门（单位）履行职责对经济发展所带来的直接或间接影响。</w:t>
            </w:r>
          </w:p>
        </w:tc>
        <w:tc>
          <w:tcPr>
            <w:tcW w:w="73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此三项指标为设置部门整体支出绩效评价指标时必须考虑的共性要素，可根据部门实际并结合部门整体支出绩效目标设立情况有选择的进行设置，并将其细化为相应的个性化指标。</w:t>
            </w:r>
          </w:p>
        </w:tc>
      </w:tr>
      <w:tr>
        <w:tblPrEx>
          <w:tblCellMar>
            <w:top w:w="0" w:type="dxa"/>
            <w:left w:w="108" w:type="dxa"/>
            <w:bottom w:w="0" w:type="dxa"/>
            <w:right w:w="108" w:type="dxa"/>
          </w:tblCellMar>
        </w:tblPrEx>
        <w:trPr>
          <w:trHeight w:val="73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社会效益</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部门（单位）履行职责对社会发展所带来的直接或间接影响。</w:t>
            </w:r>
          </w:p>
        </w:tc>
        <w:tc>
          <w:tcPr>
            <w:tcW w:w="73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r>
      <w:tr>
        <w:tblPrEx>
          <w:tblCellMar>
            <w:top w:w="0" w:type="dxa"/>
            <w:left w:w="108" w:type="dxa"/>
            <w:bottom w:w="0" w:type="dxa"/>
            <w:right w:w="108" w:type="dxa"/>
          </w:tblCellMar>
        </w:tblPrEx>
        <w:trPr>
          <w:trHeight w:val="735"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生态效益</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部门（单位）履行职责对生态环境所带来的直接或间接影响。</w:t>
            </w:r>
          </w:p>
        </w:tc>
        <w:tc>
          <w:tcPr>
            <w:tcW w:w="73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r>
      <w:tr>
        <w:tblPrEx>
          <w:tblCellMar>
            <w:top w:w="0" w:type="dxa"/>
            <w:left w:w="108" w:type="dxa"/>
            <w:bottom w:w="0" w:type="dxa"/>
            <w:right w:w="108" w:type="dxa"/>
          </w:tblCellMar>
        </w:tblPrEx>
        <w:trPr>
          <w:trHeight w:val="942" w:hRule="atLeast"/>
        </w:trPr>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楷体_GB2312" w:hAnsi="宋体" w:eastAsia="楷体_GB2312" w:cs="宋体"/>
                <w:sz w:val="20"/>
                <w:szCs w:val="20"/>
              </w:rPr>
            </w:pPr>
          </w:p>
        </w:tc>
        <w:tc>
          <w:tcPr>
            <w:tcW w:w="196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社会公众或服务对象满意度</w:t>
            </w:r>
          </w:p>
        </w:tc>
        <w:tc>
          <w:tcPr>
            <w:tcW w:w="462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社会公众或部门（单位）的服务对象对部门履职效果的满意程度。</w:t>
            </w:r>
          </w:p>
        </w:tc>
        <w:tc>
          <w:tcPr>
            <w:tcW w:w="7380" w:type="dxa"/>
            <w:tcBorders>
              <w:top w:val="nil"/>
              <w:left w:val="nil"/>
              <w:bottom w:val="single" w:color="auto" w:sz="4" w:space="0"/>
              <w:right w:val="single" w:color="auto" w:sz="4" w:space="0"/>
            </w:tcBorders>
            <w:shd w:val="clear" w:color="auto" w:fill="auto"/>
            <w:vAlign w:val="center"/>
          </w:tcPr>
          <w:p>
            <w:pPr>
              <w:adjustRightInd/>
              <w:snapToGrid/>
              <w:spacing w:after="0"/>
              <w:rPr>
                <w:rFonts w:ascii="楷体_GB2312" w:hAnsi="宋体" w:eastAsia="楷体_GB2312" w:cs="宋体"/>
                <w:sz w:val="20"/>
                <w:szCs w:val="20"/>
              </w:rPr>
            </w:pPr>
            <w:r>
              <w:rPr>
                <w:rFonts w:hint="eastAsia" w:ascii="楷体_GB2312" w:hAnsi="宋体" w:eastAsia="楷体_GB2312" w:cs="宋体"/>
                <w:sz w:val="20"/>
                <w:szCs w:val="20"/>
              </w:rPr>
              <w:t>社会公众或服务对象是指部门（单位）履行职责而影响到的部门、群体或个人。一般采取社会调查的方式。</w:t>
            </w:r>
          </w:p>
        </w:tc>
      </w:tr>
    </w:tbl>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w:t>
      </w:r>
      <w:r>
        <w:rPr>
          <w:rFonts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w:t>
      </w:r>
    </w:p>
    <w:bookmarkEnd w:id="77"/>
    <w:p>
      <w:pPr>
        <w:spacing w:after="0" w:line="540" w:lineRule="exact"/>
        <w:jc w:val="center"/>
        <w:textAlignment w:val="baseline"/>
        <w:rPr>
          <w:rFonts w:ascii="仿宋_GB2312" w:eastAsia="仿宋_GB2312" w:cs="Times New Roman" w:hAnsiTheme="minorEastAsia"/>
          <w:b/>
          <w:sz w:val="36"/>
          <w:szCs w:val="36"/>
          <w:u w:color="000000"/>
        </w:rPr>
      </w:pPr>
      <w:r>
        <w:rPr>
          <w:rFonts w:ascii="仿宋_GB2312" w:eastAsia="仿宋_GB2312" w:cs="Times New Roman" w:hAnsiTheme="minorEastAsia"/>
          <w:b/>
          <w:sz w:val="36"/>
          <w:szCs w:val="36"/>
          <w:u w:color="000000"/>
        </w:rPr>
        <w:t>2022</w:t>
      </w:r>
      <w:r>
        <w:rPr>
          <w:rFonts w:hint="eastAsia" w:ascii="仿宋_GB2312" w:eastAsia="仿宋_GB2312" w:cs="Times New Roman" w:hAnsiTheme="minorEastAsia"/>
          <w:b/>
          <w:sz w:val="36"/>
          <w:szCs w:val="36"/>
          <w:u w:color="000000"/>
        </w:rPr>
        <w:t>年</w:t>
      </w:r>
      <w:r>
        <w:rPr>
          <w:rFonts w:hint="eastAsia" w:ascii="仿宋_GB2312" w:eastAsia="仿宋_GB2312" w:cs="DengXian-Regular"/>
          <w:b/>
          <w:sz w:val="36"/>
          <w:szCs w:val="36"/>
        </w:rPr>
        <w:t>保定市徐水区交通运输局</w:t>
      </w:r>
      <w:r>
        <w:rPr>
          <w:rFonts w:hint="eastAsia" w:ascii="仿宋_GB2312" w:eastAsia="仿宋_GB2312" w:cs="Times New Roman" w:hAnsiTheme="minorEastAsia"/>
          <w:b/>
          <w:sz w:val="36"/>
          <w:szCs w:val="36"/>
          <w:u w:color="000000"/>
        </w:rPr>
        <w:t>工作活动绩效目标、绩效指标一览表</w:t>
      </w:r>
    </w:p>
    <w:p>
      <w:pPr>
        <w:spacing w:after="0" w:line="540" w:lineRule="exact"/>
        <w:jc w:val="center"/>
        <w:textAlignment w:val="baseline"/>
        <w:rPr>
          <w:rFonts w:ascii="仿宋_GB2312" w:eastAsia="仿宋_GB2312" w:cs="Times New Roman" w:hAnsiTheme="minorEastAsia"/>
          <w:b/>
          <w:sz w:val="32"/>
          <w:szCs w:val="32"/>
          <w:u w:color="000000"/>
        </w:rPr>
      </w:pPr>
    </w:p>
    <w:tbl>
      <w:tblPr>
        <w:tblStyle w:val="2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348</w:t>
            </w:r>
            <w:r>
              <w:rPr>
                <w:rFonts w:hint="eastAsia" w:ascii="方正小标宋_GBK" w:eastAsia="方正小标宋_GBK"/>
                <w:sz w:val="24"/>
              </w:rPr>
              <w:t>保定市徐水区交通运输局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outlineLvl w:val="0"/>
            </w:pPr>
          </w:p>
        </w:tc>
        <w:tc>
          <w:tcPr>
            <w:tcW w:w="1276" w:type="dxa"/>
            <w:vMerge w:val="continue"/>
            <w:shd w:val="clear" w:color="auto" w:fill="auto"/>
            <w:vAlign w:val="center"/>
          </w:tcPr>
          <w:p>
            <w:pPr>
              <w:spacing w:line="300" w:lineRule="exact"/>
              <w:outlineLvl w:val="0"/>
            </w:pPr>
          </w:p>
        </w:tc>
        <w:tc>
          <w:tcPr>
            <w:tcW w:w="2976" w:type="dxa"/>
            <w:vMerge w:val="continue"/>
            <w:shd w:val="clear" w:color="auto" w:fill="auto"/>
            <w:vAlign w:val="center"/>
          </w:tcPr>
          <w:p>
            <w:pPr>
              <w:spacing w:line="300" w:lineRule="exact"/>
              <w:outlineLvl w:val="0"/>
            </w:pPr>
          </w:p>
        </w:tc>
        <w:tc>
          <w:tcPr>
            <w:tcW w:w="2976" w:type="dxa"/>
            <w:vMerge w:val="continue"/>
            <w:shd w:val="clear" w:color="auto" w:fill="auto"/>
            <w:vAlign w:val="center"/>
          </w:tcPr>
          <w:p>
            <w:pPr>
              <w:spacing w:line="300" w:lineRule="exact"/>
              <w:outlineLvl w:val="0"/>
            </w:pPr>
          </w:p>
        </w:tc>
        <w:tc>
          <w:tcPr>
            <w:tcW w:w="1417" w:type="dxa"/>
            <w:vMerge w:val="continue"/>
            <w:shd w:val="clear" w:color="auto" w:fill="auto"/>
            <w:vAlign w:val="center"/>
          </w:tcPr>
          <w:p>
            <w:pPr>
              <w:spacing w:line="300" w:lineRule="exac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一、交通运输基础设施建设</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4000</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提出全区交通运输行业固定资产投资规模和方向</w:t>
            </w:r>
            <w:r>
              <w:rPr>
                <w:rFonts w:ascii="方正书宋_GBK" w:eastAsia="方正书宋_GBK"/>
              </w:rPr>
              <w:t>,</w:t>
            </w:r>
            <w:r>
              <w:rPr>
                <w:rFonts w:hint="eastAsia" w:ascii="方正书宋_GBK" w:eastAsia="方正书宋_GBK"/>
              </w:rPr>
              <w:t>按区政府规定权限审批、核准区规划内和年度计划规模内的固定资产投资项目，完成交通基础设施投资；对重点工程建设、工程质量和安全生产进行监管，对招投标活动进行监督管理。</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按计划完成修建农村公路项目、汽车客运站项目、物流园区</w:t>
            </w:r>
            <w:r>
              <w:rPr>
                <w:rFonts w:ascii="方正书宋_GBK" w:eastAsia="方正书宋_GBK"/>
              </w:rPr>
              <w:t>(</w:t>
            </w:r>
            <w:r>
              <w:rPr>
                <w:rFonts w:hint="eastAsia" w:ascii="方正书宋_GBK" w:eastAsia="方正书宋_GBK"/>
              </w:rPr>
              <w:t>中心</w:t>
            </w:r>
            <w:r>
              <w:rPr>
                <w:rFonts w:ascii="方正书宋_GBK" w:eastAsia="方正书宋_GBK"/>
              </w:rPr>
              <w:t>)</w:t>
            </w:r>
            <w:r>
              <w:rPr>
                <w:rFonts w:hint="eastAsia" w:ascii="方正书宋_GBK" w:eastAsia="方正书宋_GBK"/>
              </w:rPr>
              <w:t>项目、农村客运站点、简易站、候车亭、招呼站牌任务，保障交通基础设施建设项目质量，做好国家重点工程地方协调工作。</w:t>
            </w:r>
          </w:p>
        </w:tc>
        <w:tc>
          <w:tcPr>
            <w:tcW w:w="1417" w:type="dxa"/>
            <w:shd w:val="clear" w:color="auto" w:fill="auto"/>
            <w:vAlign w:val="center"/>
          </w:tcPr>
          <w:p>
            <w:pPr>
              <w:spacing w:line="300" w:lineRule="exac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、普通干线公路建设</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按照上级补助资金额度，组织实施各项普通干线公路建设，完成投资任务。</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完成上级交通主管部门普通干线公路建设项目计划</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社会公众或服务对象对项目实施效果的满意率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年度普通干线公路建设项目工程质量合格率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年度普通干线公路建设项目投资完成率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、农村公路建设</w:t>
            </w:r>
          </w:p>
        </w:tc>
        <w:tc>
          <w:tcPr>
            <w:tcW w:w="12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4000</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按照上级补助资金额度，组织实施农村公路建设，完成投资任务。</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完成上级交通主管部门及区政府农村公路建设项目计划</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年度农村公路建设项目工程质量合格率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年度农村公路建设工程量完成率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年度农村公路建设投资完成率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、公路客运站（场）及城乡客运基础设施建设</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组织实施汽车客运站场新改（扩）建工程（含综合客货运枢纽、等级客运站、简易站、候车亭、招呼牌等）建设。</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按计划完成农村客运站点、四级站、五级站、简易站、候车亭、招呼站牌建设任务。</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客运站覆盖率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年度客货运场站建设工程量完成率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年度客货运场站建设投资完成率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、交通基础设施建设的协调、监督和管理</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监管全区公路、水路、地方铁路建设市场，对公路、水路、地方铁路等有关重点工程建设、工程质量和安全生产及行业招投标活动进行监督和管理，做好建设过程中的协调管理工作。</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交通基础设施建设市场运转有序，各项业务顺利开展，工作任务按时完成。</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社会公众或服务对象对项目实施效果的满意率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交通基础设施建设重点项目监督检查率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、交通配套设施建设</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其他与区级建设任务紧密相关的交通基础设施建设。</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其他各项业务顺利开展，工作任务按时完成。</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交通配套设施建设投资完成率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年度交通配套设施项目工程质量合格率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社会公众或服务对象对项目实施效果的满意程度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二、交通运输基础设施养护、维护</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400.00</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组织交通运输基础设施养护、维护，对招投标活动进行监督管理。</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按计划完成农村公路日常养护、路基路面大中修、加固桥梁、治理农村公路隐患；提升农村公路日常养护作业效率；对农村公路养护实施</w:t>
            </w:r>
            <w:r>
              <w:rPr>
                <w:rFonts w:hint="cs" w:ascii="方正书宋_GBK" w:eastAsia="方正书宋_GBK"/>
              </w:rPr>
              <w:t>“</w:t>
            </w:r>
            <w:r>
              <w:rPr>
                <w:rFonts w:hint="eastAsia" w:ascii="方正书宋_GBK" w:eastAsia="方正书宋_GBK"/>
              </w:rPr>
              <w:t>以奖代补</w:t>
            </w:r>
            <w:r>
              <w:rPr>
                <w:rFonts w:hint="cs" w:ascii="方正书宋_GBK" w:eastAsia="方正书宋_GBK"/>
              </w:rPr>
              <w:t>”</w:t>
            </w:r>
            <w:r>
              <w:rPr>
                <w:rFonts w:hint="eastAsia" w:ascii="方正书宋_GBK" w:eastAsia="方正书宋_GBK"/>
              </w:rPr>
              <w:t>；完善更新公路建设管理养护基础数据。</w:t>
            </w:r>
          </w:p>
        </w:tc>
        <w:tc>
          <w:tcPr>
            <w:tcW w:w="1417" w:type="dxa"/>
            <w:shd w:val="clear" w:color="auto" w:fill="auto"/>
            <w:vAlign w:val="center"/>
          </w:tcPr>
          <w:p>
            <w:pPr>
              <w:spacing w:line="300" w:lineRule="exac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、农村公路养护以奖代补</w:t>
            </w:r>
          </w:p>
        </w:tc>
        <w:tc>
          <w:tcPr>
            <w:tcW w:w="1276" w:type="dxa"/>
            <w:vMerge w:val="restart"/>
            <w:shd w:val="clear" w:color="auto" w:fill="auto"/>
            <w:vAlign w:val="center"/>
          </w:tcPr>
          <w:p>
            <w:pPr>
              <w:spacing w:line="300" w:lineRule="exact"/>
              <w:rPr>
                <w:rFonts w:ascii="方正书宋_GBK" w:eastAsia="方正书宋_GBK"/>
              </w:rPr>
            </w:pPr>
            <w:r>
              <w:rPr>
                <w:rFonts w:ascii="方正书宋_GBK" w:eastAsia="方正书宋_GBK"/>
              </w:rPr>
              <w:t>400.00</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使用上级以奖代补资金对农村公路保养与维护进行资金补助，加强农村公路养护。</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恢复、提升农村公路原有基数指标，维护、完善交通工程、安全设施、服务管理等附属设施，保持良好的技术状况。</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年度农村公路养护工程质量合格率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路面完好率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年度农村公路养护投资完成率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年度农村公路养护工程量完成率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、水运工程维护</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航道、航标等水上设施维护。</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维护沿海航道、航标，恢复、提升原有技术标准和使用功能，保持良好的技术状况和服务能力。</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航道、航标运行正常率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航道、航标合格率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航道维护率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航道、航标巡查率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、公路建设管理养护基础数据采集</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通过公路各项指标数据采集及桥梁隧道检测、交通量调查等方式，适时采集相关数据并及时更新；管理维护设备及数据采集信息系统。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公路基础信息数据使用率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社会公众或服务对象对项目实施效果的满意程度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、公路、水运工程养护监督和管理</w:t>
            </w:r>
          </w:p>
        </w:tc>
        <w:tc>
          <w:tcPr>
            <w:tcW w:w="1276" w:type="dxa"/>
            <w:shd w:val="clear" w:color="auto" w:fill="auto"/>
            <w:vAlign w:val="center"/>
          </w:tcPr>
          <w:p>
            <w:pPr>
              <w:spacing w:line="300" w:lineRule="exact"/>
              <w:rPr>
                <w:rFonts w:ascii="方正书宋_GBK" w:eastAsia="方正书宋_GBK"/>
              </w:rPr>
            </w:pP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各项业务顺利开展，按时完成工作。</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项目质量合格率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、交通配套设施养护</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其他与区级建设任务紧密相关的交通基础设施建设养护。</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恢复、提升公路、水路原有技术标准，维护、完善附属设施，保持良好的技术状况，保障通行能力和服务水平，资金使用合规。</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设施（设备）运行正常率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项目质量合格率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开展交通配套设施养护工程数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三、交通运输管理</w:t>
            </w:r>
          </w:p>
        </w:tc>
        <w:tc>
          <w:tcPr>
            <w:tcW w:w="1276" w:type="dxa"/>
            <w:shd w:val="clear" w:color="auto" w:fill="auto"/>
            <w:vAlign w:val="center"/>
          </w:tcPr>
          <w:p>
            <w:pPr>
              <w:spacing w:line="300" w:lineRule="exact"/>
              <w:rPr>
                <w:rFonts w:ascii="方正书宋_GBK" w:eastAsia="方正书宋_GBK"/>
              </w:rPr>
            </w:pP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对全区公路及其设施的建设和养护进行管理；对全区交通运输市场进行监管，指导城乡客运及有关设施规划和管理，指导出租汽车行业管理。</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保障道路通畅，完成运输生产任务，确保安全生产，提高服务保障水平，交通运输统计、调查业务顺利开展。</w:t>
            </w:r>
          </w:p>
        </w:tc>
        <w:tc>
          <w:tcPr>
            <w:tcW w:w="1417" w:type="dxa"/>
            <w:shd w:val="clear" w:color="auto" w:fill="auto"/>
            <w:vAlign w:val="center"/>
          </w:tcPr>
          <w:p>
            <w:pPr>
              <w:spacing w:line="300" w:lineRule="exac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、公路管理</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对公路建设、养护、运营及路政、治理超限超载进行管理。依法行使公路方面行政处罚权，对公路超限治理进行监督管理。</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提高公路运行能力，缓解繁忙路段交通压力；维护路产路权，治理超限运输，保障通行能力，提高服务水平</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行政处罚事项完成率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超限超载率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、道路运输管理</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对全区道路旅客运输、农村客运公交化改造、货运业发展转型升级、从业人员、道路运输相关业务进行行业管理、市场监管及安全检查，依法行使道路运输行政许可、行政处罚强制权，监督检查有关道路运输法律法规的执行情况，对全区货运源头治超工作进行监督检查。</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提高全区道路旅客运输、货物运输、从业人员、道路运输相关业务行业管理、市场监管及安全检查服务水平。</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营业性客货运周转量目标完成率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超限超载率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公众满意度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、城市客运管理</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对全区城市客运（含公共汽电车、轨道交通、出租汽车、汽车租赁）进行行业管理。</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城市客运管理业务顺利开展，按时完成工作。并保障行业安全稳与稳定。</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安全生产维稳控制目标是否实现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实现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乘客满意率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、交通运输统计及调查</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组织业务培训，统计、分析、评估、价格监测，发布相关信息。</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交通运输统计、调查业务顺利开展，按时完成工作，数据科学准确。</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年度统计工作完成率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统计数据发布率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社会公众或服务对象对项目实施效果的满意程度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四、交通政务管理</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1.5</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负责交通运输综合交通运输体系建设，综合业务管理和综合事物管理。</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各项业务工作畅通，机关正常高效运转，应急事项处理及时。</w:t>
            </w:r>
          </w:p>
        </w:tc>
        <w:tc>
          <w:tcPr>
            <w:tcW w:w="1417" w:type="dxa"/>
            <w:shd w:val="clear" w:color="auto" w:fill="auto"/>
            <w:vAlign w:val="center"/>
          </w:tcPr>
          <w:p>
            <w:pPr>
              <w:spacing w:line="300" w:lineRule="exac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rPr>
                <w:rFonts w:ascii="方正书宋_GBK" w:eastAsia="方正书宋_GBK"/>
              </w:rPr>
            </w:pP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调研提出规划和建议，工作部署、协调推动、普查统计、督促指导、行政审批、业务监管及区委、政府交办的其他事项等行政管理事项。</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加强管理，圆满满完成区委、区政府交办任务</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1.5</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加强机关事务性管理，开展机关自身能力建设。</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加强机关事务性管理，提高机关自身工作能力。</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540" w:lineRule="exact"/>
        <w:ind w:firstLine="480" w:firstLineChars="200"/>
        <w:jc w:val="both"/>
        <w:textAlignment w:val="baseline"/>
        <w:rPr>
          <w:rFonts w:ascii="仿宋_GB2312" w:eastAsia="仿宋_GB2312" w:cs="Times New Roman" w:hAnsiTheme="minorEastAsia"/>
          <w:sz w:val="32"/>
          <w:szCs w:val="32"/>
          <w:u w:color="000000"/>
        </w:rPr>
      </w:pP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pgSz w:w="16838" w:h="11906" w:orient="landscape"/>
      <w:pgMar w:top="1797" w:right="1440" w:bottom="1797" w:left="1191"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w:t>
    </w:r>
    <w:r>
      <w:rPr>
        <w:lang w:val="zh-CN"/>
      </w:rPr>
      <w:fldChar w:fldCharType="end"/>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ZTllY2NlNWM3MGJhYTRjOGRhZjY4Y2FiZWQwYmQ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55D58"/>
    <w:rsid w:val="00061096"/>
    <w:rsid w:val="000612A2"/>
    <w:rsid w:val="00063117"/>
    <w:rsid w:val="000635B3"/>
    <w:rsid w:val="00072BF5"/>
    <w:rsid w:val="000733B4"/>
    <w:rsid w:val="000752C6"/>
    <w:rsid w:val="00075B78"/>
    <w:rsid w:val="00077648"/>
    <w:rsid w:val="00080E48"/>
    <w:rsid w:val="00082B59"/>
    <w:rsid w:val="00091D50"/>
    <w:rsid w:val="000935D5"/>
    <w:rsid w:val="0009618D"/>
    <w:rsid w:val="00096195"/>
    <w:rsid w:val="0009756F"/>
    <w:rsid w:val="000A1F67"/>
    <w:rsid w:val="000A2079"/>
    <w:rsid w:val="000A5467"/>
    <w:rsid w:val="000A7328"/>
    <w:rsid w:val="000B09F3"/>
    <w:rsid w:val="000B0C4A"/>
    <w:rsid w:val="000B23E8"/>
    <w:rsid w:val="000B62FE"/>
    <w:rsid w:val="000B72BC"/>
    <w:rsid w:val="000B78D7"/>
    <w:rsid w:val="000C1EA5"/>
    <w:rsid w:val="000C52FB"/>
    <w:rsid w:val="000C55E6"/>
    <w:rsid w:val="000C6D5A"/>
    <w:rsid w:val="000D09AE"/>
    <w:rsid w:val="000D09B2"/>
    <w:rsid w:val="000D2EA9"/>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17EF9"/>
    <w:rsid w:val="00120EA6"/>
    <w:rsid w:val="00121C01"/>
    <w:rsid w:val="00122196"/>
    <w:rsid w:val="0012301F"/>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3BCE"/>
    <w:rsid w:val="001B5C88"/>
    <w:rsid w:val="001B6CE6"/>
    <w:rsid w:val="001C046D"/>
    <w:rsid w:val="001C1412"/>
    <w:rsid w:val="001C391F"/>
    <w:rsid w:val="001C5135"/>
    <w:rsid w:val="001C796E"/>
    <w:rsid w:val="001D1367"/>
    <w:rsid w:val="001D5041"/>
    <w:rsid w:val="001D56C4"/>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6EF"/>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077A"/>
    <w:rsid w:val="002D2112"/>
    <w:rsid w:val="002D53D7"/>
    <w:rsid w:val="002D5508"/>
    <w:rsid w:val="002D5FC1"/>
    <w:rsid w:val="002D7AB3"/>
    <w:rsid w:val="002E0566"/>
    <w:rsid w:val="002E1D3C"/>
    <w:rsid w:val="002E1F73"/>
    <w:rsid w:val="002E269D"/>
    <w:rsid w:val="002E3460"/>
    <w:rsid w:val="002E70AE"/>
    <w:rsid w:val="002F06E1"/>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45E0D"/>
    <w:rsid w:val="003526B9"/>
    <w:rsid w:val="003532ED"/>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1842"/>
    <w:rsid w:val="00382949"/>
    <w:rsid w:val="00391AE3"/>
    <w:rsid w:val="00396D4C"/>
    <w:rsid w:val="003A02BE"/>
    <w:rsid w:val="003A1765"/>
    <w:rsid w:val="003A3627"/>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2A11"/>
    <w:rsid w:val="003E3C05"/>
    <w:rsid w:val="003F282F"/>
    <w:rsid w:val="003F7D89"/>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AE9"/>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87C46"/>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386"/>
    <w:rsid w:val="00625428"/>
    <w:rsid w:val="0062670B"/>
    <w:rsid w:val="006277C2"/>
    <w:rsid w:val="00630B86"/>
    <w:rsid w:val="00630F5B"/>
    <w:rsid w:val="00634C66"/>
    <w:rsid w:val="006352D1"/>
    <w:rsid w:val="00636E1A"/>
    <w:rsid w:val="00642BA5"/>
    <w:rsid w:val="006434E0"/>
    <w:rsid w:val="00650C90"/>
    <w:rsid w:val="0065172D"/>
    <w:rsid w:val="0065287D"/>
    <w:rsid w:val="0065671B"/>
    <w:rsid w:val="00656A5A"/>
    <w:rsid w:val="00660BE4"/>
    <w:rsid w:val="00663A42"/>
    <w:rsid w:val="0066418E"/>
    <w:rsid w:val="0066469F"/>
    <w:rsid w:val="0067780F"/>
    <w:rsid w:val="00685B1D"/>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04057"/>
    <w:rsid w:val="007130D7"/>
    <w:rsid w:val="00713E98"/>
    <w:rsid w:val="00715591"/>
    <w:rsid w:val="00715AE8"/>
    <w:rsid w:val="0072516F"/>
    <w:rsid w:val="00725289"/>
    <w:rsid w:val="00725D44"/>
    <w:rsid w:val="0073034D"/>
    <w:rsid w:val="00731ADC"/>
    <w:rsid w:val="00732AB1"/>
    <w:rsid w:val="007330F2"/>
    <w:rsid w:val="00733DB0"/>
    <w:rsid w:val="00735043"/>
    <w:rsid w:val="00740444"/>
    <w:rsid w:val="00744577"/>
    <w:rsid w:val="007452CF"/>
    <w:rsid w:val="00746055"/>
    <w:rsid w:val="00746DA9"/>
    <w:rsid w:val="00747086"/>
    <w:rsid w:val="007515E2"/>
    <w:rsid w:val="00756D66"/>
    <w:rsid w:val="00761D80"/>
    <w:rsid w:val="0076364A"/>
    <w:rsid w:val="00764233"/>
    <w:rsid w:val="00766FC5"/>
    <w:rsid w:val="00770E5B"/>
    <w:rsid w:val="00772930"/>
    <w:rsid w:val="00776E20"/>
    <w:rsid w:val="007814AF"/>
    <w:rsid w:val="007825F0"/>
    <w:rsid w:val="00787F88"/>
    <w:rsid w:val="00790AD1"/>
    <w:rsid w:val="00790F0D"/>
    <w:rsid w:val="0079721A"/>
    <w:rsid w:val="007A095C"/>
    <w:rsid w:val="007A0AF8"/>
    <w:rsid w:val="007A283A"/>
    <w:rsid w:val="007A65C8"/>
    <w:rsid w:val="007A6B16"/>
    <w:rsid w:val="007A7AC4"/>
    <w:rsid w:val="007B639C"/>
    <w:rsid w:val="007B7036"/>
    <w:rsid w:val="007C0870"/>
    <w:rsid w:val="007C2D10"/>
    <w:rsid w:val="007C457D"/>
    <w:rsid w:val="007C4E41"/>
    <w:rsid w:val="007D02A9"/>
    <w:rsid w:val="007D166D"/>
    <w:rsid w:val="007D17C7"/>
    <w:rsid w:val="007D2766"/>
    <w:rsid w:val="007D2FF7"/>
    <w:rsid w:val="007D3268"/>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17A0B"/>
    <w:rsid w:val="00822851"/>
    <w:rsid w:val="00824A75"/>
    <w:rsid w:val="0082509A"/>
    <w:rsid w:val="00825A51"/>
    <w:rsid w:val="00825D53"/>
    <w:rsid w:val="008272DF"/>
    <w:rsid w:val="00831065"/>
    <w:rsid w:val="008337A7"/>
    <w:rsid w:val="00835BCB"/>
    <w:rsid w:val="00836773"/>
    <w:rsid w:val="00836E6A"/>
    <w:rsid w:val="008410D0"/>
    <w:rsid w:val="00841559"/>
    <w:rsid w:val="00841946"/>
    <w:rsid w:val="00842E48"/>
    <w:rsid w:val="0084558B"/>
    <w:rsid w:val="00845924"/>
    <w:rsid w:val="00846107"/>
    <w:rsid w:val="00847E07"/>
    <w:rsid w:val="00851297"/>
    <w:rsid w:val="00852C43"/>
    <w:rsid w:val="00853737"/>
    <w:rsid w:val="00853DC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3A8"/>
    <w:rsid w:val="00896786"/>
    <w:rsid w:val="008976AB"/>
    <w:rsid w:val="008A2C15"/>
    <w:rsid w:val="008A3DBA"/>
    <w:rsid w:val="008A483E"/>
    <w:rsid w:val="008A5601"/>
    <w:rsid w:val="008B7726"/>
    <w:rsid w:val="008C0530"/>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7DB"/>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4A"/>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A71C8"/>
    <w:rsid w:val="009B1979"/>
    <w:rsid w:val="009B1E1B"/>
    <w:rsid w:val="009B2CC0"/>
    <w:rsid w:val="009B4C38"/>
    <w:rsid w:val="009C045E"/>
    <w:rsid w:val="009C0DAB"/>
    <w:rsid w:val="009C1E20"/>
    <w:rsid w:val="009D0378"/>
    <w:rsid w:val="009D0F18"/>
    <w:rsid w:val="009D1EFB"/>
    <w:rsid w:val="009D5964"/>
    <w:rsid w:val="009D6A0C"/>
    <w:rsid w:val="009E0725"/>
    <w:rsid w:val="009E1492"/>
    <w:rsid w:val="009E4B3F"/>
    <w:rsid w:val="009E5877"/>
    <w:rsid w:val="009F69B0"/>
    <w:rsid w:val="009F7D83"/>
    <w:rsid w:val="00A0310D"/>
    <w:rsid w:val="00A073F4"/>
    <w:rsid w:val="00A07BBE"/>
    <w:rsid w:val="00A16439"/>
    <w:rsid w:val="00A17A3C"/>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2678"/>
    <w:rsid w:val="00A73299"/>
    <w:rsid w:val="00A7536B"/>
    <w:rsid w:val="00A75747"/>
    <w:rsid w:val="00A80356"/>
    <w:rsid w:val="00A816B6"/>
    <w:rsid w:val="00A82D81"/>
    <w:rsid w:val="00A96E79"/>
    <w:rsid w:val="00AA2033"/>
    <w:rsid w:val="00AA4A07"/>
    <w:rsid w:val="00AA6230"/>
    <w:rsid w:val="00AB632D"/>
    <w:rsid w:val="00AC0960"/>
    <w:rsid w:val="00AC4B3A"/>
    <w:rsid w:val="00AC5444"/>
    <w:rsid w:val="00AC70E1"/>
    <w:rsid w:val="00AD1D29"/>
    <w:rsid w:val="00AD328E"/>
    <w:rsid w:val="00AD3C55"/>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7A3"/>
    <w:rsid w:val="00B86E2B"/>
    <w:rsid w:val="00B91DEC"/>
    <w:rsid w:val="00B92A56"/>
    <w:rsid w:val="00B931F8"/>
    <w:rsid w:val="00B95DB0"/>
    <w:rsid w:val="00B9722F"/>
    <w:rsid w:val="00B97741"/>
    <w:rsid w:val="00BA0721"/>
    <w:rsid w:val="00BA1883"/>
    <w:rsid w:val="00BA227D"/>
    <w:rsid w:val="00BA326C"/>
    <w:rsid w:val="00BA3EFA"/>
    <w:rsid w:val="00BA4C84"/>
    <w:rsid w:val="00BC09FC"/>
    <w:rsid w:val="00BC0DD5"/>
    <w:rsid w:val="00BC233C"/>
    <w:rsid w:val="00BC5DAE"/>
    <w:rsid w:val="00BC60E6"/>
    <w:rsid w:val="00BE66AA"/>
    <w:rsid w:val="00BE73B9"/>
    <w:rsid w:val="00BF444F"/>
    <w:rsid w:val="00BF77F5"/>
    <w:rsid w:val="00C01D8A"/>
    <w:rsid w:val="00C023EF"/>
    <w:rsid w:val="00C075AD"/>
    <w:rsid w:val="00C15415"/>
    <w:rsid w:val="00C16FE4"/>
    <w:rsid w:val="00C172EB"/>
    <w:rsid w:val="00C22F98"/>
    <w:rsid w:val="00C2363B"/>
    <w:rsid w:val="00C26560"/>
    <w:rsid w:val="00C3062F"/>
    <w:rsid w:val="00C32E7A"/>
    <w:rsid w:val="00C33883"/>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7A4"/>
    <w:rsid w:val="00C94F0A"/>
    <w:rsid w:val="00CA3203"/>
    <w:rsid w:val="00CA6058"/>
    <w:rsid w:val="00CA6BD1"/>
    <w:rsid w:val="00CB1B1B"/>
    <w:rsid w:val="00CB3E03"/>
    <w:rsid w:val="00CB580D"/>
    <w:rsid w:val="00CB6098"/>
    <w:rsid w:val="00CB623E"/>
    <w:rsid w:val="00CC0BA5"/>
    <w:rsid w:val="00CC1F3E"/>
    <w:rsid w:val="00CC236E"/>
    <w:rsid w:val="00CC2B2A"/>
    <w:rsid w:val="00CC358D"/>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47FDD"/>
    <w:rsid w:val="00D516D5"/>
    <w:rsid w:val="00D51C9A"/>
    <w:rsid w:val="00D5318C"/>
    <w:rsid w:val="00D53371"/>
    <w:rsid w:val="00D53BD5"/>
    <w:rsid w:val="00D55621"/>
    <w:rsid w:val="00D6000E"/>
    <w:rsid w:val="00D7105B"/>
    <w:rsid w:val="00D713D6"/>
    <w:rsid w:val="00D72A99"/>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DF0A4D"/>
    <w:rsid w:val="00DF3965"/>
    <w:rsid w:val="00E00A5F"/>
    <w:rsid w:val="00E05D64"/>
    <w:rsid w:val="00E07ABB"/>
    <w:rsid w:val="00E07D8F"/>
    <w:rsid w:val="00E13762"/>
    <w:rsid w:val="00E14E2F"/>
    <w:rsid w:val="00E1552D"/>
    <w:rsid w:val="00E1640B"/>
    <w:rsid w:val="00E317A6"/>
    <w:rsid w:val="00E3190E"/>
    <w:rsid w:val="00E31F05"/>
    <w:rsid w:val="00E31F24"/>
    <w:rsid w:val="00E32285"/>
    <w:rsid w:val="00E34295"/>
    <w:rsid w:val="00E3667E"/>
    <w:rsid w:val="00E4228D"/>
    <w:rsid w:val="00E4254E"/>
    <w:rsid w:val="00E454BA"/>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A5D8D"/>
    <w:rsid w:val="00EB22CF"/>
    <w:rsid w:val="00EB3414"/>
    <w:rsid w:val="00EB39DD"/>
    <w:rsid w:val="00EB40E4"/>
    <w:rsid w:val="00EB67BA"/>
    <w:rsid w:val="00EC0027"/>
    <w:rsid w:val="00EC16F8"/>
    <w:rsid w:val="00EC306F"/>
    <w:rsid w:val="00EC408E"/>
    <w:rsid w:val="00EC41F2"/>
    <w:rsid w:val="00EC4E40"/>
    <w:rsid w:val="00EC4EB3"/>
    <w:rsid w:val="00EC5617"/>
    <w:rsid w:val="00EC7C9E"/>
    <w:rsid w:val="00ED0035"/>
    <w:rsid w:val="00ED230D"/>
    <w:rsid w:val="00ED2440"/>
    <w:rsid w:val="00EE1C0B"/>
    <w:rsid w:val="00EE59D0"/>
    <w:rsid w:val="00EE7FF3"/>
    <w:rsid w:val="00EF26BF"/>
    <w:rsid w:val="00EF4832"/>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01D"/>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1E4"/>
    <w:rsid w:val="00FB381D"/>
    <w:rsid w:val="00FB6172"/>
    <w:rsid w:val="00FB6492"/>
    <w:rsid w:val="00FC007D"/>
    <w:rsid w:val="00FC131A"/>
    <w:rsid w:val="00FC224A"/>
    <w:rsid w:val="00FC43D6"/>
    <w:rsid w:val="00FC67B8"/>
    <w:rsid w:val="00FD2208"/>
    <w:rsid w:val="00FD2EC4"/>
    <w:rsid w:val="00FD63D3"/>
    <w:rsid w:val="00FD717D"/>
    <w:rsid w:val="00FE44CF"/>
    <w:rsid w:val="00FF1239"/>
    <w:rsid w:val="00FF1AC1"/>
    <w:rsid w:val="00FF34D2"/>
    <w:rsid w:val="00FF5DE3"/>
    <w:rsid w:val="00FF62F7"/>
    <w:rsid w:val="00FF6EAF"/>
    <w:rsid w:val="00FF7408"/>
    <w:rsid w:val="01F65399"/>
    <w:rsid w:val="026A1A9F"/>
    <w:rsid w:val="03226A0E"/>
    <w:rsid w:val="04260169"/>
    <w:rsid w:val="04CC4830"/>
    <w:rsid w:val="050945F2"/>
    <w:rsid w:val="050E4034"/>
    <w:rsid w:val="056F4DC0"/>
    <w:rsid w:val="05E768CC"/>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7A975C2"/>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AA2239E"/>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672A1B"/>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BEF5630"/>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3"/>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4"/>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5"/>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6"/>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7"/>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8"/>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8">
    <w:name w:val="Document Map"/>
    <w:basedOn w:val="1"/>
    <w:link w:val="45"/>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3"/>
    <w:unhideWhenUsed/>
    <w:qFormat/>
    <w:uiPriority w:val="99"/>
  </w:style>
  <w:style w:type="paragraph" w:styleId="10">
    <w:name w:val="Body Text"/>
    <w:basedOn w:val="1"/>
    <w:link w:val="46"/>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7"/>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Date"/>
    <w:basedOn w:val="1"/>
    <w:next w:val="1"/>
    <w:link w:val="76"/>
    <w:semiHidden/>
    <w:unhideWhenUsed/>
    <w:uiPriority w:val="99"/>
    <w:pPr>
      <w:ind w:left="100" w:leftChars="2500"/>
    </w:pPr>
  </w:style>
  <w:style w:type="paragraph" w:styleId="14">
    <w:name w:val="Balloon Text"/>
    <w:basedOn w:val="1"/>
    <w:link w:val="48"/>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5">
    <w:name w:val="footer"/>
    <w:basedOn w:val="1"/>
    <w:link w:val="40"/>
    <w:unhideWhenUsed/>
    <w:qFormat/>
    <w:uiPriority w:val="99"/>
    <w:pPr>
      <w:tabs>
        <w:tab w:val="center" w:pos="4153"/>
        <w:tab w:val="right" w:pos="8306"/>
      </w:tabs>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8">
    <w:name w:val="footnote text"/>
    <w:basedOn w:val="1"/>
    <w:link w:val="49"/>
    <w:qFormat/>
    <w:uiPriority w:val="99"/>
    <w:pPr>
      <w:widowControl w:val="0"/>
      <w:adjustRightInd/>
      <w:spacing w:after="0"/>
    </w:pPr>
    <w:rPr>
      <w:rFonts w:ascii="Times New Roman" w:hAnsi="Times New Roman" w:eastAsia="宋体" w:cs="Times New Roman"/>
      <w:kern w:val="2"/>
      <w:sz w:val="18"/>
      <w:szCs w:val="18"/>
    </w:rPr>
  </w:style>
  <w:style w:type="paragraph" w:styleId="19">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20">
    <w:name w:val="HTML Preformatted"/>
    <w:basedOn w:val="1"/>
    <w:link w:val="5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1">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2">
    <w:name w:val="Title"/>
    <w:basedOn w:val="1"/>
    <w:next w:val="1"/>
    <w:link w:val="72"/>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3">
    <w:name w:val="annotation subject"/>
    <w:basedOn w:val="9"/>
    <w:next w:val="9"/>
    <w:link w:val="44"/>
    <w:qFormat/>
    <w:uiPriority w:val="99"/>
    <w:pPr>
      <w:widowControl w:val="0"/>
      <w:adjustRightInd/>
      <w:snapToGrid/>
      <w:spacing w:after="0"/>
    </w:pPr>
    <w:rPr>
      <w:rFonts w:ascii="Times New Roman" w:hAnsi="Times New Roman" w:eastAsia="宋体" w:cs="Times New Roman"/>
      <w:b/>
      <w:bCs/>
      <w:kern w:val="2"/>
      <w:sz w:val="21"/>
      <w:szCs w:val="24"/>
    </w:rPr>
  </w:style>
  <w:style w:type="table" w:styleId="25">
    <w:name w:val="Table Grid"/>
    <w:basedOn w:val="24"/>
    <w:qFormat/>
    <w:uiPriority w:val="1"/>
    <w:rPr>
      <w:rFonts w:asciiTheme="minorHAnsi" w:hAnsiTheme="minorHAnsi" w:eastAsiaTheme="minorEastAsia" w:cstheme="minorBidi"/>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page number"/>
    <w:basedOn w:val="26"/>
    <w:qFormat/>
    <w:uiPriority w:val="99"/>
  </w:style>
  <w:style w:type="character" w:styleId="28">
    <w:name w:val="FollowedHyperlink"/>
    <w:basedOn w:val="26"/>
    <w:unhideWhenUsed/>
    <w:qFormat/>
    <w:uiPriority w:val="99"/>
    <w:rPr>
      <w:color w:val="800080"/>
      <w:u w:val="single"/>
    </w:rPr>
  </w:style>
  <w:style w:type="character" w:styleId="29">
    <w:name w:val="Emphasis"/>
    <w:qFormat/>
    <w:uiPriority w:val="99"/>
    <w:rPr>
      <w:color w:val="CC0000"/>
    </w:rPr>
  </w:style>
  <w:style w:type="character" w:styleId="30">
    <w:name w:val="Hyperlink"/>
    <w:qFormat/>
    <w:uiPriority w:val="99"/>
    <w:rPr>
      <w:color w:val="0000FF"/>
      <w:u w:val="single"/>
    </w:rPr>
  </w:style>
  <w:style w:type="character" w:styleId="31">
    <w:name w:val="annotation reference"/>
    <w:basedOn w:val="26"/>
    <w:qFormat/>
    <w:uiPriority w:val="99"/>
    <w:rPr>
      <w:sz w:val="21"/>
      <w:szCs w:val="21"/>
    </w:rPr>
  </w:style>
  <w:style w:type="character" w:styleId="32">
    <w:name w:val="footnote reference"/>
    <w:basedOn w:val="26"/>
    <w:qFormat/>
    <w:uiPriority w:val="99"/>
    <w:rPr>
      <w:vertAlign w:val="superscript"/>
    </w:rPr>
  </w:style>
  <w:style w:type="character" w:customStyle="1" w:styleId="33">
    <w:name w:val="标题 1 字符"/>
    <w:basedOn w:val="26"/>
    <w:link w:val="2"/>
    <w:qFormat/>
    <w:uiPriority w:val="99"/>
    <w:rPr>
      <w:rFonts w:ascii="Times New Roman" w:hAnsi="Times New Roman" w:eastAsia="黑体" w:cs="Times New Roman"/>
      <w:b/>
      <w:bCs/>
      <w:color w:val="000000"/>
      <w:kern w:val="44"/>
      <w:sz w:val="36"/>
      <w:szCs w:val="44"/>
      <w:u w:color="000000"/>
    </w:rPr>
  </w:style>
  <w:style w:type="character" w:customStyle="1" w:styleId="34">
    <w:name w:val="标题 2 字符"/>
    <w:basedOn w:val="26"/>
    <w:link w:val="3"/>
    <w:qFormat/>
    <w:uiPriority w:val="99"/>
    <w:rPr>
      <w:rFonts w:ascii="Arial" w:hAnsi="Arial" w:eastAsia="黑体" w:cs="Times New Roman"/>
      <w:b/>
      <w:bCs/>
      <w:kern w:val="2"/>
      <w:sz w:val="32"/>
      <w:szCs w:val="32"/>
    </w:rPr>
  </w:style>
  <w:style w:type="character" w:customStyle="1" w:styleId="35">
    <w:name w:val="标题 3 字符"/>
    <w:basedOn w:val="26"/>
    <w:link w:val="4"/>
    <w:qFormat/>
    <w:uiPriority w:val="99"/>
    <w:rPr>
      <w:rFonts w:ascii="Times New Roman" w:hAnsi="Times New Roman" w:eastAsia="仿宋_GB2312" w:cs="Times New Roman"/>
      <w:b/>
      <w:bCs/>
      <w:sz w:val="30"/>
      <w:szCs w:val="32"/>
      <w:u w:color="000000"/>
    </w:rPr>
  </w:style>
  <w:style w:type="character" w:customStyle="1" w:styleId="36">
    <w:name w:val="标题 4 字符"/>
    <w:basedOn w:val="26"/>
    <w:link w:val="5"/>
    <w:qFormat/>
    <w:uiPriority w:val="0"/>
    <w:rPr>
      <w:rFonts w:asciiTheme="majorHAnsi" w:hAnsiTheme="majorHAnsi" w:eastAsiaTheme="majorEastAsia" w:cstheme="majorBidi"/>
      <w:b/>
      <w:bCs/>
      <w:kern w:val="2"/>
      <w:sz w:val="28"/>
      <w:szCs w:val="28"/>
    </w:rPr>
  </w:style>
  <w:style w:type="character" w:customStyle="1" w:styleId="37">
    <w:name w:val="标题 5 字符"/>
    <w:basedOn w:val="26"/>
    <w:link w:val="6"/>
    <w:qFormat/>
    <w:uiPriority w:val="0"/>
    <w:rPr>
      <w:rFonts w:ascii="Times New Roman" w:hAnsi="Times New Roman" w:eastAsia="宋体" w:cs="Times New Roman"/>
      <w:b/>
      <w:bCs/>
      <w:kern w:val="2"/>
      <w:sz w:val="28"/>
      <w:szCs w:val="28"/>
    </w:rPr>
  </w:style>
  <w:style w:type="character" w:customStyle="1" w:styleId="38">
    <w:name w:val="标题 6 字符"/>
    <w:basedOn w:val="26"/>
    <w:link w:val="7"/>
    <w:qFormat/>
    <w:uiPriority w:val="0"/>
    <w:rPr>
      <w:rFonts w:asciiTheme="majorHAnsi" w:hAnsiTheme="majorHAnsi" w:eastAsiaTheme="majorEastAsia" w:cstheme="majorBidi"/>
      <w:b/>
      <w:bCs/>
      <w:kern w:val="2"/>
      <w:sz w:val="24"/>
      <w:szCs w:val="24"/>
    </w:rPr>
  </w:style>
  <w:style w:type="character" w:customStyle="1" w:styleId="39">
    <w:name w:val="页眉 字符"/>
    <w:basedOn w:val="26"/>
    <w:link w:val="16"/>
    <w:qFormat/>
    <w:uiPriority w:val="99"/>
    <w:rPr>
      <w:rFonts w:ascii="Tahoma" w:hAnsi="Tahoma"/>
      <w:sz w:val="18"/>
      <w:szCs w:val="18"/>
    </w:rPr>
  </w:style>
  <w:style w:type="character" w:customStyle="1" w:styleId="40">
    <w:name w:val="页脚 字符"/>
    <w:basedOn w:val="26"/>
    <w:link w:val="15"/>
    <w:qFormat/>
    <w:uiPriority w:val="99"/>
    <w:rPr>
      <w:rFonts w:ascii="Tahoma" w:hAnsi="Tahoma"/>
      <w:sz w:val="18"/>
      <w:szCs w:val="18"/>
    </w:rPr>
  </w:style>
  <w:style w:type="paragraph" w:customStyle="1" w:styleId="41">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2">
    <w:name w:val="List Paragraph"/>
    <w:basedOn w:val="1"/>
    <w:qFormat/>
    <w:uiPriority w:val="99"/>
    <w:pPr>
      <w:ind w:firstLine="420" w:firstLineChars="200"/>
    </w:pPr>
  </w:style>
  <w:style w:type="character" w:customStyle="1" w:styleId="43">
    <w:name w:val="批注文字 字符"/>
    <w:basedOn w:val="26"/>
    <w:link w:val="9"/>
    <w:qFormat/>
    <w:uiPriority w:val="99"/>
    <w:rPr>
      <w:rFonts w:ascii="Tahoma" w:hAnsi="Tahoma"/>
    </w:rPr>
  </w:style>
  <w:style w:type="character" w:customStyle="1" w:styleId="44">
    <w:name w:val="批注主题 字符"/>
    <w:basedOn w:val="43"/>
    <w:link w:val="23"/>
    <w:qFormat/>
    <w:uiPriority w:val="99"/>
    <w:rPr>
      <w:rFonts w:ascii="Times New Roman" w:hAnsi="Times New Roman" w:eastAsia="宋体" w:cs="Times New Roman"/>
      <w:b/>
      <w:bCs/>
      <w:kern w:val="2"/>
      <w:sz w:val="21"/>
      <w:szCs w:val="24"/>
    </w:rPr>
  </w:style>
  <w:style w:type="character" w:customStyle="1" w:styleId="45">
    <w:name w:val="文档结构图 字符"/>
    <w:basedOn w:val="26"/>
    <w:link w:val="8"/>
    <w:semiHidden/>
    <w:qFormat/>
    <w:uiPriority w:val="99"/>
    <w:rPr>
      <w:rFonts w:ascii="Times New Roman" w:hAnsi="Times New Roman" w:eastAsia="宋体" w:cs="Times New Roman"/>
      <w:kern w:val="2"/>
      <w:sz w:val="21"/>
      <w:szCs w:val="24"/>
      <w:shd w:val="clear" w:color="auto" w:fill="000080"/>
    </w:rPr>
  </w:style>
  <w:style w:type="character" w:customStyle="1" w:styleId="46">
    <w:name w:val="正文文本 字符"/>
    <w:basedOn w:val="26"/>
    <w:link w:val="10"/>
    <w:qFormat/>
    <w:uiPriority w:val="99"/>
    <w:rPr>
      <w:rFonts w:ascii="Times New Roman" w:hAnsi="Times New Roman" w:eastAsia="宋体" w:cs="Times New Roman"/>
      <w:kern w:val="2"/>
      <w:sz w:val="21"/>
      <w:szCs w:val="24"/>
    </w:rPr>
  </w:style>
  <w:style w:type="character" w:customStyle="1" w:styleId="47">
    <w:name w:val="纯文本 字符"/>
    <w:basedOn w:val="26"/>
    <w:link w:val="12"/>
    <w:qFormat/>
    <w:uiPriority w:val="99"/>
    <w:rPr>
      <w:rFonts w:ascii="宋体" w:hAnsi="Times New Roman" w:eastAsia="宋体" w:cs="Times New Roman"/>
      <w:color w:val="000000"/>
      <w:sz w:val="21"/>
      <w:szCs w:val="20"/>
      <w:u w:color="000000"/>
    </w:rPr>
  </w:style>
  <w:style w:type="character" w:customStyle="1" w:styleId="48">
    <w:name w:val="批注框文本 字符"/>
    <w:basedOn w:val="26"/>
    <w:link w:val="14"/>
    <w:qFormat/>
    <w:uiPriority w:val="99"/>
    <w:rPr>
      <w:rFonts w:ascii="Times New Roman" w:hAnsi="Times New Roman" w:eastAsia="宋体" w:cs="Times New Roman"/>
      <w:kern w:val="2"/>
      <w:sz w:val="18"/>
      <w:szCs w:val="18"/>
    </w:rPr>
  </w:style>
  <w:style w:type="character" w:customStyle="1" w:styleId="49">
    <w:name w:val="脚注文本 字符"/>
    <w:basedOn w:val="26"/>
    <w:link w:val="18"/>
    <w:qFormat/>
    <w:uiPriority w:val="99"/>
    <w:rPr>
      <w:rFonts w:ascii="Times New Roman" w:hAnsi="Times New Roman" w:eastAsia="宋体" w:cs="Times New Roman"/>
      <w:kern w:val="2"/>
      <w:sz w:val="18"/>
      <w:szCs w:val="18"/>
    </w:rPr>
  </w:style>
  <w:style w:type="character" w:customStyle="1" w:styleId="50">
    <w:name w:val="HTML 预设格式 字符"/>
    <w:basedOn w:val="26"/>
    <w:link w:val="20"/>
    <w:qFormat/>
    <w:uiPriority w:val="0"/>
    <w:rPr>
      <w:rFonts w:ascii="宋体" w:hAnsi="宋体" w:eastAsia="宋体" w:cs="宋体"/>
      <w:sz w:val="24"/>
      <w:szCs w:val="24"/>
    </w:rPr>
  </w:style>
  <w:style w:type="paragraph" w:customStyle="1" w:styleId="51">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3">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4">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5">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6">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7">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8">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9">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60">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61">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2">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3">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4">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5">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6">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7">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8">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9">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70">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71">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2">
    <w:name w:val="标题 字符"/>
    <w:basedOn w:val="26"/>
    <w:link w:val="22"/>
    <w:qFormat/>
    <w:uiPriority w:val="0"/>
    <w:rPr>
      <w:rFonts w:eastAsia="宋体" w:asciiTheme="majorHAnsi" w:hAnsiTheme="majorHAnsi" w:cstheme="majorBidi"/>
      <w:b/>
      <w:bCs/>
      <w:kern w:val="2"/>
      <w:sz w:val="32"/>
      <w:szCs w:val="32"/>
    </w:rPr>
  </w:style>
  <w:style w:type="paragraph" w:customStyle="1" w:styleId="73">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4">
    <w:name w:val="font01"/>
    <w:basedOn w:val="26"/>
    <w:qFormat/>
    <w:uiPriority w:val="0"/>
    <w:rPr>
      <w:rFonts w:hint="eastAsia" w:ascii="宋体" w:hAnsi="宋体" w:eastAsia="宋体" w:cs="宋体"/>
      <w:b/>
      <w:color w:val="000000"/>
      <w:sz w:val="32"/>
      <w:szCs w:val="32"/>
      <w:u w:val="none"/>
    </w:rPr>
  </w:style>
  <w:style w:type="character" w:customStyle="1" w:styleId="75">
    <w:name w:val="font21"/>
    <w:basedOn w:val="26"/>
    <w:qFormat/>
    <w:uiPriority w:val="0"/>
    <w:rPr>
      <w:rFonts w:hint="default" w:ascii="Times New Roman" w:hAnsi="Times New Roman" w:cs="Times New Roman"/>
      <w:b/>
      <w:color w:val="000000"/>
      <w:sz w:val="32"/>
      <w:szCs w:val="32"/>
      <w:u w:val="none"/>
    </w:rPr>
  </w:style>
  <w:style w:type="character" w:customStyle="1" w:styleId="76">
    <w:name w:val="日期 字符"/>
    <w:basedOn w:val="26"/>
    <w:link w:val="13"/>
    <w:semiHidden/>
    <w:qFormat/>
    <w:uiPriority w:val="99"/>
    <w:rPr>
      <w:rFonts w:ascii="Tahoma" w:hAnsi="Tahoma" w:eastAsia="微软雅黑"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2FC00-E15A-49A5-9480-0E41B0378DE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19945</Words>
  <Characters>21514</Characters>
  <Lines>173</Lines>
  <Paragraphs>48</Paragraphs>
  <TotalTime>2598</TotalTime>
  <ScaleCrop>false</ScaleCrop>
  <LinksUpToDate>false</LinksUpToDate>
  <CharactersWithSpaces>21758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2023-08-22T03:23:00Z</cp:lastPrinted>
  <dcterms:modified xsi:type="dcterms:W3CDTF">2023-11-17T09:55:59Z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ED44726223364EE7A3594A19A680F19D_13</vt:lpwstr>
  </property>
</Properties>
</file>