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firstLine="880" w:firstLineChars="200"/>
        <w:jc w:val="center"/>
        <w:rPr>
          <w:rFonts w:hint="eastAsia" w:ascii="黑体" w:hAnsi="黑体" w:eastAsia="黑体" w:cs="黑体"/>
          <w:b w:val="0"/>
          <w:bCs w:val="0"/>
          <w:color w:val="auto"/>
          <w:sz w:val="44"/>
          <w:szCs w:val="44"/>
          <w:highlight w:val="none"/>
          <w:lang w:eastAsia="zh-CN"/>
        </w:rPr>
      </w:pPr>
      <w:bookmarkStart w:id="0" w:name="_Toc492652763"/>
      <w:bookmarkStart w:id="1" w:name="_Toc427"/>
      <w:r>
        <w:rPr>
          <w:rFonts w:hint="eastAsia" w:ascii="黑体" w:hAnsi="黑体" w:eastAsia="黑体" w:cs="黑体"/>
          <w:b w:val="0"/>
          <w:bCs w:val="0"/>
          <w:color w:val="auto"/>
          <w:sz w:val="44"/>
          <w:szCs w:val="44"/>
          <w:highlight w:val="none"/>
          <w:lang w:eastAsia="zh-CN"/>
        </w:rPr>
        <w:t>保定市徐水区信访局</w:t>
      </w:r>
    </w:p>
    <w:p>
      <w:pPr>
        <w:rPr>
          <w:rFonts w:hint="eastAsia"/>
          <w:lang w:eastAsia="zh-CN"/>
        </w:rPr>
      </w:pPr>
    </w:p>
    <w:bookmarkEnd w:id="0"/>
    <w:bookmarkEnd w:id="1"/>
    <w:p>
      <w:pPr>
        <w:pStyle w:val="2"/>
        <w:pageBreakBefore w:val="0"/>
        <w:widowControl/>
        <w:kinsoku/>
        <w:wordWrap/>
        <w:overflowPunct/>
        <w:topLinePunct w:val="0"/>
        <w:autoSpaceDE/>
        <w:autoSpaceDN/>
        <w:bidi w:val="0"/>
        <w:adjustRightInd w:val="0"/>
        <w:snapToGrid w:val="0"/>
        <w:spacing w:before="0" w:after="0" w:line="360" w:lineRule="auto"/>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w:t>
      </w:r>
      <w:r>
        <w:rPr>
          <w:rFonts w:hint="eastAsia" w:ascii="黑体" w:hAnsi="黑体" w:eastAsia="黑体" w:cs="黑体"/>
          <w:b w:val="0"/>
          <w:bCs w:val="0"/>
          <w:kern w:val="0"/>
          <w:sz w:val="32"/>
          <w:szCs w:val="32"/>
          <w:lang w:eastAsia="zh-CN"/>
        </w:rPr>
        <w:t>基本情况及主要</w:t>
      </w:r>
      <w:r>
        <w:rPr>
          <w:rFonts w:hint="eastAsia" w:ascii="黑体" w:hAnsi="黑体" w:eastAsia="黑体" w:cs="黑体"/>
          <w:b w:val="0"/>
          <w:bCs w:val="0"/>
          <w:kern w:val="0"/>
          <w:sz w:val="32"/>
          <w:szCs w:val="32"/>
        </w:rPr>
        <w:t>职责</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根据</w:t>
      </w:r>
      <w:r>
        <w:rPr>
          <w:rFonts w:hint="eastAsia" w:ascii="仿宋" w:hAnsi="仿宋" w:eastAsia="仿宋"/>
          <w:color w:val="auto"/>
          <w:sz w:val="32"/>
          <w:szCs w:val="32"/>
          <w:highlight w:val="none"/>
          <w:lang w:eastAsia="zh-CN"/>
        </w:rPr>
        <w:t>中共保定市徐水区委办公室关于印发</w:t>
      </w:r>
      <w:r>
        <w:rPr>
          <w:rFonts w:hint="eastAsia" w:ascii="仿宋" w:hAnsi="仿宋" w:eastAsia="仿宋"/>
          <w:color w:val="auto"/>
          <w:sz w:val="32"/>
          <w:szCs w:val="32"/>
          <w:highlight w:val="none"/>
        </w:rPr>
        <w:t>《保定市徐水区信访局职能配置、内设机构和人员编制规定》</w:t>
      </w:r>
      <w:r>
        <w:rPr>
          <w:rFonts w:hint="eastAsia" w:ascii="仿宋" w:hAnsi="仿宋" w:eastAsia="仿宋"/>
          <w:color w:val="auto"/>
          <w:sz w:val="32"/>
          <w:szCs w:val="32"/>
          <w:highlight w:val="none"/>
          <w:lang w:eastAsia="zh-CN"/>
        </w:rPr>
        <w:t>的通知（徐办字</w:t>
      </w:r>
      <w:r>
        <w:rPr>
          <w:rFonts w:hint="default" w:ascii="仿宋" w:hAnsi="仿宋" w:eastAsia="仿宋"/>
          <w:color w:val="auto"/>
          <w:sz w:val="32"/>
          <w:szCs w:val="32"/>
          <w:highlight w:val="none"/>
          <w:lang w:val="en-US" w:eastAsia="zh-CN"/>
        </w:rPr>
        <w:t>[2019]37</w:t>
      </w:r>
      <w:r>
        <w:rPr>
          <w:rFonts w:hint="eastAsia" w:ascii="仿宋" w:hAnsi="仿宋" w:eastAsia="仿宋"/>
          <w:color w:val="auto"/>
          <w:sz w:val="32"/>
          <w:szCs w:val="32"/>
          <w:highlight w:val="none"/>
          <w:lang w:val="en-US" w:eastAsia="zh-CN"/>
        </w:rPr>
        <w:t>号</w:t>
      </w:r>
      <w:r>
        <w:rPr>
          <w:rFonts w:hint="eastAsia" w:ascii="仿宋" w:hAnsi="仿宋" w:eastAsia="仿宋"/>
          <w:color w:val="auto"/>
          <w:sz w:val="32"/>
          <w:szCs w:val="32"/>
          <w:highlight w:val="none"/>
        </w:rPr>
        <w:t>，</w:t>
      </w:r>
      <w:r>
        <w:rPr>
          <w:rFonts w:hint="eastAsia" w:ascii="仿宋_GB2312" w:eastAsia="仿宋_GB2312" w:cs="DengXian-Regular"/>
          <w:color w:val="auto"/>
          <w:sz w:val="32"/>
          <w:szCs w:val="32"/>
          <w:highlight w:val="none"/>
        </w:rPr>
        <w:t>区</w:t>
      </w:r>
      <w:r>
        <w:rPr>
          <w:rFonts w:hint="eastAsia" w:ascii="仿宋_GB2312" w:eastAsia="仿宋_GB2312" w:cs="DengXian-Regular"/>
          <w:color w:val="auto"/>
          <w:sz w:val="32"/>
          <w:szCs w:val="32"/>
          <w:highlight w:val="none"/>
          <w:lang w:eastAsia="zh-CN"/>
        </w:rPr>
        <w:t>信访局</w:t>
      </w:r>
      <w:r>
        <w:rPr>
          <w:rFonts w:hint="eastAsia" w:ascii="仿宋_GB2312" w:eastAsia="仿宋_GB2312" w:cs="DengXian-Regular"/>
          <w:color w:val="auto"/>
          <w:sz w:val="32"/>
          <w:szCs w:val="32"/>
          <w:highlight w:val="none"/>
        </w:rPr>
        <w:t>为区政府工作部门，正科级单位，下设</w:t>
      </w:r>
      <w:r>
        <w:rPr>
          <w:rFonts w:hint="default" w:ascii="仿宋_GB2312" w:eastAsia="仿宋_GB2312" w:cs="DengXian-Regular"/>
          <w:color w:val="auto"/>
          <w:sz w:val="32"/>
          <w:szCs w:val="32"/>
          <w:highlight w:val="none"/>
          <w:lang w:val="en-US"/>
        </w:rPr>
        <w:t>3</w:t>
      </w:r>
      <w:r>
        <w:rPr>
          <w:rFonts w:hint="eastAsia" w:ascii="仿宋_GB2312" w:eastAsia="仿宋_GB2312" w:cs="DengXian-Regular"/>
          <w:color w:val="auto"/>
          <w:sz w:val="32"/>
          <w:szCs w:val="32"/>
          <w:highlight w:val="none"/>
        </w:rPr>
        <w:t>个股室。</w:t>
      </w:r>
      <w:r>
        <w:rPr>
          <w:rFonts w:hint="eastAsia" w:ascii="仿宋_GB2312" w:eastAsia="仿宋_GB2312" w:cs="DengXian-Regular"/>
          <w:color w:val="auto"/>
          <w:sz w:val="32"/>
          <w:szCs w:val="32"/>
          <w:highlight w:val="none"/>
          <w:lang w:eastAsia="zh-CN"/>
        </w:rPr>
        <w:t>保</w:t>
      </w:r>
      <w:r>
        <w:rPr>
          <w:rFonts w:ascii="仿宋" w:hAnsi="仿宋" w:eastAsia="仿宋"/>
          <w:color w:val="auto"/>
          <w:sz w:val="32"/>
          <w:szCs w:val="32"/>
          <w:highlight w:val="none"/>
        </w:rPr>
        <w:t>定市徐水区信访局的主要职责是：</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（一）研究提出全区信访工作思路，拟订信访工作规范性文件。</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（二）办理人民群众来信，接待群众来访，受理群众网上投诉，督办信访案件，负责人民群众建议征集工作。</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（三）调查研究和综合分析全区信访形势及信访工作状况，总结推广各乡镇（城区办）、区直各部门信访工作经验，提出改进和加强信访工作的意见和建议。</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（四）参与处理影响社会政治稳定的突发性、群体性事件，协调保障国家和省、市、区重大政治活动顺利进行。</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（六）协助国家、省、市信访局处理徐水区群众进京、赴省、到市上访，综合协调处理跨地区、跨部门、跨行业的重要信访问题。</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（七）负责区级领导公开接访、包联督访和重点信访事项会商的组织协调工作。</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（八）承担保定市徐水区信访工作联席会议的日常工作，督促落实联席会议决定的事项。</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（九）负责保定市徐水区群众工作中心工作。</w:t>
      </w:r>
    </w:p>
    <w:p>
      <w:pPr>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（十）承办区委、区政府以及国家信访局、省信访局、市信访局交办的其他任务。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w:t>
      </w:r>
      <w:r>
        <w:rPr>
          <w:rFonts w:hint="default" w:ascii="仿宋_GB2312" w:hAnsi="Calibri" w:eastAsia="仿宋_GB2312" w:cs="ArialUnicodeMS"/>
          <w:kern w:val="0"/>
          <w:sz w:val="32"/>
          <w:szCs w:val="32"/>
          <w:lang w:val="en-US"/>
        </w:rPr>
        <w:t>2</w:t>
      </w:r>
      <w:r>
        <w:rPr>
          <w:rFonts w:hint="eastAsia" w:ascii="仿宋_GB2312" w:hAnsi="Calibri" w:eastAsia="仿宋_GB2312" w:cs="ArialUnicodeMS"/>
          <w:kern w:val="0"/>
          <w:sz w:val="32"/>
          <w:szCs w:val="32"/>
        </w:rPr>
        <w:t>年度本部门决算汇编范围的独立核算单位（以下简称“单位”）共</w:t>
      </w:r>
      <w:r>
        <w:rPr>
          <w:rFonts w:hint="default" w:ascii="仿宋_GB2312" w:hAnsi="Calibri" w:eastAsia="仿宋_GB2312" w:cs="ArialUnicodeMS"/>
          <w:kern w:val="0"/>
          <w:sz w:val="32"/>
          <w:szCs w:val="32"/>
          <w:highlight w:val="none"/>
          <w:lang w:val="en-US"/>
        </w:rPr>
        <w:t>1</w:t>
      </w:r>
      <w:r>
        <w:rPr>
          <w:rFonts w:hint="eastAsia" w:ascii="仿宋_GB2312" w:hAnsi="Calibri" w:eastAsia="仿宋_GB2312" w:cs="ArialUnicodeMS"/>
          <w:kern w:val="0"/>
          <w:sz w:val="32"/>
          <w:szCs w:val="32"/>
        </w:rPr>
        <w:t>个，具体情况如下：</w:t>
      </w:r>
      <w:bookmarkStart w:id="2" w:name="_GoBack"/>
      <w:bookmarkEnd w:id="2"/>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保定市徐水区信访局</w:t>
            </w:r>
            <w:r>
              <w:rPr>
                <w:rFonts w:hint="eastAsia" w:ascii="仿宋_GB2312" w:hAnsi="Calibri" w:eastAsia="仿宋_GB2312" w:cs="ArialUnicodeMS"/>
                <w:kern w:val="0"/>
                <w:sz w:val="28"/>
                <w:szCs w:val="28"/>
              </w:rPr>
              <w:t>(本级)</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90A46"/>
    <w:rsid w:val="10D63F53"/>
    <w:rsid w:val="6DC9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2022-11-18T06:50:00Z</dcterms:created>
  <dc:creator>Lenovo</dc:creator>
  <cp:lastModifiedBy>user</cp:lastModifiedBy>
  <cp:lastPrinted>2022-11-18T07:04:00Z</cp:lastPrinted>
  <dcterms:modified xsi:type="dcterms:W3CDTF">2023-08-17T08:39:52Z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D98E99FE603C4CA5B11E6619C7174FDC</vt:lpwstr>
  </property>
</Properties>
</file>