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团区委部门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snapToGrid w:val="0"/>
          <w:kern w:val="0"/>
          <w:sz w:val="28"/>
          <w:szCs w:val="28"/>
        </w:rPr>
        <w:t>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部门职责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1、组织建设和宣传教育，团委事务管理；有效利用网络和新媒体加强对青年的宣传力度，加强网络和新媒体正面宣传，用科学理论武装青年，用共同理想感召青年，用核心价值观引领青年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2、服务、引导青少年工作；有效利用网络和新媒体加强对青年的宣传力度，加强网络和新媒体正面宣传，用科学理论武装青年，用共同理想感召青年，用核心价值观引领青年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3、维护青少年权益工作：研究有关青少年发展问题，参与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制订</w:t>
      </w:r>
      <w:r>
        <w:rPr>
          <w:rFonts w:hint="eastAsia"/>
          <w:snapToGrid w:val="0"/>
          <w:kern w:val="0"/>
          <w:sz w:val="28"/>
          <w:szCs w:val="28"/>
        </w:rPr>
        <w:t>本县保护青少年健康成长的法律、地方性法规；参与监督青少年法规的执行、处理侵害青少年合法权益的问题；负责县未成年人保护委员会的日常工作。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4、综合业务管理：参与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制订</w:t>
      </w:r>
      <w:r>
        <w:rPr>
          <w:rFonts w:hint="eastAsia"/>
          <w:snapToGrid w:val="0"/>
          <w:kern w:val="0"/>
          <w:sz w:val="28"/>
          <w:szCs w:val="28"/>
        </w:rPr>
        <w:t>全区的青少年事业发展规划和青少年工作方针、政策</w:t>
      </w:r>
      <w:r>
        <w:rPr>
          <w:snapToGrid w:val="0"/>
          <w:kern w:val="0"/>
          <w:sz w:val="28"/>
          <w:szCs w:val="28"/>
        </w:rPr>
        <w:t>;</w:t>
      </w:r>
      <w:r>
        <w:rPr>
          <w:rFonts w:hint="eastAsia"/>
          <w:snapToGrid w:val="0"/>
          <w:kern w:val="0"/>
          <w:sz w:val="28"/>
          <w:szCs w:val="28"/>
        </w:rPr>
        <w:t>承担区委、区政府和团中央交办的有关事项。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</w:rPr>
        <w:t>我部门独立核算机构1个，年末实有人数2人，其中在职人员2人。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团区委部门201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34.44万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41.2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收10.05万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 xml:space="preserve">,原因：人员的调入，开展五四活动，追加团委标准化建设项目，开展创城活动 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32.53万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50.2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10.87万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人员调入，各项补贴的发放，开展多次创城活动等；</w:t>
      </w:r>
      <w:r>
        <w:rPr>
          <w:snapToGrid w:val="0"/>
          <w:kern w:val="0"/>
          <w:sz w:val="28"/>
          <w:szCs w:val="28"/>
        </w:rPr>
        <w:t>年末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结转结余</w:t>
      </w:r>
      <w:r>
        <w:rPr>
          <w:rFonts w:hint="eastAsia"/>
          <w:snapToGrid w:val="0"/>
          <w:kern w:val="0"/>
          <w:sz w:val="28"/>
          <w:szCs w:val="28"/>
        </w:rPr>
        <w:t xml:space="preserve"> 15.97万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34.44万元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34.39万元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41.1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10.02万元，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人员的调入，精神文明奖的收入；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150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0.03万元，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银行存款利息增多。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32.53万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支出27.53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84.6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15.4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34.39万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为19.14万元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179.7</w:t>
      </w:r>
      <w:r>
        <w:rPr>
          <w:snapToGrid w:val="0"/>
          <w:kern w:val="0"/>
          <w:sz w:val="28"/>
          <w:szCs w:val="28"/>
        </w:rPr>
        <w:t>%，主要原因：</w:t>
      </w:r>
      <w:r>
        <w:rPr>
          <w:rFonts w:hint="eastAsia"/>
          <w:snapToGrid w:val="0"/>
          <w:kern w:val="0"/>
          <w:sz w:val="28"/>
          <w:szCs w:val="28"/>
        </w:rPr>
        <w:t>根据工作需要人员的调入，开展大型活动等。上年决算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24.37万元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41.1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10.02万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根据工作需要人员的调入，开展大型活动等；年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6.35万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31.75万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19.14万元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179.7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：根据工作需要人员的调入，开展大型活动等。上年决算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21.66万元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39.7</w:t>
      </w:r>
      <w:r>
        <w:rPr>
          <w:snapToGrid w:val="0"/>
          <w:kern w:val="0"/>
          <w:sz w:val="28"/>
          <w:szCs w:val="28"/>
        </w:rPr>
        <w:t xml:space="preserve"> %，增支</w:t>
      </w:r>
      <w:r>
        <w:rPr>
          <w:rFonts w:hint="eastAsia"/>
          <w:snapToGrid w:val="0"/>
          <w:kern w:val="0"/>
          <w:sz w:val="28"/>
          <w:szCs w:val="28"/>
        </w:rPr>
        <w:t>12.61万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 xml:space="preserve">是：根据工作需要人员的调入，开展大型活动等。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2.11万元，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年增加1.43万元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增加210.3</w:t>
      </w:r>
      <w:r>
        <w:rPr>
          <w:snapToGrid w:val="0"/>
          <w:kern w:val="0"/>
          <w:sz w:val="28"/>
          <w:szCs w:val="28"/>
        </w:rPr>
        <w:t>%。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1、本部门2017年因公出国（境）费本年支出0万元，较年初预算增减0万元，增减0 %；较2016年增减0万元，主要原因我单位2017年无因公出国（境）。因公出国（境）团组                                                                  0个，因公出国（境）人次数0人。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2.07万元。（201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1辆。）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公务用车运行维护费本年支出2.07万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加1.57万元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增加314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年增加1.39万元，主要原因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在</w:t>
      </w:r>
      <w:r>
        <w:rPr>
          <w:rFonts w:hint="eastAsia"/>
          <w:snapToGrid w:val="0"/>
          <w:kern w:val="0"/>
          <w:sz w:val="28"/>
          <w:szCs w:val="28"/>
        </w:rPr>
        <w:t>于公车改革，2016年公车只在第一季度使用，2017年调拨车辆，多次进行维修，2017年多次开展大型活动。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年公务接待费全年支出0.04万元，较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减少0.26万元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减少86.7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年增加0.04万元，主要原因2017年共青团改革，团市委督导。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国内公务接待批次1个，国内公务接待人次7人。</w:t>
      </w:r>
      <w:r>
        <w:rPr>
          <w:snapToGrid w:val="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2017年度团区委预算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（一）预算绩效管理工作开展情况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区财政预算绩效管理要求，我部门以“部门职责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按照区财政预算绩效管理要求，我部门对2017年初确定的部门一般公共预算支出专项项目全面开展了绩效自评。我部门决算专项项目1项，共涉及预算资金5万元，绩效自评覆盖率达到100%。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团区委标准化建设，迎接团省委督导检查”项目。为加强办公管理工作，优化办公条件，完善办公硬件及软件设施，更好的迎接团中央、省委的第二次督导，响应团中央的“改革攻坚、从严治团”，更好的发挥共青团的作用，我单位进行标准化建设。环境改善率为100%，办公硬件及软件设施完成率100%，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年本部门机关运行经费支出10.58万元，比201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年增加6.11万元，增长136.7%。主要原因是：开展“庆五四”表彰“孝老敬亲”青年的大型活动，配合徐水区创城开展各项活动等。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10.33万元，其中办公费2.38万元、印刷费0.1万元、邮电费1.02万元、差旅费0.11万元、维修（护）费2.63万元、会议费0.53万元、公务接待费0.04万元、工会经费0.28万元、福利费0.15万元、公务用车运行维护费2.07万元、其他交通费0.99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年政府采购预算总额为0万元，主要包括政府采购货物0万元，工程0万元及服务0万元。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年本部门政府采购支出总额0万元，其中：政府采购货物支出0万元、政府采购工程支出0万元、政府采购服务支出0万元。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年末固定资产总额为17.18万元，主要包括车辆1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辆价值7.68万元，及其他固定资产9.5万元。 </w:t>
      </w:r>
    </w:p>
    <w:p>
      <w:pPr>
        <w:pStyle w:val="7"/>
        <w:adjustRightInd w:val="0"/>
        <w:snapToGrid w:val="0"/>
        <w:spacing w:line="600" w:lineRule="exact"/>
        <w:ind w:left="315" w:leftChars="1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年资产变动情况：固定资产增加9.16万元，包括车辆增加5.88万元，其他固定资产增加3.28万元。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  （六）其他交通费用：填列单位除公务用车运行维护费以外的其他交通费用。如飞机、船舶等的燃料费、维修费、过桥过路费、保险费、出租车费用、公务交通补贴等。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（七）公务用车购置：填列单位公务用车车辆购置支出（含车辆购置税）。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ZDA0MTMxMzBjYTUwNmIwYWQwNmE1NzBlZjFmNDMifQ=="/>
  </w:docVars>
  <w:rsids>
    <w:rsidRoot w:val="008423F5"/>
    <w:rsid w:val="00040ECF"/>
    <w:rsid w:val="000B6CEF"/>
    <w:rsid w:val="000D0AD6"/>
    <w:rsid w:val="001041EE"/>
    <w:rsid w:val="0015089B"/>
    <w:rsid w:val="00152908"/>
    <w:rsid w:val="001C673D"/>
    <w:rsid w:val="001E68F2"/>
    <w:rsid w:val="00271FE8"/>
    <w:rsid w:val="002C5C57"/>
    <w:rsid w:val="003277A3"/>
    <w:rsid w:val="0035541D"/>
    <w:rsid w:val="00372DF7"/>
    <w:rsid w:val="00373F1F"/>
    <w:rsid w:val="003C1304"/>
    <w:rsid w:val="003E4249"/>
    <w:rsid w:val="003F0B48"/>
    <w:rsid w:val="003F3B34"/>
    <w:rsid w:val="00441508"/>
    <w:rsid w:val="00471A6A"/>
    <w:rsid w:val="004F42E9"/>
    <w:rsid w:val="00534748"/>
    <w:rsid w:val="00560226"/>
    <w:rsid w:val="00574C4B"/>
    <w:rsid w:val="0058572E"/>
    <w:rsid w:val="005A5443"/>
    <w:rsid w:val="005B3169"/>
    <w:rsid w:val="005E5B3C"/>
    <w:rsid w:val="0060361A"/>
    <w:rsid w:val="0066222E"/>
    <w:rsid w:val="006B564B"/>
    <w:rsid w:val="006B736A"/>
    <w:rsid w:val="006E71D0"/>
    <w:rsid w:val="00701576"/>
    <w:rsid w:val="00765F7C"/>
    <w:rsid w:val="00780095"/>
    <w:rsid w:val="00791B38"/>
    <w:rsid w:val="007D29FA"/>
    <w:rsid w:val="008026BF"/>
    <w:rsid w:val="0082704B"/>
    <w:rsid w:val="008423F5"/>
    <w:rsid w:val="00842CBB"/>
    <w:rsid w:val="00857A80"/>
    <w:rsid w:val="008C27E7"/>
    <w:rsid w:val="008F4F55"/>
    <w:rsid w:val="00945D0B"/>
    <w:rsid w:val="00966842"/>
    <w:rsid w:val="00985214"/>
    <w:rsid w:val="009965D2"/>
    <w:rsid w:val="009B74FB"/>
    <w:rsid w:val="00A372C2"/>
    <w:rsid w:val="00A436B0"/>
    <w:rsid w:val="00AA21A2"/>
    <w:rsid w:val="00B005DA"/>
    <w:rsid w:val="00B163E8"/>
    <w:rsid w:val="00B17297"/>
    <w:rsid w:val="00B33CA0"/>
    <w:rsid w:val="00B40ED6"/>
    <w:rsid w:val="00BD2A44"/>
    <w:rsid w:val="00C07E97"/>
    <w:rsid w:val="00C222CB"/>
    <w:rsid w:val="00C81E04"/>
    <w:rsid w:val="00C82568"/>
    <w:rsid w:val="00C84E07"/>
    <w:rsid w:val="00CA2480"/>
    <w:rsid w:val="00CB45AA"/>
    <w:rsid w:val="00CC2467"/>
    <w:rsid w:val="00D20448"/>
    <w:rsid w:val="00D44577"/>
    <w:rsid w:val="00D6325B"/>
    <w:rsid w:val="00D9008B"/>
    <w:rsid w:val="00DB7E7C"/>
    <w:rsid w:val="00DC5EA2"/>
    <w:rsid w:val="00DF4743"/>
    <w:rsid w:val="00E441A8"/>
    <w:rsid w:val="00E71A30"/>
    <w:rsid w:val="00E83198"/>
    <w:rsid w:val="00ED0DAA"/>
    <w:rsid w:val="00F00F83"/>
    <w:rsid w:val="00F7078F"/>
    <w:rsid w:val="00FA67A0"/>
    <w:rsid w:val="064A3FAD"/>
    <w:rsid w:val="0B6A15E4"/>
    <w:rsid w:val="0D6054DA"/>
    <w:rsid w:val="10BE0E28"/>
    <w:rsid w:val="1AF90D88"/>
    <w:rsid w:val="1F545778"/>
    <w:rsid w:val="62A02981"/>
    <w:rsid w:val="649F0FD5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468</Words>
  <Characters>2672</Characters>
  <Lines>22</Lines>
  <Paragraphs>6</Paragraphs>
  <TotalTime>1</TotalTime>
  <ScaleCrop>false</ScaleCrop>
  <LinksUpToDate>false</LinksUpToDate>
  <CharactersWithSpaces>3134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2019-03-09T07:33:00Z</dcterms:created>
  <dc:creator>yuanxiaowei</dc:creator>
  <cp:lastModifiedBy>天天</cp:lastModifiedBy>
  <cp:lastPrinted>2017-08-29T03:35:00Z</cp:lastPrinted>
  <dcterms:modified xsi:type="dcterms:W3CDTF">2023-11-14T10:11:33Z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E60E191C859347ABB81B22E74577B6A1_13</vt:lpwstr>
  </property>
</Properties>
</file>