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rFonts w:ascii="华文中宋" w:hAnsi="华文中宋"/>
          <w:sz w:val="36"/>
          <w:szCs w:val="36"/>
        </w:rPr>
      </w:pPr>
      <w:r>
        <w:rPr>
          <w:rFonts w:ascii="华文中宋" w:hAnsi="华文中宋"/>
          <w:sz w:val="36"/>
          <w:szCs w:val="36"/>
        </w:rPr>
        <w:t>安</w:t>
      </w:r>
      <w:r>
        <w:rPr>
          <w:rFonts w:ascii="华文中宋" w:hAnsi="华文中宋"/>
          <w:sz w:val="36"/>
          <w:szCs w:val="36"/>
        </w:rPr>
        <w:t>监局</w:t>
      </w:r>
      <w:r>
        <w:rPr>
          <w:rFonts w:ascii="华文中宋" w:hAnsi="华文中宋"/>
          <w:sz w:val="36"/>
          <w:szCs w:val="36"/>
        </w:rPr>
        <w:t>部门</w:t>
      </w:r>
      <w:r>
        <w:rPr>
          <w:rFonts w:ascii="华文中宋" w:hAnsi="华文中宋"/>
          <w:sz w:val="36"/>
          <w:szCs w:val="36"/>
        </w:rPr>
        <w:t>决算</w:t>
      </w:r>
      <w:r>
        <w:rPr>
          <w:rFonts w:ascii="华文中宋" w:hAnsi="华文中宋"/>
          <w:sz w:val="36"/>
          <w:szCs w:val="36"/>
        </w:rPr>
        <w:t>基本</w:t>
      </w:r>
      <w:r>
        <w:rPr>
          <w:rFonts w:ascii="华文中宋" w:hAnsi="华文中宋"/>
          <w:sz w:val="36"/>
          <w:szCs w:val="36"/>
        </w:rPr>
        <w:t>情况</w:t>
      </w:r>
    </w:p>
    <w:p>
      <w:pPr>
        <w:pStyle w:val=""/>
        <w:jc w:val="center"/>
        <w:rPr>
          <w:rFonts w:ascii="华文中宋" w:hAnsi="华文中宋"/>
          <w:sz w:val="28"/>
          <w:szCs w:val="28"/>
        </w:rPr>
      </w:pPr>
    </w:p>
    <w:p>
      <w:pPr>
        <w:pStyle w:val=""/>
        <w:jc w:val="center"/>
        <w:rPr>
          <w:rFonts w:ascii="仿宋_GB2312" w:hAnsi="仿宋"/>
          <w:sz w:val="32"/>
          <w:szCs w:val="32"/>
        </w:rPr>
      </w:pPr>
    </w:p>
    <w:p>
      <w:pPr>
        <w:pStyle w:val=""/>
        <w:ind w:firstLine="640"/>
        <w:spacing w:line="360" w:lineRule="auto"/>
        <w:rPr>
          <w:rFonts w:ascii="黑体" w:hAnsi="仿宋"/>
          <w:sz w:val="32"/>
          <w:szCs w:val="32"/>
        </w:rPr>
      </w:pPr>
      <w:r>
        <w:rPr>
          <w:rFonts w:ascii="黑体" w:hAnsi="仿宋"/>
          <w:sz w:val="32"/>
          <w:szCs w:val="32"/>
        </w:rPr>
        <w:t>一、</w:t>
      </w:r>
      <w:r>
        <w:rPr>
          <w:rFonts w:ascii="黑体" w:hAnsi="仿宋"/>
          <w:sz w:val="32"/>
          <w:szCs w:val="32"/>
        </w:rPr>
        <w:t>部门职责</w:t>
      </w:r>
    </w:p>
    <w:p>
      <w:pPr>
        <w:pStyle w:val=""/>
      </w:pPr>
      <w:r>
        <w:rPr>
          <w:rFonts w:ascii="仿宋" w:hAnsi="仿宋"/>
          <w:sz w:val="28"/>
          <w:szCs w:val="28"/>
        </w:rPr>
        <w:t>1、综合监督管理全县安全生产工作；组织起草有关安全生产方面的管理办法和实施意见；组织实施工矿商贸企业安全生产标准。</w:t>
      </w:r>
    </w:p>
    <w:p>
      <w:pPr>
        <w:pStyle w:val=""/>
      </w:pPr>
      <w:r>
        <w:rPr>
          <w:rFonts w:ascii="仿宋" w:hAnsi="仿宋"/>
          <w:sz w:val="28"/>
          <w:szCs w:val="28"/>
        </w:rPr>
        <w:t>2</w:t>
      </w:r>
      <w:r>
        <w:rPr>
          <w:rFonts w:ascii="仿宋" w:hAnsi="仿宋"/>
          <w:sz w:val="28"/>
          <w:szCs w:val="28"/>
        </w:rPr>
        <w:t>、依法行使</w:t>
      </w:r>
      <w:r>
        <w:rPr>
          <w:rFonts w:ascii="仿宋" w:hAnsi="仿宋"/>
          <w:sz w:val="28"/>
          <w:szCs w:val="28"/>
        </w:rPr>
        <w:t>安全生产综合监督管理职权，指导协调和监督全县安全生产监督管理工作；制定全县安全生产发展规划；定期分析和预测全县安全生产形势，研究、协调解决安全生产中的重大问题。</w:t>
      </w:r>
    </w:p>
    <w:p>
      <w:pPr>
        <w:pStyle w:val=""/>
      </w:pPr>
      <w:r>
        <w:rPr>
          <w:rFonts w:ascii="仿宋" w:hAnsi="仿宋"/>
          <w:sz w:val="28"/>
          <w:szCs w:val="28"/>
        </w:rPr>
        <w:t>3、负责全县非煤矿山企业、危险化学品、烟花爆竹等生产经营单位安全生产的监督管理；</w:t>
      </w:r>
    </w:p>
    <w:p>
      <w:pPr>
        <w:pStyle w:val=""/>
      </w:pPr>
      <w:r>
        <w:rPr>
          <w:rFonts w:ascii="仿宋" w:hAnsi="仿宋"/>
          <w:sz w:val="28"/>
          <w:szCs w:val="28"/>
        </w:rPr>
        <w:t>4、负责对工矿商贸作业场所（煤矿作业场所除外）职业卫生监督检查，组织调查处理职业危害事故和违法违规行为；依据《中华人民共和国行政许可法》受理、审报安全生产经营许可证。</w:t>
      </w:r>
    </w:p>
    <w:p>
      <w:pPr>
        <w:pStyle w:val=""/>
      </w:pPr>
      <w:r>
        <w:rPr>
          <w:rFonts w:ascii="仿宋" w:hAnsi="仿宋"/>
          <w:sz w:val="28"/>
          <w:szCs w:val="28"/>
        </w:rPr>
        <w:t>5、负责发布全县安全生产信息，综合管理全县安全生产伤亡事故统计、分析和上报工作；依法组织、协调重大事故的调查处理，实施责任追究；组织、指挥和协调安全生产应急救援工作。</w:t>
      </w:r>
    </w:p>
    <w:p>
      <w:pPr>
        <w:pStyle w:val=""/>
      </w:pPr>
      <w:r>
        <w:rPr>
          <w:rFonts w:ascii="仿宋" w:hAnsi="仿宋"/>
          <w:sz w:val="28"/>
          <w:szCs w:val="28"/>
        </w:rPr>
        <w:t>6、依法对工矿商贸企业贯彻执行安全生产法律法规情况实施监督管理，组织开展对工矿商贸企业安全生产条件和有关设备（特种设备除外）的安全评价、检测检验、安全咨询等工作；依法查处不具备安全安全生产经营条件的生产经营单位，对违法违规行为依法给与行政处罚，依法规范企业生产经营行为。</w:t>
      </w:r>
    </w:p>
    <w:p>
      <w:pPr>
        <w:pStyle w:val=""/>
      </w:pPr>
      <w:r>
        <w:rPr>
          <w:rFonts w:ascii="仿宋" w:hAnsi="仿宋"/>
          <w:sz w:val="28"/>
          <w:szCs w:val="28"/>
        </w:rPr>
        <w:t>7、组织、指导全县安全生产宣传教育工作；依法组织并监督对生产经营单位负责人、安全管理人员、特种作业人员（特种设备作业人员除外）的培训、安全资格考核及发证工作；监督检查生产经营单位对其他从业人员的安全教育与培训工作。</w:t>
      </w:r>
    </w:p>
    <w:p>
      <w:pPr>
        <w:pStyle w:val=""/>
        <w:ind w:firstLine="640"/>
        <w:spacing w:line="360" w:lineRule="auto"/>
        <w:rPr>
          <w:rFonts w:ascii="黑体" w:hAnsi="仿宋"/>
          <w:sz w:val="32"/>
          <w:szCs w:val="32"/>
        </w:rPr>
      </w:pPr>
      <w:r>
        <w:rPr>
          <w:rFonts w:ascii="黑体" w:hAnsi="仿宋"/>
          <w:sz w:val="32"/>
          <w:szCs w:val="32"/>
        </w:rPr>
        <w:t>二、</w:t>
      </w:r>
      <w:r>
        <w:rPr>
          <w:rFonts w:ascii="黑体" w:hAnsi="仿宋"/>
          <w:sz w:val="32"/>
          <w:szCs w:val="32"/>
        </w:rPr>
        <w:t>部门机构和人员情况</w:t>
      </w:r>
    </w:p>
    <w:p>
      <w:pPr>
        <w:pStyle w:val=""/>
        <w:ind w:firstLine="640"/>
        <w:spacing w:line="360" w:lineRule="auto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>我</w:t>
      </w:r>
      <w:r>
        <w:rPr>
          <w:rFonts w:ascii="仿宋_GB2312" w:hAnsi="仿宋"/>
          <w:sz w:val="32"/>
          <w:szCs w:val="32"/>
        </w:rPr>
        <w:t>部门独立核算</w:t>
      </w:r>
      <w:r>
        <w:rPr>
          <w:rFonts w:ascii="仿宋_GB2312" w:hAnsi="仿宋"/>
          <w:sz w:val="32"/>
          <w:szCs w:val="32"/>
        </w:rPr>
        <w:t>机构1个</w:t>
      </w:r>
      <w:r>
        <w:rPr>
          <w:rFonts w:ascii="仿宋_GB2312" w:hAnsi="仿宋"/>
          <w:sz w:val="32"/>
          <w:szCs w:val="32"/>
        </w:rPr>
        <w:t>，年末</w:t>
      </w:r>
      <w:r>
        <w:rPr>
          <w:rFonts w:ascii="仿宋_GB2312" w:hAnsi="仿宋"/>
          <w:sz w:val="32"/>
          <w:szCs w:val="32"/>
        </w:rPr>
        <w:t>实</w:t>
      </w:r>
      <w:r>
        <w:rPr>
          <w:rFonts w:ascii="仿宋_GB2312" w:hAnsi="仿宋"/>
          <w:sz w:val="32"/>
          <w:szCs w:val="32"/>
        </w:rPr>
        <w:t>有人数</w:t>
      </w:r>
      <w:r>
        <w:rPr>
          <w:rFonts w:ascii="仿宋_GB2312" w:hAnsi="仿宋"/>
          <w:sz w:val="32"/>
          <w:szCs w:val="32"/>
        </w:rPr>
        <w:t>25</w:t>
      </w:r>
      <w:r>
        <w:rPr>
          <w:rFonts w:ascii="仿宋_GB2312" w:hAnsi="仿宋"/>
          <w:sz w:val="32"/>
          <w:szCs w:val="32"/>
        </w:rPr>
        <w:t>人</w:t>
      </w:r>
      <w:r>
        <w:rPr>
          <w:rFonts w:ascii="仿宋_GB2312" w:hAnsi="仿宋"/>
          <w:sz w:val="32"/>
          <w:szCs w:val="32"/>
        </w:rPr>
        <w:t>，</w:t>
      </w:r>
      <w:r>
        <w:rPr>
          <w:rFonts w:ascii="仿宋_GB2312" w:hAnsi="仿宋"/>
          <w:sz w:val="32"/>
          <w:szCs w:val="32"/>
        </w:rPr>
        <w:t>其中</w:t>
      </w:r>
      <w:r>
        <w:rPr>
          <w:rFonts w:ascii="仿宋_GB2312" w:hAnsi="仿宋"/>
          <w:sz w:val="32"/>
          <w:szCs w:val="32"/>
        </w:rPr>
        <w:t>在职人员</w:t>
      </w:r>
      <w:r>
        <w:rPr>
          <w:rFonts w:ascii="仿宋_GB2312" w:hAnsi="仿宋"/>
          <w:sz w:val="32"/>
          <w:szCs w:val="32"/>
        </w:rPr>
        <w:t>24</w:t>
      </w:r>
      <w:r>
        <w:rPr>
          <w:rFonts w:ascii="仿宋_GB2312" w:hAnsi="仿宋"/>
          <w:sz w:val="32"/>
          <w:szCs w:val="32"/>
        </w:rPr>
        <w:t>人</w:t>
      </w:r>
      <w:r>
        <w:rPr>
          <w:rFonts w:ascii="仿宋_GB2312" w:hAnsi="仿宋"/>
          <w:sz w:val="32"/>
          <w:szCs w:val="32"/>
        </w:rPr>
        <w:t>，离休人员</w:t>
      </w:r>
      <w:r>
        <w:rPr>
          <w:rFonts w:ascii="仿宋_GB2312" w:hAnsi="仿宋"/>
          <w:sz w:val="32"/>
          <w:szCs w:val="32"/>
        </w:rPr>
        <w:t>0</w:t>
      </w:r>
      <w:r>
        <w:rPr>
          <w:rFonts w:ascii="仿宋_GB2312" w:hAnsi="仿宋"/>
          <w:sz w:val="32"/>
          <w:szCs w:val="32"/>
        </w:rPr>
        <w:t>人</w:t>
      </w:r>
      <w:r>
        <w:rPr>
          <w:rFonts w:ascii="仿宋_GB2312" w:hAnsi="仿宋"/>
          <w:sz w:val="32"/>
          <w:szCs w:val="32"/>
        </w:rPr>
        <w:t>，退休人员</w:t>
      </w:r>
      <w:r>
        <w:rPr>
          <w:rFonts w:ascii="仿宋_GB2312" w:hAnsi="仿宋"/>
          <w:sz w:val="32"/>
          <w:szCs w:val="32"/>
        </w:rPr>
        <w:t>1</w:t>
      </w:r>
      <w:r>
        <w:rPr>
          <w:rFonts w:ascii="仿宋_GB2312" w:hAnsi="仿宋"/>
          <w:sz w:val="32"/>
          <w:szCs w:val="32"/>
        </w:rPr>
        <w:t>人</w:t>
      </w:r>
      <w:r>
        <w:rPr>
          <w:rFonts w:ascii="仿宋_GB2312" w:hAnsi="仿宋"/>
          <w:sz w:val="32"/>
          <w:szCs w:val="32"/>
        </w:rPr>
        <w:t>。</w:t>
      </w:r>
    </w:p>
    <w:p>
      <w:pPr>
        <w:pStyle w:val=""/>
        <w:ind w:firstLine="640"/>
        <w:spacing w:line="360" w:lineRule="auto"/>
        <w:rPr>
          <w:rFonts w:ascii="仿宋_GB2312" w:hAnsi="仿宋"/>
          <w:sz w:val="32"/>
          <w:szCs w:val="32"/>
        </w:rPr>
      </w:pPr>
    </w:p>
    <w:p>
      <w:pPr>
        <w:pStyle w:val=""/>
        <w:ind w:firstLine="640"/>
        <w:spacing w:line="360" w:lineRule="auto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 xml:space="preserve">                       201</w:t>
      </w:r>
      <w:r>
        <w:rPr>
          <w:rFonts w:ascii="仿宋_GB2312" w:hAnsi="仿宋"/>
          <w:sz w:val="32"/>
          <w:szCs w:val="32"/>
        </w:rPr>
        <w:t>6</w:t>
      </w:r>
      <w:r>
        <w:rPr>
          <w:rFonts w:ascii="仿宋_GB2312" w:hAnsi="仿宋"/>
          <w:sz w:val="32"/>
          <w:szCs w:val="32"/>
        </w:rPr>
        <w:t>年</w:t>
      </w:r>
      <w:r>
        <w:rPr>
          <w:rFonts w:ascii="仿宋_GB2312" w:hAnsi="仿宋"/>
          <w:sz w:val="32"/>
          <w:szCs w:val="32"/>
        </w:rPr>
        <w:t>9</w:t>
      </w:r>
      <w:r>
        <w:rPr>
          <w:rFonts w:ascii="仿宋_GB2312" w:hAnsi="仿宋"/>
          <w:sz w:val="32"/>
          <w:szCs w:val="32"/>
        </w:rPr>
        <w:t>月</w:t>
      </w:r>
      <w:r>
        <w:rPr>
          <w:rFonts w:ascii="仿宋_GB2312" w:hAnsi="仿宋"/>
          <w:sz w:val="32"/>
          <w:szCs w:val="32"/>
        </w:rPr>
        <w:t xml:space="preserve"> </w:t>
      </w:r>
      <w:r>
        <w:rPr>
          <w:rFonts w:ascii="仿宋_GB2312" w:hAnsi="仿宋"/>
          <w:sz w:val="32"/>
          <w:szCs w:val="32"/>
        </w:rPr>
        <w:t>12</w:t>
      </w:r>
      <w:r>
        <w:rPr>
          <w:rFonts w:ascii="仿宋_GB2312" w:hAnsi="仿宋"/>
          <w:sz w:val="32"/>
          <w:szCs w:val="32"/>
        </w:rPr>
        <w:t xml:space="preserve">日 </w:t>
      </w:r>
    </w:p>
    <w:p>
      <w:pPr>
        <w:pStyle w:val=""/>
        <w:ind w:firstLine="640"/>
        <w:spacing w:line="360" w:lineRule="auto"/>
        <w:rPr>
          <w:rFonts w:ascii="仿宋_GB2312" w:hAnsi="仿宋"/>
          <w:sz w:val="32"/>
          <w:szCs w:val="32"/>
        </w:rPr>
      </w:pPr>
    </w:p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华文中宋"/>
  <w:font w:name="仿宋_GB2312"/>
  <w:font w:name="仿宋"/>
  <w:font w:name="黑体"/>
  <w:font w:name="Calibri"/>
  <w:font w:name="宋体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Times New Roman" w:hAnsi="Times New Roman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日期"/>
    <w:qFormat/>
    <w:basedOn w:val="正文"/>
    <w:pPr>
      <w:ind w:left="2500"/>
    </w:pPr>
  </w:style>
  <w:style w:type="character" w:styleId="Char">
    <w:name w:val="日期 Char"/>
    <w:qFormat/>
    <w:rPr>
      <w:rFonts w:ascii="Times New Roman" w:hAnsi="Times New Roman"/>
      <w:szCs w:val="24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rPr>
      <w:rFonts w:ascii="Times New Roman" w:hAnsi="Times New Roman"/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rPr>
      <w:rFonts w:ascii="Times New Roman" w:hAnsi="Times New Roman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