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29" w:rsidRDefault="00E84E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徐水区妇联部门</w:t>
      </w:r>
      <w:r>
        <w:rPr>
          <w:b/>
          <w:sz w:val="44"/>
          <w:szCs w:val="44"/>
        </w:rPr>
        <w:t>概况</w:t>
      </w:r>
    </w:p>
    <w:p w:rsidR="00521F29" w:rsidRDefault="00E84E99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521F29" w:rsidRDefault="00E84E99">
      <w:pPr>
        <w:adjustRightInd w:val="0"/>
        <w:snapToGrid w:val="0"/>
        <w:spacing w:line="58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徐水区妇女联合会是党领导下的全区各族各界妇女的群众团体，是党和政府联系妇女群众的桥梁和纽带，是国家政权的重要支柱之一，其主要职责包括：</w:t>
      </w:r>
      <w:r>
        <w:rPr>
          <w:snapToGrid w:val="0"/>
          <w:kern w:val="0"/>
          <w:sz w:val="28"/>
          <w:szCs w:val="28"/>
        </w:rPr>
        <w:t xml:space="preserve"> </w:t>
      </w:r>
    </w:p>
    <w:p w:rsidR="00521F29" w:rsidRDefault="00E84E99">
      <w:pPr>
        <w:adjustRightInd w:val="0"/>
        <w:snapToGrid w:val="0"/>
        <w:spacing w:line="58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一、代表和维护妇女儿童合法权益，促进男女平等。</w:t>
      </w:r>
    </w:p>
    <w:p w:rsidR="00521F29" w:rsidRDefault="00E84E99">
      <w:pPr>
        <w:adjustRightInd w:val="0"/>
        <w:snapToGrid w:val="0"/>
        <w:spacing w:line="58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二、负责党的路线、方针、政策的宣传，向社会宣传妇女，向妇女宣传社会，充分利用三八妇女节，宣传各种先进典型。</w:t>
      </w:r>
    </w:p>
    <w:p w:rsidR="00521F29" w:rsidRDefault="00E84E99">
      <w:pPr>
        <w:adjustRightInd w:val="0"/>
        <w:snapToGrid w:val="0"/>
        <w:spacing w:line="58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三、指导各级妇联组织的培训工作，配合组织部门做好妇女干部的培养选拔。</w:t>
      </w:r>
    </w:p>
    <w:p w:rsidR="00521F29" w:rsidRDefault="00E84E99">
      <w:pPr>
        <w:adjustRightInd w:val="0"/>
        <w:snapToGrid w:val="0"/>
        <w:spacing w:line="58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四、动员组织城乡妇女参与经济建设，组织农村妇女开展双学双比活动，组织城镇妇女开展巾帼建功活动。</w:t>
      </w:r>
    </w:p>
    <w:p w:rsidR="00521F29" w:rsidRDefault="00E84E99">
      <w:pPr>
        <w:adjustRightInd w:val="0"/>
        <w:snapToGrid w:val="0"/>
        <w:spacing w:line="58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五、接待来信来访，为受害妇女提供法律帮助，极大程度的维护妇女合法权益。</w:t>
      </w:r>
      <w:r>
        <w:rPr>
          <w:snapToGrid w:val="0"/>
          <w:kern w:val="0"/>
          <w:sz w:val="28"/>
          <w:szCs w:val="28"/>
        </w:rPr>
        <w:t xml:space="preserve"> </w:t>
      </w:r>
    </w:p>
    <w:p w:rsidR="00521F29" w:rsidRDefault="00521F29">
      <w:pPr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521F29" w:rsidRDefault="00E84E99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编制</w:t>
      </w:r>
      <w:r>
        <w:rPr>
          <w:snapToGrid w:val="0"/>
          <w:kern w:val="0"/>
          <w:sz w:val="28"/>
          <w:szCs w:val="28"/>
        </w:rPr>
        <w:t>人数</w:t>
      </w:r>
      <w:r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，行政编制数</w:t>
      </w:r>
      <w:r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，机关工勤编制数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，事业编制数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有在职人员</w:t>
      </w:r>
      <w:r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内设机构</w:t>
      </w:r>
      <w:r>
        <w:rPr>
          <w:snapToGrid w:val="0"/>
          <w:kern w:val="0"/>
          <w:sz w:val="28"/>
          <w:szCs w:val="28"/>
        </w:rPr>
        <w:t>一个</w:t>
      </w:r>
      <w:r>
        <w:rPr>
          <w:rFonts w:hint="eastAsia"/>
          <w:snapToGrid w:val="0"/>
          <w:kern w:val="0"/>
          <w:sz w:val="28"/>
          <w:szCs w:val="28"/>
        </w:rPr>
        <w:t>：综合股</w:t>
      </w:r>
    </w:p>
    <w:p w:rsidR="00521F29" w:rsidRDefault="00E84E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徐水妇联部门</w:t>
      </w: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521F29" w:rsidRDefault="00E84E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104.98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45.35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32.75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111.36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36.45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29.75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0.1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  <w:r>
        <w:rPr>
          <w:rFonts w:hint="eastAsia"/>
          <w:snapToGrid w:val="0"/>
          <w:kern w:val="0"/>
          <w:sz w:val="28"/>
          <w:szCs w:val="28"/>
        </w:rPr>
        <w:t>原因：工资普调及津补贴调标，当年追加经费增长。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104.98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101.98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 xml:space="preserve">43.19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30.76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为工资调标，人员经费增加；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200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为增加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两癌母亲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救助款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111.36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</w:t>
      </w:r>
      <w:r>
        <w:rPr>
          <w:rFonts w:hint="eastAsia"/>
          <w:snapToGrid w:val="0"/>
          <w:kern w:val="0"/>
          <w:sz w:val="28"/>
          <w:szCs w:val="28"/>
        </w:rPr>
        <w:t>111.36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101.98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43.19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30.76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108.35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34.41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27.74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0.1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  <w:r>
        <w:rPr>
          <w:rFonts w:hint="eastAsia"/>
          <w:snapToGrid w:val="0"/>
          <w:kern w:val="0"/>
          <w:sz w:val="28"/>
          <w:szCs w:val="28"/>
        </w:rPr>
        <w:t>主要原因是：工资调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标人员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经费增加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年财政拨款支出年初预算数为</w:t>
      </w:r>
      <w:r>
        <w:rPr>
          <w:rFonts w:hint="eastAsia"/>
          <w:snapToGrid w:val="0"/>
          <w:kern w:val="0"/>
          <w:sz w:val="28"/>
          <w:szCs w:val="28"/>
        </w:rPr>
        <w:t>87.13</w:t>
      </w:r>
      <w:r>
        <w:rPr>
          <w:rFonts w:hint="eastAsia"/>
          <w:snapToGrid w:val="0"/>
          <w:kern w:val="0"/>
          <w:sz w:val="28"/>
          <w:szCs w:val="28"/>
        </w:rPr>
        <w:t>万元，本年支出决算数为</w:t>
      </w:r>
      <w:r>
        <w:rPr>
          <w:rFonts w:hint="eastAsia"/>
          <w:snapToGrid w:val="0"/>
          <w:kern w:val="0"/>
          <w:sz w:val="28"/>
          <w:szCs w:val="28"/>
        </w:rPr>
        <w:t>108.35</w:t>
      </w:r>
      <w:r>
        <w:rPr>
          <w:rFonts w:hint="eastAsia"/>
          <w:snapToGrid w:val="0"/>
          <w:kern w:val="0"/>
          <w:sz w:val="28"/>
          <w:szCs w:val="28"/>
        </w:rPr>
        <w:t>万元，占年初预算数的</w:t>
      </w:r>
      <w:r>
        <w:rPr>
          <w:rFonts w:hint="eastAsia"/>
          <w:snapToGrid w:val="0"/>
          <w:kern w:val="0"/>
          <w:sz w:val="28"/>
          <w:szCs w:val="28"/>
        </w:rPr>
        <w:t>124.35%</w:t>
      </w:r>
      <w:r>
        <w:rPr>
          <w:rFonts w:hint="eastAsia"/>
          <w:snapToGrid w:val="0"/>
          <w:kern w:val="0"/>
          <w:sz w:val="28"/>
          <w:szCs w:val="28"/>
        </w:rPr>
        <w:t>，主要原因：工资普调及津补贴调标，当年追加经费增长。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FB7B0E" w:rsidRDefault="00FB7B0E" w:rsidP="00FB7B0E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2.16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1.76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44.93</w:t>
      </w:r>
      <w:bookmarkStart w:id="0" w:name="_GoBack"/>
      <w:bookmarkEnd w:id="0"/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21F29" w:rsidRDefault="00E84E9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本部门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2016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0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8A2525" w:rsidRPr="008A2525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8A2525" w:rsidRPr="008A2525">
        <w:rPr>
          <w:rFonts w:hint="eastAsia"/>
          <w:snapToGrid w:val="0"/>
          <w:kern w:val="0"/>
          <w:sz w:val="28"/>
          <w:szCs w:val="28"/>
        </w:rPr>
        <w:t>压减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0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万元，增加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0%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，较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2015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年增加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0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万元，增加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0 %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。主要原因：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lastRenderedPageBreak/>
        <w:t>无出国出境安排。因公出国（境）团组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 xml:space="preserve">                                                                    0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0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人。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                             </w:t>
      </w:r>
    </w:p>
    <w:p w:rsidR="00C25C6B" w:rsidRDefault="00E84E99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2.09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（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2016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="008A2525">
        <w:rPr>
          <w:snapToGrid w:val="0"/>
          <w:kern w:val="0"/>
          <w:sz w:val="28"/>
          <w:szCs w:val="28"/>
        </w:rPr>
        <w:t>1</w:t>
      </w:r>
      <w:r w:rsidR="008A2525" w:rsidRPr="008A2525">
        <w:rPr>
          <w:rFonts w:hint="eastAsia"/>
          <w:snapToGrid w:val="0"/>
          <w:kern w:val="0"/>
          <w:sz w:val="28"/>
          <w:szCs w:val="28"/>
        </w:rPr>
        <w:t>辆。）</w:t>
      </w:r>
      <w:r w:rsidR="00C25C6B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521F29" w:rsidRDefault="00C25C6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C25C6B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C25C6B">
        <w:rPr>
          <w:rFonts w:hint="eastAsia"/>
          <w:snapToGrid w:val="0"/>
          <w:kern w:val="0"/>
          <w:sz w:val="28"/>
          <w:szCs w:val="28"/>
        </w:rPr>
        <w:t>0</w:t>
      </w:r>
      <w:r w:rsidRPr="00C25C6B">
        <w:rPr>
          <w:rFonts w:hint="eastAsia"/>
          <w:snapToGrid w:val="0"/>
          <w:kern w:val="0"/>
          <w:sz w:val="28"/>
          <w:szCs w:val="28"/>
        </w:rPr>
        <w:t>万元；</w:t>
      </w:r>
      <w:proofErr w:type="gramStart"/>
      <w:r w:rsidRPr="00C25C6B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Pr="00C25C6B">
        <w:rPr>
          <w:rFonts w:hint="eastAsia"/>
          <w:snapToGrid w:val="0"/>
          <w:kern w:val="0"/>
          <w:sz w:val="28"/>
          <w:szCs w:val="28"/>
        </w:rPr>
        <w:t>压减</w:t>
      </w:r>
      <w:r w:rsidRPr="00C25C6B">
        <w:rPr>
          <w:rFonts w:hint="eastAsia"/>
          <w:snapToGrid w:val="0"/>
          <w:kern w:val="0"/>
          <w:sz w:val="28"/>
          <w:szCs w:val="28"/>
        </w:rPr>
        <w:t>0</w:t>
      </w:r>
      <w:r w:rsidRPr="00C25C6B">
        <w:rPr>
          <w:rFonts w:hint="eastAsia"/>
          <w:snapToGrid w:val="0"/>
          <w:kern w:val="0"/>
          <w:sz w:val="28"/>
          <w:szCs w:val="28"/>
        </w:rPr>
        <w:t>万元，减少</w:t>
      </w:r>
      <w:r w:rsidRPr="00C25C6B">
        <w:rPr>
          <w:rFonts w:hint="eastAsia"/>
          <w:snapToGrid w:val="0"/>
          <w:kern w:val="0"/>
          <w:sz w:val="28"/>
          <w:szCs w:val="28"/>
        </w:rPr>
        <w:t>0%</w:t>
      </w:r>
      <w:r w:rsidRPr="00C25C6B">
        <w:rPr>
          <w:rFonts w:hint="eastAsia"/>
          <w:snapToGrid w:val="0"/>
          <w:kern w:val="0"/>
          <w:sz w:val="28"/>
          <w:szCs w:val="28"/>
        </w:rPr>
        <w:t>；较</w:t>
      </w:r>
      <w:r w:rsidRPr="00C25C6B">
        <w:rPr>
          <w:rFonts w:hint="eastAsia"/>
          <w:snapToGrid w:val="0"/>
          <w:kern w:val="0"/>
          <w:sz w:val="28"/>
          <w:szCs w:val="28"/>
        </w:rPr>
        <w:t>2015</w:t>
      </w:r>
      <w:r w:rsidRPr="00C25C6B">
        <w:rPr>
          <w:rFonts w:hint="eastAsia"/>
          <w:snapToGrid w:val="0"/>
          <w:kern w:val="0"/>
          <w:sz w:val="28"/>
          <w:szCs w:val="28"/>
        </w:rPr>
        <w:t>年增加</w:t>
      </w:r>
      <w:r w:rsidRPr="00C25C6B">
        <w:rPr>
          <w:rFonts w:hint="eastAsia"/>
          <w:snapToGrid w:val="0"/>
          <w:kern w:val="0"/>
          <w:sz w:val="28"/>
          <w:szCs w:val="28"/>
        </w:rPr>
        <w:t>0</w:t>
      </w:r>
      <w:r w:rsidRPr="00C25C6B">
        <w:rPr>
          <w:rFonts w:hint="eastAsia"/>
          <w:snapToGrid w:val="0"/>
          <w:kern w:val="0"/>
          <w:sz w:val="28"/>
          <w:szCs w:val="28"/>
        </w:rPr>
        <w:t>万元，增加</w:t>
      </w:r>
      <w:r w:rsidRPr="00C25C6B">
        <w:rPr>
          <w:rFonts w:hint="eastAsia"/>
          <w:snapToGrid w:val="0"/>
          <w:kern w:val="0"/>
          <w:sz w:val="28"/>
          <w:szCs w:val="28"/>
        </w:rPr>
        <w:t>0%</w:t>
      </w:r>
      <w:r w:rsidRPr="00C25C6B">
        <w:rPr>
          <w:rFonts w:hint="eastAsia"/>
          <w:snapToGrid w:val="0"/>
          <w:kern w:val="0"/>
          <w:sz w:val="28"/>
          <w:szCs w:val="28"/>
        </w:rPr>
        <w:t>。主要原因：无公务用车购置。</w:t>
      </w:r>
    </w:p>
    <w:p w:rsidR="00521F29" w:rsidRDefault="00E84E99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2.09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="00C25C6B" w:rsidRPr="00C25C6B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C25C6B" w:rsidRPr="00C25C6B">
        <w:rPr>
          <w:rFonts w:hint="eastAsia"/>
          <w:snapToGrid w:val="0"/>
          <w:kern w:val="0"/>
          <w:sz w:val="28"/>
          <w:szCs w:val="28"/>
        </w:rPr>
        <w:t>压减</w:t>
      </w:r>
      <w:r w:rsidR="00C25C6B">
        <w:rPr>
          <w:rFonts w:hint="eastAsia"/>
          <w:snapToGrid w:val="0"/>
          <w:kern w:val="0"/>
          <w:sz w:val="28"/>
          <w:szCs w:val="28"/>
        </w:rPr>
        <w:t>0</w:t>
      </w:r>
      <w:r w:rsidR="00C25C6B">
        <w:rPr>
          <w:snapToGrid w:val="0"/>
          <w:kern w:val="0"/>
          <w:sz w:val="28"/>
          <w:szCs w:val="28"/>
        </w:rPr>
        <w:t>.91</w:t>
      </w:r>
      <w:r w:rsidR="00C25C6B" w:rsidRPr="00C25C6B">
        <w:rPr>
          <w:rFonts w:hint="eastAsia"/>
          <w:snapToGrid w:val="0"/>
          <w:kern w:val="0"/>
          <w:sz w:val="28"/>
          <w:szCs w:val="28"/>
        </w:rPr>
        <w:t>万元，减少</w:t>
      </w:r>
      <w:r w:rsidR="00C25C6B">
        <w:rPr>
          <w:rFonts w:hint="eastAsia"/>
          <w:snapToGrid w:val="0"/>
          <w:kern w:val="0"/>
          <w:sz w:val="28"/>
          <w:szCs w:val="28"/>
        </w:rPr>
        <w:t>3</w:t>
      </w:r>
      <w:r w:rsidR="00C25C6B">
        <w:rPr>
          <w:snapToGrid w:val="0"/>
          <w:kern w:val="0"/>
          <w:sz w:val="28"/>
          <w:szCs w:val="28"/>
        </w:rPr>
        <w:t>0.33</w:t>
      </w:r>
      <w:r w:rsidR="00C25C6B" w:rsidRPr="00C25C6B">
        <w:rPr>
          <w:rFonts w:hint="eastAsia"/>
          <w:snapToGrid w:val="0"/>
          <w:kern w:val="0"/>
          <w:sz w:val="28"/>
          <w:szCs w:val="28"/>
        </w:rPr>
        <w:t>%</w:t>
      </w:r>
      <w:r w:rsidR="00C25C6B" w:rsidRPr="00C25C6B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1.79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C25C6B">
        <w:rPr>
          <w:rFonts w:hint="eastAsia"/>
          <w:snapToGrid w:val="0"/>
          <w:kern w:val="0"/>
          <w:sz w:val="28"/>
          <w:szCs w:val="28"/>
        </w:rPr>
        <w:t>减少</w:t>
      </w:r>
      <w:r w:rsidR="00C25C6B">
        <w:rPr>
          <w:rFonts w:hint="eastAsia"/>
          <w:snapToGrid w:val="0"/>
          <w:kern w:val="0"/>
          <w:sz w:val="28"/>
          <w:szCs w:val="28"/>
        </w:rPr>
        <w:t>46.1</w:t>
      </w:r>
      <w:r w:rsidR="00C25C6B" w:rsidRPr="00C25C6B">
        <w:rPr>
          <w:rFonts w:hint="eastAsia"/>
          <w:snapToGrid w:val="0"/>
          <w:kern w:val="0"/>
          <w:sz w:val="28"/>
          <w:szCs w:val="28"/>
        </w:rPr>
        <w:t>%</w:t>
      </w:r>
      <w:r w:rsidR="00C25C6B" w:rsidRPr="00C25C6B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主要原因根据中央八项规定，压减支出。</w:t>
      </w:r>
    </w:p>
    <w:p w:rsidR="00521F29" w:rsidRDefault="00E84E99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0.07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B63D11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B63D11">
        <w:rPr>
          <w:rFonts w:hint="eastAsia"/>
          <w:snapToGrid w:val="0"/>
          <w:kern w:val="0"/>
          <w:sz w:val="28"/>
          <w:szCs w:val="28"/>
        </w:rPr>
        <w:t>压减</w:t>
      </w:r>
      <w:r w:rsidR="00B63D11">
        <w:rPr>
          <w:rFonts w:hint="eastAsia"/>
          <w:snapToGrid w:val="0"/>
          <w:kern w:val="0"/>
          <w:sz w:val="28"/>
          <w:szCs w:val="28"/>
        </w:rPr>
        <w:t>0.58</w:t>
      </w:r>
      <w:r w:rsidR="00B63D11">
        <w:rPr>
          <w:rFonts w:hint="eastAsia"/>
          <w:snapToGrid w:val="0"/>
          <w:kern w:val="0"/>
          <w:sz w:val="28"/>
          <w:szCs w:val="28"/>
        </w:rPr>
        <w:t>万元，减少</w:t>
      </w:r>
      <w:r w:rsidR="00B63D11">
        <w:rPr>
          <w:rFonts w:hint="eastAsia"/>
          <w:snapToGrid w:val="0"/>
          <w:kern w:val="0"/>
          <w:sz w:val="28"/>
          <w:szCs w:val="28"/>
        </w:rPr>
        <w:t>89.23</w:t>
      </w:r>
      <w:r w:rsidR="00B63D11" w:rsidRPr="00B63D11">
        <w:rPr>
          <w:rFonts w:hint="eastAsia"/>
          <w:snapToGrid w:val="0"/>
          <w:kern w:val="0"/>
          <w:sz w:val="28"/>
          <w:szCs w:val="28"/>
        </w:rPr>
        <w:t>%</w:t>
      </w:r>
      <w:r w:rsidR="00B63D11" w:rsidRPr="00B63D11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 xml:space="preserve">0.03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846BC0" w:rsidRPr="00846BC0">
        <w:rPr>
          <w:rFonts w:hint="eastAsia"/>
          <w:snapToGrid w:val="0"/>
          <w:kern w:val="0"/>
          <w:sz w:val="28"/>
          <w:szCs w:val="28"/>
        </w:rPr>
        <w:t>增加</w:t>
      </w:r>
      <w:r w:rsidR="00846BC0">
        <w:rPr>
          <w:rFonts w:hint="eastAsia"/>
          <w:snapToGrid w:val="0"/>
          <w:kern w:val="0"/>
          <w:sz w:val="28"/>
          <w:szCs w:val="28"/>
        </w:rPr>
        <w:t>5</w:t>
      </w:r>
      <w:r w:rsidR="00846BC0">
        <w:rPr>
          <w:snapToGrid w:val="0"/>
          <w:kern w:val="0"/>
          <w:sz w:val="28"/>
          <w:szCs w:val="28"/>
        </w:rPr>
        <w:t>8.73</w:t>
      </w:r>
      <w:r w:rsidR="00846BC0" w:rsidRPr="00846BC0">
        <w:rPr>
          <w:rFonts w:hint="eastAsia"/>
          <w:snapToGrid w:val="0"/>
          <w:kern w:val="0"/>
          <w:sz w:val="28"/>
          <w:szCs w:val="28"/>
        </w:rPr>
        <w:t xml:space="preserve"> %</w:t>
      </w:r>
      <w:r w:rsidR="00846BC0" w:rsidRPr="00846BC0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主要原因是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z w:val="28"/>
          <w:szCs w:val="28"/>
        </w:rPr>
        <w:t>“六一”期间举办母亲课堂大型讲座，聘请北京专家来我区用餐费用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21F29" w:rsidRDefault="00E84E99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11</w:t>
      </w:r>
      <w:r>
        <w:rPr>
          <w:rFonts w:hint="eastAsia"/>
          <w:snapToGrid w:val="0"/>
          <w:kern w:val="0"/>
          <w:sz w:val="28"/>
          <w:szCs w:val="28"/>
        </w:rPr>
        <w:t>人。</w:t>
      </w:r>
      <w:r w:rsidRPr="00E84E99">
        <w:rPr>
          <w:rFonts w:hint="eastAsia"/>
          <w:snapToGrid w:val="0"/>
          <w:kern w:val="0"/>
          <w:sz w:val="28"/>
          <w:szCs w:val="28"/>
        </w:rPr>
        <w:t>国外公务接待批次</w:t>
      </w:r>
      <w:r>
        <w:rPr>
          <w:snapToGrid w:val="0"/>
          <w:kern w:val="0"/>
          <w:sz w:val="28"/>
          <w:szCs w:val="28"/>
        </w:rPr>
        <w:t>0</w:t>
      </w:r>
      <w:r w:rsidRPr="00E84E99"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>0</w:t>
      </w:r>
      <w:r w:rsidRPr="00E84E99">
        <w:rPr>
          <w:rFonts w:hint="eastAsia"/>
          <w:snapToGrid w:val="0"/>
          <w:kern w:val="0"/>
          <w:sz w:val="28"/>
          <w:szCs w:val="28"/>
        </w:rPr>
        <w:t>人。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美丽庭院创建活动项目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 xml:space="preserve"> 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重点美丽乡村共计</w:t>
      </w:r>
      <w:r>
        <w:rPr>
          <w:rFonts w:hint="eastAsia"/>
          <w:snapToGrid w:val="0"/>
          <w:kern w:val="0"/>
          <w:sz w:val="28"/>
          <w:szCs w:val="28"/>
        </w:rPr>
        <w:t>41</w:t>
      </w:r>
      <w:r>
        <w:rPr>
          <w:rFonts w:hint="eastAsia"/>
          <w:snapToGrid w:val="0"/>
          <w:kern w:val="0"/>
          <w:sz w:val="28"/>
          <w:szCs w:val="28"/>
        </w:rPr>
        <w:t>个村全部挂牌，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521F29" w:rsidRDefault="00E84E99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19.38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10.28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1.13%</w:t>
      </w:r>
      <w:r>
        <w:rPr>
          <w:rFonts w:hint="eastAsia"/>
          <w:snapToGrid w:val="0"/>
          <w:kern w:val="0"/>
          <w:sz w:val="28"/>
          <w:szCs w:val="28"/>
        </w:rPr>
        <w:t>。主要原因是财政拨款单位日常公用经费增加。</w:t>
      </w:r>
    </w:p>
    <w:p w:rsidR="00521F29" w:rsidRDefault="00E84E99">
      <w:pPr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本年支出基本支出日常公用经费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19.38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商品和服务支出办公费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3.87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商品和服务支出邮电费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0.69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商品和服务支出差旅费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1.12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商品和服务支出维修（护）费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2.54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商品和服务支出公务接待费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0.07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商品和服务支出工会经费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0.65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商品和服务支出福利费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0.62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商品和服务支出公务用车运行维护费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2.09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商品和服务支出其他交通费用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2.07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521F29" w:rsidRDefault="00E84E9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521F29" w:rsidRDefault="00E84E9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单位名称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保定市徐水区总工会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预算数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521F29" w:rsidRDefault="00E84E9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521F29" w:rsidRDefault="00E84E9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521F29" w:rsidRDefault="00E84E99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snapToGrid w:val="0"/>
          <w:kern w:val="0"/>
          <w:sz w:val="28"/>
          <w:szCs w:val="28"/>
        </w:rPr>
        <w:t>25.28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snapToGrid w:val="0"/>
          <w:kern w:val="0"/>
          <w:sz w:val="28"/>
          <w:szCs w:val="28"/>
        </w:rPr>
        <w:t>22.97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及其他固定资产</w:t>
      </w:r>
      <w:r>
        <w:rPr>
          <w:snapToGrid w:val="0"/>
          <w:kern w:val="0"/>
          <w:sz w:val="28"/>
          <w:szCs w:val="28"/>
        </w:rPr>
        <w:t>2.32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521F29" w:rsidRDefault="00E84E99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年资产变动情况：固定资产减少</w:t>
      </w:r>
      <w:r>
        <w:rPr>
          <w:snapToGrid w:val="0"/>
          <w:kern w:val="0"/>
          <w:sz w:val="28"/>
          <w:szCs w:val="28"/>
        </w:rPr>
        <w:t>1.4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车辆减少</w:t>
      </w:r>
      <w:r>
        <w:rPr>
          <w:snapToGrid w:val="0"/>
          <w:kern w:val="0"/>
          <w:sz w:val="28"/>
          <w:szCs w:val="28"/>
        </w:rPr>
        <w:t>2.4</w:t>
      </w:r>
      <w:r>
        <w:rPr>
          <w:rFonts w:hint="eastAsia"/>
          <w:snapToGrid w:val="0"/>
          <w:kern w:val="0"/>
          <w:sz w:val="28"/>
          <w:szCs w:val="28"/>
        </w:rPr>
        <w:t>万元，单价</w:t>
      </w:r>
      <w:r>
        <w:rPr>
          <w:snapToGrid w:val="0"/>
          <w:kern w:val="0"/>
          <w:sz w:val="28"/>
          <w:szCs w:val="28"/>
        </w:rPr>
        <w:t>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其他固定</w:t>
      </w:r>
      <w:r>
        <w:rPr>
          <w:rFonts w:hint="eastAsia"/>
          <w:snapToGrid w:val="0"/>
          <w:kern w:val="0"/>
          <w:sz w:val="28"/>
          <w:szCs w:val="28"/>
        </w:rPr>
        <w:t>资</w:t>
      </w:r>
      <w:r>
        <w:rPr>
          <w:snapToGrid w:val="0"/>
          <w:kern w:val="0"/>
          <w:sz w:val="28"/>
          <w:szCs w:val="28"/>
        </w:rPr>
        <w:t>产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521F29" w:rsidRDefault="00E84E9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521F29" w:rsidRDefault="00E84E99">
      <w:pPr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521F29" w:rsidRDefault="00E84E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（二）其他收入：指除上述“财政拨款收入”、“事业收入”、“经营收入”等以外的收入。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（五）基本支出：填列单位为保障机构正常运转、完成日常工作任务而发生的各项支出。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（七）“三公”经费：指部门用财政拨款安排的因公出国（境）费、公务用车购置及运行费和公务接待费。其中，因公出国（境）</w:t>
      </w:r>
      <w:proofErr w:type="gramStart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费反映</w:t>
      </w:r>
      <w:proofErr w:type="gramEnd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费反映</w:t>
      </w:r>
      <w:proofErr w:type="gramEnd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单位公务用车购置支出（</w:t>
      </w:r>
      <w:proofErr w:type="gramStart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含车辆</w:t>
      </w:r>
      <w:proofErr w:type="gramEnd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费反映</w:t>
      </w:r>
      <w:proofErr w:type="gramEnd"/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单位按规定开支的各类公务接待（含外宾接待）支出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八）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521F29" w:rsidRDefault="00E84E99">
      <w:pPr>
        <w:pStyle w:val="a5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  </w:t>
      </w:r>
    </w:p>
    <w:p w:rsidR="00521F29" w:rsidRDefault="00521F29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</w:p>
    <w:sectPr w:rsidR="00521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210DA"/>
    <w:rsid w:val="00025FDE"/>
    <w:rsid w:val="0006390D"/>
    <w:rsid w:val="00093FC2"/>
    <w:rsid w:val="001041EE"/>
    <w:rsid w:val="0015089B"/>
    <w:rsid w:val="00152908"/>
    <w:rsid w:val="001C673D"/>
    <w:rsid w:val="001D199F"/>
    <w:rsid w:val="001E68F2"/>
    <w:rsid w:val="00245B40"/>
    <w:rsid w:val="002D67F5"/>
    <w:rsid w:val="00303BA9"/>
    <w:rsid w:val="003277A3"/>
    <w:rsid w:val="003625AA"/>
    <w:rsid w:val="00372DF7"/>
    <w:rsid w:val="003D37DB"/>
    <w:rsid w:val="003F0B48"/>
    <w:rsid w:val="003F3B34"/>
    <w:rsid w:val="00471A6A"/>
    <w:rsid w:val="00521F29"/>
    <w:rsid w:val="005450A1"/>
    <w:rsid w:val="0058572E"/>
    <w:rsid w:val="005B3169"/>
    <w:rsid w:val="0060361A"/>
    <w:rsid w:val="00605FD3"/>
    <w:rsid w:val="00632BD2"/>
    <w:rsid w:val="006B564B"/>
    <w:rsid w:val="006E71D0"/>
    <w:rsid w:val="00791B38"/>
    <w:rsid w:val="008026BF"/>
    <w:rsid w:val="00824983"/>
    <w:rsid w:val="0082704B"/>
    <w:rsid w:val="008423F5"/>
    <w:rsid w:val="00842CBB"/>
    <w:rsid w:val="00846BC0"/>
    <w:rsid w:val="008A2525"/>
    <w:rsid w:val="008B26AF"/>
    <w:rsid w:val="008C08A9"/>
    <w:rsid w:val="00945D0B"/>
    <w:rsid w:val="00985214"/>
    <w:rsid w:val="009B74FB"/>
    <w:rsid w:val="009E5983"/>
    <w:rsid w:val="00A372C2"/>
    <w:rsid w:val="00AA21A2"/>
    <w:rsid w:val="00AA7B31"/>
    <w:rsid w:val="00B005DA"/>
    <w:rsid w:val="00B17297"/>
    <w:rsid w:val="00B40ED6"/>
    <w:rsid w:val="00B6127B"/>
    <w:rsid w:val="00B63D11"/>
    <w:rsid w:val="00C04E0F"/>
    <w:rsid w:val="00C222CB"/>
    <w:rsid w:val="00C25C6B"/>
    <w:rsid w:val="00C82568"/>
    <w:rsid w:val="00CA2480"/>
    <w:rsid w:val="00CA29B6"/>
    <w:rsid w:val="00CB45AA"/>
    <w:rsid w:val="00D01C71"/>
    <w:rsid w:val="00D6325B"/>
    <w:rsid w:val="00D9008B"/>
    <w:rsid w:val="00D95133"/>
    <w:rsid w:val="00DB7E7C"/>
    <w:rsid w:val="00DC5EA2"/>
    <w:rsid w:val="00E232FC"/>
    <w:rsid w:val="00E71A30"/>
    <w:rsid w:val="00E84E99"/>
    <w:rsid w:val="00F00F83"/>
    <w:rsid w:val="00F7078F"/>
    <w:rsid w:val="00FB7B0E"/>
    <w:rsid w:val="00FC21B3"/>
    <w:rsid w:val="03D7042D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2AFB4-9240-4C71-9186-E0E96333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510</Words>
  <Characters>2912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54</cp:revision>
  <cp:lastPrinted>2017-08-29T03:35:00Z</cp:lastPrinted>
  <dcterms:created xsi:type="dcterms:W3CDTF">2015-11-03T02:02:00Z</dcterms:created>
  <dcterms:modified xsi:type="dcterms:W3CDTF">2017-11-15T02:23:00Z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