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保定市徐水区机关服务中心</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10" w:name="_GoBack"/>
      <w:bookmarkEnd w:id="10"/>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根据中共徐水区委、徐水区人民政府《关于县直机关机构改革实施方案》（徐发[2002]26号），现将保定市徐水区机关服务中心概况说明如下：</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（一）负责区委、区政府、人大、政协等机关和归属政府所有权的房产及设施的登记、分配、维修、改造和建设任务。</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（二）负责区委、区政府、人大、政协等机关大院和科委、科协、信访局等单位的冬季取暖及所属锅炉和设备的保养、维修和使用。</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（三）负责区委、区政府、人大、</w:t>
      </w:r>
      <w:r>
        <w:rPr>
          <w:rFonts w:hint="eastAsia" w:ascii="仿宋" w:hAnsi="仿宋" w:eastAsia="仿宋" w:cs="Times New Roman"/>
          <w:sz w:val="32"/>
          <w:szCs w:val="32"/>
        </w:rPr>
        <w:t>政协机关大院的干部、职工就餐和开水供应。</w:t>
      </w:r>
    </w:p>
    <w:p>
      <w:pPr>
        <w:spacing w:line="360" w:lineRule="auto"/>
        <w:ind w:firstLine="640" w:firstLineChars="200"/>
        <w:rPr>
          <w:rFonts w:ascii="仿宋" w:hAnsi="仿宋" w:eastAsia="仿宋"/>
          <w:sz w:val="32"/>
          <w:szCs w:val="32"/>
        </w:rPr>
      </w:pPr>
      <w:r>
        <w:rPr>
          <w:rFonts w:hint="eastAsia" w:ascii="仿宋" w:hAnsi="仿宋" w:eastAsia="仿宋" w:cs="仿宋_GB2312"/>
          <w:kern w:val="0"/>
          <w:sz w:val="32"/>
          <w:szCs w:val="32"/>
        </w:rPr>
        <w:t>（四）负责区委、区政府、人大、政协等机关的安全保卫、环境卫生、绿化、美化和形象建设。</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保定市徐水区机关服务中心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2021年预算收入为715.71万元,其中：一般公共预算收入715.71万元，基金预算收入0万元，财政专户收入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2021年部门支出预算：715.71万元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87.21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其中：人员经费310.07万元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日常公用经费77.04万元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328.50万元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其中：本级支出328.50万元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715.71</w:t>
      </w:r>
      <w:r>
        <w:rPr>
          <w:rFonts w:hint="eastAsia" w:ascii="仿宋" w:hAnsi="仿宋" w:eastAsia="仿宋"/>
          <w:sz w:val="32"/>
          <w:szCs w:val="32"/>
        </w:rPr>
        <w:t>万元，较上年</w:t>
      </w:r>
      <w:r>
        <w:rPr>
          <w:rFonts w:ascii="仿宋" w:hAnsi="仿宋" w:eastAsia="仿宋"/>
          <w:sz w:val="32"/>
          <w:szCs w:val="32"/>
        </w:rPr>
        <w:t>减少54.70万元。其中:基本支出减少58.61万元，主要原因是</w:t>
      </w:r>
      <w:r>
        <w:rPr>
          <w:rFonts w:hint="eastAsia" w:ascii="仿宋" w:hAnsi="仿宋" w:eastAsia="仿宋"/>
          <w:sz w:val="32"/>
          <w:szCs w:val="32"/>
        </w:rPr>
        <w:t>：人员减少</w:t>
      </w:r>
      <w:r>
        <w:rPr>
          <w:rFonts w:ascii="仿宋" w:hAnsi="仿宋" w:eastAsia="仿宋"/>
          <w:sz w:val="32"/>
          <w:szCs w:val="32"/>
        </w:rPr>
        <w:t>；项目支出增加3.91万元，主要原因是</w:t>
      </w:r>
      <w:r>
        <w:rPr>
          <w:rFonts w:hint="eastAsia" w:ascii="仿宋" w:hAnsi="仿宋" w:eastAsia="仿宋"/>
          <w:sz w:val="32"/>
          <w:szCs w:val="32"/>
        </w:rPr>
        <w:t>：较去年增加了</w:t>
      </w:r>
      <w:r>
        <w:rPr>
          <w:rFonts w:ascii="仿宋" w:hAnsi="仿宋" w:eastAsia="仿宋"/>
          <w:sz w:val="32"/>
          <w:szCs w:val="32"/>
        </w:rPr>
        <w:t>一个预算项目。</w:t>
      </w:r>
    </w:p>
    <w:p>
      <w:pPr>
        <w:spacing w:line="360" w:lineRule="auto"/>
        <w:ind w:firstLine="640" w:firstLineChars="200"/>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color w:val="auto"/>
          <w:sz w:val="32"/>
          <w:szCs w:val="32"/>
          <w:highlight w:val="yellow"/>
        </w:rPr>
      </w:pP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年我部门机关运行经费安排</w:t>
      </w:r>
      <w:r>
        <w:rPr>
          <w:rFonts w:hint="eastAsia" w:ascii="仿宋" w:hAnsi="仿宋" w:eastAsia="仿宋"/>
          <w:sz w:val="32"/>
          <w:szCs w:val="32"/>
          <w:lang w:val="en-US" w:eastAsia="zh-CN"/>
        </w:rPr>
        <w:t>77.04</w:t>
      </w:r>
      <w:r>
        <w:rPr>
          <w:rFonts w:ascii="仿宋" w:hAnsi="仿宋" w:eastAsia="仿宋"/>
          <w:sz w:val="32"/>
          <w:szCs w:val="32"/>
        </w:rPr>
        <w:t>万元，其中办公费</w:t>
      </w:r>
      <w:r>
        <w:rPr>
          <w:rFonts w:hint="eastAsia" w:ascii="仿宋" w:hAnsi="仿宋" w:eastAsia="仿宋"/>
          <w:sz w:val="32"/>
          <w:szCs w:val="32"/>
          <w:lang w:val="en-US" w:eastAsia="zh-CN"/>
        </w:rPr>
        <w:t>4.20</w:t>
      </w:r>
      <w:r>
        <w:rPr>
          <w:rFonts w:ascii="仿宋" w:hAnsi="仿宋" w:eastAsia="仿宋"/>
          <w:sz w:val="32"/>
          <w:szCs w:val="32"/>
        </w:rPr>
        <w:t>万元，邮电费</w:t>
      </w:r>
      <w:r>
        <w:rPr>
          <w:rFonts w:hint="eastAsia" w:ascii="仿宋" w:hAnsi="仿宋" w:eastAsia="仿宋"/>
          <w:sz w:val="32"/>
          <w:szCs w:val="32"/>
          <w:lang w:val="en-US" w:eastAsia="zh-CN"/>
        </w:rPr>
        <w:t>1.12</w:t>
      </w:r>
      <w:r>
        <w:rPr>
          <w:rFonts w:ascii="仿宋" w:hAnsi="仿宋" w:eastAsia="仿宋"/>
          <w:sz w:val="32"/>
          <w:szCs w:val="32"/>
        </w:rPr>
        <w:t>万元，</w:t>
      </w:r>
      <w:r>
        <w:rPr>
          <w:rFonts w:hint="eastAsia" w:ascii="仿宋" w:hAnsi="仿宋" w:eastAsia="仿宋"/>
          <w:sz w:val="32"/>
          <w:szCs w:val="32"/>
          <w:lang w:eastAsia="zh-CN"/>
        </w:rPr>
        <w:t>取暖费63.46万元，</w:t>
      </w:r>
      <w:r>
        <w:rPr>
          <w:rFonts w:ascii="仿宋" w:hAnsi="仿宋" w:eastAsia="仿宋"/>
          <w:sz w:val="32"/>
          <w:szCs w:val="32"/>
        </w:rPr>
        <w:t>工会经费</w:t>
      </w:r>
      <w:r>
        <w:rPr>
          <w:rFonts w:hint="eastAsia" w:ascii="仿宋" w:hAnsi="仿宋" w:eastAsia="仿宋"/>
          <w:sz w:val="32"/>
          <w:szCs w:val="32"/>
          <w:lang w:val="en-US" w:eastAsia="zh-CN"/>
        </w:rPr>
        <w:t>1.99</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lang w:val="en-US" w:eastAsia="zh-CN"/>
        </w:rPr>
        <w:t>1.34</w:t>
      </w:r>
      <w:r>
        <w:rPr>
          <w:rFonts w:ascii="仿宋" w:hAnsi="仿宋" w:eastAsia="仿宋"/>
          <w:sz w:val="32"/>
          <w:szCs w:val="32"/>
        </w:rPr>
        <w:t>万元，公务用车运行维护费</w:t>
      </w:r>
      <w:r>
        <w:rPr>
          <w:rFonts w:hint="eastAsia" w:ascii="仿宋" w:hAnsi="仿宋" w:eastAsia="仿宋"/>
          <w:sz w:val="32"/>
          <w:szCs w:val="32"/>
          <w:lang w:val="en-US" w:eastAsia="zh-CN"/>
        </w:rPr>
        <w:t>2.70</w:t>
      </w:r>
      <w:r>
        <w:rPr>
          <w:rFonts w:ascii="仿宋" w:hAnsi="仿宋" w:eastAsia="仿宋"/>
          <w:sz w:val="32"/>
          <w:szCs w:val="32"/>
        </w:rPr>
        <w:t>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2.23</w:t>
      </w:r>
      <w:r>
        <w:rPr>
          <w:rFonts w:hint="eastAsia" w:ascii="仿宋" w:hAnsi="仿宋" w:eastAsia="仿宋"/>
          <w:sz w:val="32"/>
          <w:szCs w:val="32"/>
        </w:rPr>
        <w:t>万元</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54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44"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5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hint="eastAsia"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一、总体绩效目标</w:t>
      </w:r>
    </w:p>
    <w:p>
      <w:pPr>
        <w:spacing w:line="360" w:lineRule="auto"/>
        <w:ind w:firstLine="640" w:firstLineChars="200"/>
        <w:rPr>
          <w:rFonts w:hint="eastAsia" w:ascii="仿宋" w:hAnsi="仿宋" w:eastAsia="仿宋" w:cs="微软雅黑"/>
          <w:sz w:val="32"/>
          <w:szCs w:val="32"/>
        </w:rPr>
      </w:pPr>
      <w:r>
        <w:rPr>
          <w:rFonts w:hint="eastAsia" w:ascii="仿宋" w:hAnsi="仿宋" w:eastAsia="仿宋" w:cs="微软雅黑"/>
          <w:sz w:val="32"/>
          <w:szCs w:val="32"/>
        </w:rPr>
        <w:t>以习近平新时代中国特色社会主义思想为指导，全面贯彻落实中央和省委、省政府重要决策部署，坚持新发展理念，落实高质量发展要求，以政治建设为统领，以“两创一争”为抓手，以改革创新为动力，着力推进治理体系和治理能力现代化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二、分项绩效目标</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1、整体提升区直单位办公用房服务保障水平</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绩效目标：加强和规范省直机关办公用房管理，推进办公用房合理配置和节约集约使用，保障正常办公，提高办公用房利用率，达到应修尽修，降低行政成本，促进党风廉政建设和节约型机关建设。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绩效指标：每年完成的省直单位办公用房大中修项目数量不少于</w:t>
      </w:r>
      <w:r>
        <w:rPr>
          <w:rFonts w:ascii="仿宋" w:hAnsi="仿宋" w:eastAsia="仿宋" w:cs="微软雅黑"/>
          <w:sz w:val="32"/>
          <w:szCs w:val="32"/>
        </w:rPr>
        <w:t>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2、切实加强和规范区直机关国有资产管理工作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绩效目标：建立健全管理制度，推进制度化建设。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绩效指标：根据区直机关工作实际，依据国管局、省财政厅相关法规制度，推进区直机关资产信息化管理。</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3、积极做好区级党政机关公务用车管理工作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绩效目标：加强和规范公务用车的采购程序，严格车辆配备标准，保障区直机关正常办公出行，公车平台监督管理和服务保障功能进一步增强。</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绩效指标：区直各部门公务用车编制情况，保障其车辆完好率达到</w:t>
      </w:r>
      <w:r>
        <w:rPr>
          <w:rFonts w:ascii="仿宋" w:hAnsi="仿宋" w:eastAsia="仿宋" w:cs="微软雅黑"/>
          <w:sz w:val="32"/>
          <w:szCs w:val="32"/>
        </w:rPr>
        <w:t>90%以上。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4、进一步推进公共机构节能机制完善工作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绩效目标：全区公共机构人均能耗、单位建筑面积能耗、人均用水量三项指标整体下降。节能管理人员业务能力进一步提升。广泛开展节约型公共机构示范单位创建活动，绿色办公更加深入人心。</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绩效指标：全区公共机构人均能耗下降</w:t>
      </w:r>
      <w:r>
        <w:rPr>
          <w:rFonts w:ascii="仿宋" w:hAnsi="仿宋" w:eastAsia="仿宋" w:cs="微软雅黑"/>
          <w:sz w:val="32"/>
          <w:szCs w:val="32"/>
        </w:rPr>
        <w:t>2.4%，单位建筑面积能耗下降2.4%，人均用水量下降3.8%。</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5、机关事务标准化工作稳步推进</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绩效目标：机关事务制度体系逐步完善，管理服务保障行为更加规范，工作流程更加优化，机关事务按标准推进质量得到有效提升。</w:t>
      </w:r>
    </w:p>
    <w:p>
      <w:pPr>
        <w:spacing w:line="360" w:lineRule="auto"/>
        <w:ind w:firstLine="640" w:firstLineChars="200"/>
        <w:rPr>
          <w:rFonts w:hint="eastAsia" w:ascii="仿宋" w:hAnsi="仿宋" w:eastAsia="仿宋" w:cs="微软雅黑"/>
          <w:sz w:val="32"/>
          <w:szCs w:val="32"/>
        </w:rPr>
      </w:pPr>
      <w:r>
        <w:rPr>
          <w:rFonts w:hint="eastAsia" w:ascii="仿宋" w:hAnsi="仿宋" w:eastAsia="仿宋" w:cs="微软雅黑"/>
          <w:sz w:val="32"/>
          <w:szCs w:val="32"/>
        </w:rPr>
        <w:t>绩效指标：机关事务制度建设完成率达到</w:t>
      </w:r>
      <w:r>
        <w:rPr>
          <w:rFonts w:ascii="仿宋" w:hAnsi="仿宋" w:eastAsia="仿宋" w:cs="微软雅黑"/>
          <w:sz w:val="32"/>
          <w:szCs w:val="32"/>
        </w:rPr>
        <w:t>90%以上，现有制度规章修订达到95%，工作流程优化率达到95%以上。</w:t>
      </w:r>
    </w:p>
    <w:p>
      <w:pPr>
        <w:spacing w:line="360" w:lineRule="auto"/>
        <w:ind w:firstLine="640" w:firstLineChars="200"/>
        <w:rPr>
          <w:rFonts w:hint="eastAsia" w:ascii="仿宋" w:hAnsi="仿宋" w:eastAsia="仿宋" w:cs="微软雅黑"/>
          <w:sz w:val="32"/>
          <w:szCs w:val="32"/>
        </w:rPr>
      </w:pPr>
      <w:r>
        <w:rPr>
          <w:rFonts w:hint="eastAsia" w:ascii="仿宋" w:hAnsi="仿宋" w:eastAsia="仿宋" w:cs="微软雅黑"/>
          <w:sz w:val="32"/>
          <w:szCs w:val="32"/>
        </w:rPr>
        <w:t>三、工作保障措施</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1、加强组织领导，分解职责目标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各预算单位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2、加强资金使用监督，确保支付安全</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单位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 xml:space="preserve"> 3、加强动态督导，落实全过程监管</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进一步完善财务部门总牵头、有关业务部门（单位）齐抓共管的工作机制，及时研究涉及预算编制执行的难点和重点问题，加强业务指导和协调省财政相关部门，全力解决。建立预算编制、执行的全过程进度动态监控及通报制度。确保预算编制的合理性、科学性，资金支付的合规性、时效性，资金使用的规范性、安全性。</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4、及时、合规、有效进行预算绩效运行监控及绩效自评工作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遵循目标导向、权责对等、全面覆盖、突出重点、适时适当的原则，对照批复的部门整体绩效目标、专项资金绩效目标、预算项目资金绩效目标，依托财政信息系统一体化平台，通过调查取证、实地核查等方式采集信息，掌握本部门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部门及所属单位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spacing w:line="360" w:lineRule="auto"/>
        <w:ind w:firstLine="640" w:firstLineChars="200"/>
        <w:rPr>
          <w:rFonts w:ascii="仿宋" w:hAnsi="仿宋" w:eastAsia="仿宋" w:cs="微软雅黑"/>
          <w:sz w:val="32"/>
          <w:szCs w:val="32"/>
        </w:rPr>
      </w:pPr>
    </w:p>
    <w:p>
      <w:pPr>
        <w:spacing w:line="360" w:lineRule="auto"/>
        <w:ind w:firstLine="640" w:firstLineChars="200"/>
        <w:rPr>
          <w:rFonts w:ascii="仿宋" w:hAnsi="仿宋" w:eastAsia="仿宋" w:cs="微软雅黑"/>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1、保安服务费绩效目标表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0" w:name="_Toc31878784"/>
      <w:r>
        <w:rPr>
          <w:rFonts w:ascii="方正仿宋_GBK" w:hAnsi="等线" w:eastAsia="方正仿宋_GBK" w:cs="Times New Roman"/>
          <w:b/>
          <w:sz w:val="28"/>
        </w:rPr>
        <w:instrText xml:space="preserve">1、保安服务费绩效目标表</w:instrText>
      </w:r>
      <w:bookmarkEnd w:id="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430-0602-JBN-I9KK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29.80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29.80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项目资金预算29.8万元,计划2020年开始，按合同支付，续时支付，第一至第三季度每季度支付7.152元，第四季度支付8.344万元，预计12月20日前支付完毕。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24.00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48.00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79.00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pPr>
              <w:spacing w:line="300" w:lineRule="exact"/>
              <w:jc w:val="left"/>
              <w:rPr>
                <w:rFonts w:ascii="方正书宋_GBK" w:hAnsi="等线" w:eastAsia="方正书宋_GBK" w:cs="Times New Roman"/>
              </w:rPr>
            </w:pPr>
            <w:r>
              <w:rPr>
                <w:rFonts w:ascii="方正书宋_GBK" w:hAnsi="等线" w:eastAsia="方正书宋_GBK" w:cs="Times New Roman"/>
              </w:rPr>
              <w:t>2、按照单位的要求完成工作任务,严格落实单位的规章制度,确保单位安全和秩序。</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维护政府机关日常安全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对政府机关安全作出治安管理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2、保洁费绩效目标表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 w:name="_Toc31878785"/>
      <w:r>
        <w:rPr>
          <w:rFonts w:ascii="方正仿宋_GBK" w:hAnsi="等线" w:eastAsia="方正仿宋_GBK" w:cs="Times New Roman"/>
          <w:b/>
          <w:sz w:val="28"/>
        </w:rPr>
        <w:instrText xml:space="preserve">2、保洁费绩效目标表</w:instrText>
      </w:r>
      <w:bookmarkEnd w:id="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430-0602-JBN-Q7F8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24.94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24.94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项目资金预算24.94万元,计划2020开始，按合同支付，续时支付，每季度支付6.235万元，预计12月20日前支付完毕。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1、提高人员素质；推进区直机关事业单位办公环境改善。</w:t>
            </w:r>
          </w:p>
          <w:p>
            <w:pPr>
              <w:spacing w:line="300" w:lineRule="exact"/>
              <w:jc w:val="left"/>
              <w:rPr>
                <w:rFonts w:ascii="方正书宋_GBK" w:hAnsi="等线" w:eastAsia="方正书宋_GBK" w:cs="Times New Roman"/>
              </w:rPr>
            </w:pPr>
            <w:r>
              <w:rPr>
                <w:rFonts w:ascii="方正书宋_GBK" w:hAnsi="等线" w:eastAsia="方正书宋_GBK" w:cs="Times New Roman"/>
              </w:rPr>
              <w:t>2、搞好服务保障，为广大干部职工提供安全、快捷、细致、周到的工作环境；加强财务管理，确保资金安全，提高财政资金使用效益。</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保持政府机关整洁、卫生</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保持政府机关整洁、卫生情况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《三定方案》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3、车改办经费绩效目标表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2" w:name="_Toc31878786"/>
      <w:r>
        <w:rPr>
          <w:rFonts w:ascii="方正仿宋_GBK" w:hAnsi="等线" w:eastAsia="方正仿宋_GBK" w:cs="Times New Roman"/>
          <w:b/>
          <w:sz w:val="28"/>
        </w:rPr>
        <w:instrText xml:space="preserve">3、车改办经费绩效目标表</w:instrText>
      </w:r>
      <w:bookmarkEnd w:id="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430-0602-JBN-MQTM</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车改办经费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项目资金预算1.046万元,计划2020年开始，按季度支付，第一季度预计支付0.2元，第二季度预计支付0.5322元，第三季度预计支出0.2092万元，第四季度预计预计支付0.1046，预计12月20日前支付完毕。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19.00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1、按照单位的要求完成工作任务。</w:t>
            </w:r>
          </w:p>
          <w:p>
            <w:pPr>
              <w:spacing w:line="300" w:lineRule="exact"/>
              <w:jc w:val="left"/>
              <w:rPr>
                <w:rFonts w:ascii="方正书宋_GBK" w:hAnsi="等线" w:eastAsia="方正书宋_GBK" w:cs="Times New Roman"/>
              </w:rPr>
            </w:pPr>
            <w:r>
              <w:rPr>
                <w:rFonts w:ascii="方正书宋_GBK" w:hAnsi="等线" w:eastAsia="方正书宋_GBK" w:cs="Times New Roman"/>
              </w:rPr>
              <w:t>2、严格落实单位的规章制度,确保单位安全和秩序。</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公车办负责协调、监督率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协调、监督公车运行情况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落实公车改革相关工作完成率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公务用车改革相关工作的完成情况</w:t>
            </w:r>
          </w:p>
        </w:tc>
        <w:tc>
          <w:tcPr>
            <w:tcW w:w="1276" w:type="dxa"/>
            <w:shd w:val="clear" w:color="auto" w:fill="auto"/>
            <w:vAlign w:val="center"/>
          </w:tcPr>
          <w:p>
            <w:pPr>
              <w:spacing w:line="300" w:lineRule="exact"/>
              <w:jc w:val="left"/>
              <w:rPr>
                <w:rFonts w:ascii="方正书宋_GBK" w:hAnsi="等线" w:eastAsia="方正书宋_GBK" w:cs="Times New Roman"/>
              </w:rPr>
            </w:pP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4、公务用车北斗定位服务费绩效目标表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878787"/>
      <w:r>
        <w:rPr>
          <w:rFonts w:ascii="方正仿宋_GBK" w:hAnsi="等线" w:eastAsia="方正仿宋_GBK" w:cs="Times New Roman"/>
          <w:b/>
          <w:sz w:val="28"/>
        </w:rPr>
        <w:instrText xml:space="preserve">4、公务用车北斗定位服务费绩效目标表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430-0602-JBN-IRZH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公务用车北斗定位服务费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7.22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项目资金预算7.224万元,计划2020年开始，按照合同要求，需在7月份一次性支付完毕。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1、按照单位的要求完成工作任务，提高财政资金使用效益。</w:t>
            </w:r>
          </w:p>
          <w:p>
            <w:pPr>
              <w:spacing w:line="300" w:lineRule="exact"/>
              <w:jc w:val="left"/>
              <w:rPr>
                <w:rFonts w:ascii="方正书宋_GBK" w:hAnsi="等线" w:eastAsia="方正书宋_GBK" w:cs="Times New Roman"/>
              </w:rPr>
            </w:pPr>
            <w:r>
              <w:rPr>
                <w:rFonts w:ascii="方正书宋_GBK" w:hAnsi="等线" w:eastAsia="方正书宋_GBK" w:cs="Times New Roman"/>
              </w:rPr>
              <w:t>2、严格落实单位的规章制度,确保单位安全和秩序。</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公车运行使用率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公车定位运行效果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收益职工满意度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5、公务用车平台租赁费绩效目标表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878788"/>
      <w:r>
        <w:rPr>
          <w:rFonts w:ascii="方正仿宋_GBK" w:hAnsi="等线" w:eastAsia="方正仿宋_GBK" w:cs="Times New Roman"/>
          <w:b/>
          <w:sz w:val="28"/>
        </w:rPr>
        <w:instrText xml:space="preserve">5、公务用车平台租赁费绩效目标表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430-0602-JBN-KNQE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公务用车平台租赁费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53.32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53.32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项目资金预算53.32万元,计划2020年开始，按季度支付，续时支付，每季度支付13.33万元，预计12月20日前支付完毕。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pPr>
              <w:spacing w:line="300" w:lineRule="exact"/>
              <w:jc w:val="left"/>
              <w:rPr>
                <w:rFonts w:ascii="方正书宋_GBK" w:hAnsi="等线" w:eastAsia="方正书宋_GBK" w:cs="Times New Roman"/>
              </w:rPr>
            </w:pPr>
            <w:r>
              <w:rPr>
                <w:rFonts w:ascii="方正书宋_GBK" w:hAnsi="等线" w:eastAsia="方正书宋_GBK" w:cs="Times New Roman"/>
              </w:rPr>
              <w:t>2、提高财政资金使用效益。</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人员使用利用率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保证使用人员正常使用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收益职工满意度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6、后勤保障服务经费绩效目标表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878789"/>
      <w:r>
        <w:rPr>
          <w:rFonts w:ascii="方正仿宋_GBK" w:hAnsi="等线" w:eastAsia="方正仿宋_GBK" w:cs="Times New Roman"/>
          <w:b/>
          <w:sz w:val="28"/>
        </w:rPr>
        <w:instrText xml:space="preserve">6、后勤保障服务经费绩效目标表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430-0602-JBN-MFS3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后勤保障服务经费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项目资金预算70万元,计划2020开始，按季度支付，第一季度预计支付9.8万元，第二季度预计支付35.7万元，第三季度预计支出17.5万元，第四季度预计预计支付7万元，预计12月20日前支付完毕。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14.00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65.00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1、提高人员素质；推进区直机关事业单位办公环境改善。</w:t>
            </w:r>
          </w:p>
          <w:p>
            <w:pPr>
              <w:spacing w:line="300" w:lineRule="exact"/>
              <w:jc w:val="left"/>
              <w:rPr>
                <w:rFonts w:ascii="方正书宋_GBK" w:hAnsi="等线" w:eastAsia="方正书宋_GBK" w:cs="Times New Roman"/>
              </w:rPr>
            </w:pPr>
            <w:r>
              <w:rPr>
                <w:rFonts w:ascii="方正书宋_GBK" w:hAnsi="等线" w:eastAsia="方正书宋_GBK" w:cs="Times New Roman"/>
              </w:rPr>
              <w:t>2、搞好服务保障，为广大干部职工提供安全、快捷、细致、周到的工作环境；加强财务管理，确保资金安全，提高财政资金使用效益。</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为政府机关提供服务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提高为政府机关服务质量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hint="eastAsia"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hint="eastAsia"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7、零星维修绩效目标表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878790"/>
      <w:r>
        <w:rPr>
          <w:rFonts w:ascii="方正仿宋_GBK" w:hAnsi="等线" w:eastAsia="方正仿宋_GBK" w:cs="Times New Roman"/>
          <w:b/>
          <w:sz w:val="28"/>
        </w:rPr>
        <w:instrText xml:space="preserve">7、零星维修绩效目标表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430-0602-JBN-USNH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零星维修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61.57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61.57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项目资金预算61.57万元,计划2020年开始，12月20日前支付完毕。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pPr>
              <w:spacing w:line="300" w:lineRule="exact"/>
              <w:jc w:val="left"/>
              <w:rPr>
                <w:rFonts w:ascii="方正书宋_GBK" w:hAnsi="等线" w:eastAsia="方正书宋_GBK" w:cs="Times New Roman"/>
              </w:rPr>
            </w:pPr>
            <w:r>
              <w:rPr>
                <w:rFonts w:ascii="方正书宋_GBK" w:hAnsi="等线" w:eastAsia="方正书宋_GBK" w:cs="Times New Roman"/>
              </w:rPr>
              <w:t>2、按照单位的要求完成工作任务,严格落实单位的规章制度,确保单位安全和秩序。</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8、招待所挂靠人员所需财政负担保险费绩效目标表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878791"/>
      <w:r>
        <w:rPr>
          <w:rFonts w:ascii="方正仿宋_GBK" w:hAnsi="等线" w:eastAsia="方正仿宋_GBK" w:cs="Times New Roman"/>
          <w:b/>
          <w:sz w:val="28"/>
        </w:rPr>
        <w:instrText xml:space="preserve">8、招待所挂靠人员所需财政负担保险费绩效目标表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430-0602-JBN-FQZA</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招待所挂靠人员所需财政负担保险费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1.69</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1.69</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项目资金预算1.690637万元,计划2020年开始，按季度支付，第一季度支付5072元，第二至第四季度每季度支付3944.79元，预计12月15日前支付完毕。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1、保证参保人员享受参保待遇。</w:t>
            </w:r>
          </w:p>
          <w:p>
            <w:pPr>
              <w:spacing w:line="300" w:lineRule="exact"/>
              <w:jc w:val="left"/>
              <w:rPr>
                <w:rFonts w:ascii="方正书宋_GBK" w:hAnsi="等线" w:eastAsia="方正书宋_GBK" w:cs="Times New Roman"/>
              </w:rPr>
            </w:pPr>
            <w:r>
              <w:rPr>
                <w:rFonts w:ascii="方正书宋_GBK" w:hAnsi="等线" w:eastAsia="方正书宋_GBK" w:cs="Times New Roman"/>
              </w:rPr>
              <w:t>2、维护参保人员的参保利益，按时缴纳保险。</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及时拨付资金</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保证参保人员享受参保待遇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维护参保人员的参保利益</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按时缴纳社会保险费情况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《徐水县人民政府领导议事会议纪要》[2002]9号</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9、政府机关电费绩效目标表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8" w:name="_Toc31878792"/>
      <w:r>
        <w:rPr>
          <w:rFonts w:ascii="方正仿宋_GBK" w:hAnsi="等线" w:eastAsia="方正仿宋_GBK" w:cs="Times New Roman"/>
          <w:b/>
          <w:sz w:val="28"/>
        </w:rPr>
        <w:instrText xml:space="preserve">9、政府机关电费绩效目标表</w:instrText>
      </w:r>
      <w:bookmarkEnd w:id="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430-0602-JBN-ZS8V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项目资金预算45万元,计划2020年开始，按季度支付，第一季度预计支付11.7万元，第二季度预计支付19.8万元，第三季度预计支出9万元，第四季度预计预计支付4.5万元，预计12月20日前支付完毕。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26.00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1、确保单位安全和秩序，保证安全用电。</w:t>
            </w:r>
          </w:p>
          <w:p>
            <w:pPr>
              <w:spacing w:line="300" w:lineRule="exact"/>
              <w:jc w:val="left"/>
              <w:rPr>
                <w:rFonts w:ascii="方正书宋_GBK" w:hAnsi="等线" w:eastAsia="方正书宋_GBK" w:cs="Times New Roman"/>
              </w:rPr>
            </w:pPr>
            <w:r>
              <w:rPr>
                <w:rFonts w:ascii="方正书宋_GBK" w:hAnsi="等线" w:eastAsia="方正书宋_GBK" w:cs="Times New Roman"/>
              </w:rPr>
              <w:t>2、搞好服务保障，提高财政资金使用效益。</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各项综合事务工作任务完成情况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保证政府机关用电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政府机关办公用电情况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10、政府机关水费及净水设备租赁费绩效目标表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9" w:name="_Toc31878793"/>
      <w:r>
        <w:rPr>
          <w:rFonts w:ascii="方正仿宋_GBK" w:hAnsi="等线" w:eastAsia="方正仿宋_GBK" w:cs="Times New Roman"/>
          <w:b/>
          <w:sz w:val="28"/>
        </w:rPr>
        <w:instrText xml:space="preserve">10、政府机关水费及净水设备租赁费绩效目标表</w:instrText>
      </w:r>
      <w:bookmarkEnd w:id="9"/>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430002机关服务中心（行政）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430-0602-JBN-4PF4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政府机关水费及净水设备租赁费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资金预算30万元,计划2020年开始，12月20日前支付完毕。用水需按实际使用情况支出，净水设备租赁费按合同支出，第一季度预计支出3万元，第二季度预计支出18万元，第三季度预计支出6万元，第四季度预计支出3万元，具体支付根据工作需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1、搞好服务保障，为广大干部职工提供安全、快捷、细致、周到的工作环境。</w:t>
            </w:r>
          </w:p>
          <w:p>
            <w:pPr>
              <w:spacing w:line="300" w:lineRule="exact"/>
              <w:jc w:val="left"/>
              <w:rPr>
                <w:rFonts w:ascii="方正书宋_GBK" w:hAnsi="等线" w:eastAsia="方正书宋_GBK" w:cs="Times New Roman"/>
              </w:rPr>
            </w:pPr>
            <w:r>
              <w:rPr>
                <w:rFonts w:ascii="方正书宋_GBK" w:hAnsi="等线" w:eastAsia="方正书宋_GBK" w:cs="Times New Roman"/>
              </w:rPr>
              <w:t>2、提高财政资金使用效益。</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保证政府机关用水</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政府机关办公用水情况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维持政府机关正常运转情况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hint="eastAsia"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2021年，我部门安排政府采购预算86.30万元，具体内容见下表：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430保定市徐水区机关服务中心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863000.00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863000.00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机关服务中心本级小计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863000.00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863000.00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保安服务费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安全服务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C0810</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365000.00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公务用车平台租赁费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498000.00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车辆及其他运输机械租赁服务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C0403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498000.00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498000.00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w:t>
      </w:r>
      <w:r>
        <w:rPr>
          <w:rFonts w:ascii="仿宋" w:hAnsi="仿宋" w:eastAsia="仿宋"/>
          <w:sz w:val="32"/>
          <w:szCs w:val="32"/>
        </w:rPr>
        <w:t>376.21</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3376.21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27542.94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2783.73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27542.94</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2783.73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37.08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388.19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Y2NmM2RkMDVlYzQ2NzEyOTA2N2Y5ZDRjNWViNGIifQ=="/>
  </w:docVars>
  <w:rsids>
    <w:rsidRoot w:val="00055F1F"/>
    <w:rsid w:val="00013B8A"/>
    <w:rsid w:val="00044FBC"/>
    <w:rsid w:val="00055F1F"/>
    <w:rsid w:val="000577EF"/>
    <w:rsid w:val="00057F18"/>
    <w:rsid w:val="000726DF"/>
    <w:rsid w:val="000A445D"/>
    <w:rsid w:val="000C178B"/>
    <w:rsid w:val="00131DEC"/>
    <w:rsid w:val="00136AB3"/>
    <w:rsid w:val="001462BD"/>
    <w:rsid w:val="00152380"/>
    <w:rsid w:val="001638BE"/>
    <w:rsid w:val="00164508"/>
    <w:rsid w:val="00164810"/>
    <w:rsid w:val="00172C7A"/>
    <w:rsid w:val="00181777"/>
    <w:rsid w:val="001B4688"/>
    <w:rsid w:val="001B6235"/>
    <w:rsid w:val="001F4875"/>
    <w:rsid w:val="002111C2"/>
    <w:rsid w:val="00212335"/>
    <w:rsid w:val="002918C6"/>
    <w:rsid w:val="00291EF3"/>
    <w:rsid w:val="00296524"/>
    <w:rsid w:val="002E01F6"/>
    <w:rsid w:val="002F1ACB"/>
    <w:rsid w:val="002F530F"/>
    <w:rsid w:val="00305E97"/>
    <w:rsid w:val="00310532"/>
    <w:rsid w:val="00310FAC"/>
    <w:rsid w:val="0032782B"/>
    <w:rsid w:val="00340B3D"/>
    <w:rsid w:val="00340F82"/>
    <w:rsid w:val="0034253A"/>
    <w:rsid w:val="003669CF"/>
    <w:rsid w:val="00367A30"/>
    <w:rsid w:val="003A06D2"/>
    <w:rsid w:val="003A4166"/>
    <w:rsid w:val="003A4557"/>
    <w:rsid w:val="003A6366"/>
    <w:rsid w:val="003C2317"/>
    <w:rsid w:val="003C442E"/>
    <w:rsid w:val="003D1092"/>
    <w:rsid w:val="003D2A32"/>
    <w:rsid w:val="003D37CD"/>
    <w:rsid w:val="003E5531"/>
    <w:rsid w:val="003E555C"/>
    <w:rsid w:val="003E6AF3"/>
    <w:rsid w:val="0040243C"/>
    <w:rsid w:val="00406BD1"/>
    <w:rsid w:val="00426C19"/>
    <w:rsid w:val="0043429F"/>
    <w:rsid w:val="00450FD9"/>
    <w:rsid w:val="00453CE0"/>
    <w:rsid w:val="004678CC"/>
    <w:rsid w:val="00470736"/>
    <w:rsid w:val="00470BBB"/>
    <w:rsid w:val="004860CC"/>
    <w:rsid w:val="0048611E"/>
    <w:rsid w:val="00496C7E"/>
    <w:rsid w:val="004B6929"/>
    <w:rsid w:val="004E2F43"/>
    <w:rsid w:val="004E3572"/>
    <w:rsid w:val="004E7933"/>
    <w:rsid w:val="004F3C52"/>
    <w:rsid w:val="00510A1E"/>
    <w:rsid w:val="005158E2"/>
    <w:rsid w:val="00524204"/>
    <w:rsid w:val="00550049"/>
    <w:rsid w:val="00553F7E"/>
    <w:rsid w:val="00570142"/>
    <w:rsid w:val="00586C35"/>
    <w:rsid w:val="005B1B6F"/>
    <w:rsid w:val="005B6CCB"/>
    <w:rsid w:val="005C54AA"/>
    <w:rsid w:val="005C7B89"/>
    <w:rsid w:val="006236A0"/>
    <w:rsid w:val="0062788A"/>
    <w:rsid w:val="00641F8A"/>
    <w:rsid w:val="0066383B"/>
    <w:rsid w:val="00680A45"/>
    <w:rsid w:val="006A6FA2"/>
    <w:rsid w:val="006B5117"/>
    <w:rsid w:val="006C62DF"/>
    <w:rsid w:val="006F5104"/>
    <w:rsid w:val="006F6549"/>
    <w:rsid w:val="007027B9"/>
    <w:rsid w:val="00715CCF"/>
    <w:rsid w:val="00735B02"/>
    <w:rsid w:val="007451E9"/>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85349"/>
    <w:rsid w:val="00BA5C83"/>
    <w:rsid w:val="00BC6A7D"/>
    <w:rsid w:val="00BD4829"/>
    <w:rsid w:val="00BD6002"/>
    <w:rsid w:val="00BD719F"/>
    <w:rsid w:val="00BF5442"/>
    <w:rsid w:val="00C177A5"/>
    <w:rsid w:val="00C35FEE"/>
    <w:rsid w:val="00C50535"/>
    <w:rsid w:val="00C6153C"/>
    <w:rsid w:val="00C75020"/>
    <w:rsid w:val="00C906EF"/>
    <w:rsid w:val="00CC7D74"/>
    <w:rsid w:val="00D02F97"/>
    <w:rsid w:val="00D45530"/>
    <w:rsid w:val="00D45A0E"/>
    <w:rsid w:val="00D45D23"/>
    <w:rsid w:val="00D53260"/>
    <w:rsid w:val="00D723D1"/>
    <w:rsid w:val="00D80C60"/>
    <w:rsid w:val="00D83A1F"/>
    <w:rsid w:val="00D8525F"/>
    <w:rsid w:val="00DA0C4D"/>
    <w:rsid w:val="00DA5DA7"/>
    <w:rsid w:val="00DC2AB5"/>
    <w:rsid w:val="00DE3935"/>
    <w:rsid w:val="00DE6B32"/>
    <w:rsid w:val="00DF26B8"/>
    <w:rsid w:val="00E12C68"/>
    <w:rsid w:val="00E2325B"/>
    <w:rsid w:val="00E24075"/>
    <w:rsid w:val="00E270C9"/>
    <w:rsid w:val="00E35F38"/>
    <w:rsid w:val="00E46F27"/>
    <w:rsid w:val="00E5070A"/>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D3AE3"/>
    <w:rsid w:val="00FE0F1F"/>
    <w:rsid w:val="00FF61F3"/>
    <w:rsid w:val="059C6FE2"/>
    <w:rsid w:val="165640BE"/>
    <w:rsid w:val="40664BB5"/>
    <w:rsid w:val="43B46637"/>
    <w:rsid w:val="72690711"/>
    <w:rsid w:val="7DD4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07D9-682A-4D9B-9D55-794FF07EFE6E}">
  <ds:schemaRefs/>
</ds:datastoreItem>
</file>

<file path=docProps/app.xml><?xml version="1.0" encoding="utf-8"?>
<Properties xmlns="http://schemas.openxmlformats.org/officeDocument/2006/extended-properties" xmlns:vt="http://schemas.openxmlformats.org/officeDocument/2006/docPropsVTypes">
  <Template>Normal</Template>
  <Pages>22</Pages>
  <Words>7656</Words>
  <Characters>8615</Characters>
  <Lines>70</Lines>
  <Paragraphs>19</Paragraphs>
  <TotalTime>3</TotalTime>
  <ScaleCrop>false</ScaleCrop>
  <LinksUpToDate>false</LinksUpToDate>
  <CharactersWithSpaces>8698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WPS_1602455382</cp:lastModifiedBy>
  <cp:lastPrinted>2021-04-14T02:06:00Z</cp:lastPrinted>
  <dcterms:modified xsi:type="dcterms:W3CDTF">2023-11-14T11:14:15Z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CF1284D892284026BB42EFA4F3680B95</vt:lpwstr>
  </property>
</Properties>
</file>