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keepNext w:val="0"/>
        <w:keepLines w:val="0"/>
        <w:pageBreakBefore w:val="0"/>
        <w:widowControl w:val="0"/>
        <w:kinsoku/>
        <w:wordWrap/>
        <w:overflowPunct/>
        <w:topLinePunct w:val="0"/>
        <w:autoSpaceDE/>
        <w:autoSpaceDN/>
        <w:bidi w:val="0"/>
        <w:adjustRightInd/>
        <w:snapToGrid/>
        <w:spacing w:after="0" w:line="580" w:lineRule="exact"/>
        <w:jc w:val="center"/>
        <w:textAlignment w:val="auto"/>
        <w:rPr>
          <w:rFonts w:hint="eastAsia" w:asciiTheme="majorEastAsia" w:hAnsiTheme="majorEastAsia" w:eastAsiaTheme="majorEastAsia" w:cstheme="majorEastAsia"/>
          <w:b/>
          <w:bCs w:val="0"/>
          <w:kern w:val="2"/>
          <w:sz w:val="44"/>
          <w:szCs w:val="44"/>
          <w:lang w:eastAsia="zh-CN"/>
        </w:rPr>
      </w:pPr>
      <w:r>
        <w:rPr>
          <w:rFonts w:hint="eastAsia" w:asciiTheme="majorEastAsia" w:hAnsiTheme="majorEastAsia" w:eastAsiaTheme="majorEastAsia" w:cstheme="majorEastAsia"/>
          <w:b/>
          <w:bCs w:val="0"/>
          <w:kern w:val="2"/>
          <w:sz w:val="44"/>
          <w:szCs w:val="44"/>
        </w:rPr>
        <w:t>保定市徐水区</w:t>
      </w:r>
      <w:r>
        <w:rPr>
          <w:rFonts w:hint="eastAsia" w:asciiTheme="majorEastAsia" w:hAnsiTheme="majorEastAsia" w:eastAsiaTheme="majorEastAsia" w:cstheme="majorEastAsia"/>
          <w:b/>
          <w:bCs w:val="0"/>
          <w:kern w:val="2"/>
          <w:sz w:val="44"/>
          <w:szCs w:val="44"/>
          <w:lang w:eastAsia="zh-CN"/>
        </w:rPr>
        <w:t>工业和信息化局</w:t>
      </w:r>
    </w:p>
    <w:p>
      <w:pPr>
        <w:keepNext w:val="0"/>
        <w:keepLines w:val="0"/>
        <w:pageBreakBefore w:val="0"/>
        <w:widowControl w:val="0"/>
        <w:kinsoku/>
        <w:wordWrap/>
        <w:overflowPunct/>
        <w:topLinePunct w:val="0"/>
        <w:autoSpaceDE/>
        <w:autoSpaceDN/>
        <w:bidi w:val="0"/>
        <w:adjustRightInd/>
        <w:snapToGrid/>
        <w:spacing w:after="0" w:line="580" w:lineRule="exact"/>
        <w:jc w:val="center"/>
        <w:textAlignment w:val="auto"/>
        <w:rPr>
          <w:rFonts w:ascii="黑体" w:hAnsi="黑体" w:eastAsia="黑体" w:cs="Times New Roman"/>
          <w:bCs/>
          <w:kern w:val="2"/>
          <w:sz w:val="48"/>
          <w:szCs w:val="48"/>
        </w:rPr>
      </w:pPr>
      <w:r>
        <w:rPr>
          <w:rFonts w:hint="eastAsia" w:asciiTheme="majorEastAsia" w:hAnsiTheme="majorEastAsia" w:eastAsiaTheme="majorEastAsia" w:cstheme="majorEastAsia"/>
          <w:b/>
          <w:bCs w:val="0"/>
          <w:kern w:val="2"/>
          <w:sz w:val="44"/>
          <w:szCs w:val="44"/>
        </w:rPr>
        <w:t>202</w:t>
      </w:r>
      <w:r>
        <w:rPr>
          <w:rFonts w:hint="default" w:asciiTheme="majorEastAsia" w:hAnsiTheme="majorEastAsia" w:eastAsiaTheme="majorEastAsia" w:cstheme="majorEastAsia"/>
          <w:b/>
          <w:bCs w:val="0"/>
          <w:kern w:val="2"/>
          <w:sz w:val="44"/>
          <w:szCs w:val="44"/>
          <w:lang w:val="en-US"/>
        </w:rPr>
        <w:t>2</w:t>
      </w:r>
      <w:r>
        <w:rPr>
          <w:rFonts w:hint="eastAsia" w:asciiTheme="majorEastAsia" w:hAnsiTheme="majorEastAsia" w:eastAsiaTheme="majorEastAsia" w:cstheme="majorEastAsia"/>
          <w:b/>
          <w:bCs w:val="0"/>
          <w:kern w:val="2"/>
          <w:sz w:val="44"/>
          <w:szCs w:val="44"/>
        </w:rPr>
        <w:t>年部门整体支出绩效评价自评报告</w:t>
      </w: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720" w:firstLineChars="200"/>
        <w:jc w:val="center"/>
        <w:rPr>
          <w:rFonts w:cs="Times New Roman" w:asciiTheme="minorEastAsia" w:hAnsiTheme="minorEastAsia" w:eastAsiaTheme="minorEastAsia"/>
          <w:bCs/>
          <w:kern w:val="2"/>
          <w:sz w:val="36"/>
          <w:szCs w:val="36"/>
        </w:rPr>
      </w:pPr>
      <w:r>
        <w:rPr>
          <w:rFonts w:hint="eastAsia" w:cs="Times New Roman" w:asciiTheme="minorEastAsia" w:hAnsiTheme="minorEastAsia" w:eastAsiaTheme="minorEastAsia"/>
          <w:bCs/>
          <w:kern w:val="2"/>
          <w:sz w:val="36"/>
          <w:szCs w:val="36"/>
        </w:rPr>
        <w:t>20</w:t>
      </w:r>
      <w:r>
        <w:rPr>
          <w:rFonts w:cs="Times New Roman" w:asciiTheme="minorEastAsia" w:hAnsiTheme="minorEastAsia" w:eastAsiaTheme="minorEastAsia"/>
          <w:bCs/>
          <w:kern w:val="2"/>
          <w:sz w:val="36"/>
          <w:szCs w:val="36"/>
        </w:rPr>
        <w:t>2</w:t>
      </w:r>
      <w:r>
        <w:rPr>
          <w:rFonts w:hint="default" w:cs="Times New Roman" w:asciiTheme="minorEastAsia" w:hAnsiTheme="minorEastAsia" w:eastAsiaTheme="minorEastAsia"/>
          <w:bCs/>
          <w:kern w:val="2"/>
          <w:sz w:val="36"/>
          <w:szCs w:val="36"/>
          <w:lang w:val="en-US"/>
        </w:rPr>
        <w:t>3</w:t>
      </w:r>
      <w:r>
        <w:rPr>
          <w:rFonts w:hint="eastAsia" w:cs="Times New Roman" w:asciiTheme="minorEastAsia" w:hAnsiTheme="minorEastAsia" w:eastAsiaTheme="minorEastAsia"/>
          <w:bCs/>
          <w:kern w:val="2"/>
          <w:sz w:val="36"/>
          <w:szCs w:val="36"/>
        </w:rPr>
        <w:t>年</w:t>
      </w:r>
      <w:r>
        <w:rPr>
          <w:rFonts w:hint="default" w:cs="Times New Roman" w:asciiTheme="minorEastAsia" w:hAnsiTheme="minorEastAsia" w:eastAsiaTheme="minorEastAsia"/>
          <w:bCs/>
          <w:kern w:val="2"/>
          <w:sz w:val="36"/>
          <w:szCs w:val="36"/>
          <w:lang w:val="en-US"/>
        </w:rPr>
        <w:t>8</w:t>
      </w:r>
      <w:r>
        <w:rPr>
          <w:rFonts w:hint="eastAsia" w:cs="Times New Roman" w:asciiTheme="minorEastAsia" w:hAnsiTheme="minorEastAsia" w:eastAsiaTheme="minorEastAsia"/>
          <w:bCs/>
          <w:kern w:val="2"/>
          <w:sz w:val="36"/>
          <w:szCs w:val="36"/>
        </w:rPr>
        <w:t>月</w:t>
      </w: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p>
      <w:pPr>
        <w:widowControl w:val="0"/>
        <w:adjustRightInd/>
        <w:snapToGrid/>
        <w:spacing w:after="0" w:line="540" w:lineRule="exact"/>
        <w:ind w:firstLine="1440" w:firstLineChars="200"/>
        <w:jc w:val="both"/>
        <w:rPr>
          <w:rFonts w:ascii="Times New Roman" w:hAnsi="Times New Roman" w:eastAsia="宋体" w:cs="Times New Roman"/>
          <w:bCs/>
          <w:kern w:val="2"/>
          <w:sz w:val="72"/>
          <w:szCs w:val="24"/>
        </w:rPr>
      </w:pPr>
    </w:p>
    <w:sdt>
      <w:sdtPr>
        <w:rPr>
          <w:rFonts w:ascii="Tahoma" w:hAnsi="Tahoma" w:eastAsia="微软雅黑" w:cstheme="minorBidi"/>
          <w:b w:val="0"/>
          <w:bCs w:val="0"/>
          <w:color w:val="auto"/>
          <w:sz w:val="22"/>
          <w:szCs w:val="22"/>
          <w:lang w:val="zh-CN"/>
        </w:rPr>
        <w:id w:val="8905895"/>
        <w:docPartObj>
          <w:docPartGallery w:val="Table of Contents"/>
          <w:docPartUnique/>
        </w:docPartObj>
      </w:sdtPr>
      <w:sdtEndPr>
        <w:rPr>
          <w:rFonts w:ascii="Tahoma" w:hAnsi="Tahoma" w:eastAsia="微软雅黑" w:cstheme="minorBidi"/>
          <w:b w:val="0"/>
          <w:bCs w:val="0"/>
          <w:color w:val="auto"/>
          <w:sz w:val="22"/>
          <w:szCs w:val="22"/>
          <w:lang w:val="en-US"/>
        </w:rPr>
      </w:sdtEndPr>
      <w:sdtContent>
        <w:sdt>
          <w:sdtPr>
            <w:rPr>
              <w:rFonts w:ascii="Tahoma" w:hAnsi="Tahoma" w:eastAsia="微软雅黑" w:cstheme="minorBidi"/>
              <w:b w:val="0"/>
              <w:bCs w:val="0"/>
              <w:color w:val="auto"/>
              <w:sz w:val="22"/>
              <w:szCs w:val="22"/>
              <w:lang w:val="zh-CN"/>
            </w:rPr>
            <w:id w:val="8905895"/>
            <w:docPartObj>
              <w:docPartGallery w:val="Table of Contents"/>
              <w:docPartUnique/>
            </w:docPartObj>
          </w:sdtPr>
          <w:sdtEndPr>
            <w:rPr>
              <w:rFonts w:ascii="Tahoma" w:hAnsi="Tahoma" w:eastAsia="微软雅黑" w:cstheme="minorBidi"/>
              <w:b w:val="0"/>
              <w:bCs w:val="0"/>
              <w:color w:val="auto"/>
              <w:sz w:val="22"/>
              <w:szCs w:val="22"/>
              <w:lang w:val="en-US"/>
            </w:rPr>
          </w:sdtEndPr>
          <w:sdtContent>
            <w:p>
              <w:pPr>
                <w:pStyle w:val="71"/>
                <w:ind w:firstLine="440" w:firstLineChars="200"/>
                <w:jc w:val="center"/>
                <w:rPr>
                  <w:color w:val="auto"/>
                  <w:sz w:val="44"/>
                  <w:szCs w:val="44"/>
                  <w:lang w:val="zh-CN"/>
                </w:rPr>
              </w:pPr>
              <w:r>
                <w:rPr>
                  <w:color w:val="auto"/>
                  <w:sz w:val="44"/>
                  <w:szCs w:val="44"/>
                  <w:lang w:val="zh-CN"/>
                </w:rPr>
                <w:t>目</w:t>
              </w:r>
              <w:r>
                <w:rPr>
                  <w:rFonts w:hint="eastAsia"/>
                  <w:color w:val="auto"/>
                  <w:sz w:val="44"/>
                  <w:szCs w:val="44"/>
                  <w:lang w:val="zh-CN"/>
                </w:rPr>
                <w:t xml:space="preserve">    </w:t>
              </w:r>
              <w:r>
                <w:rPr>
                  <w:color w:val="auto"/>
                  <w:sz w:val="44"/>
                  <w:szCs w:val="44"/>
                  <w:lang w:val="zh-CN"/>
                </w:rPr>
                <w:t>录</w:t>
              </w:r>
            </w:p>
            <w:p>
              <w:pPr>
                <w:pStyle w:val="18"/>
                <w:tabs>
                  <w:tab w:val="right" w:leader="dot" w:pos="8312"/>
                </w:tabs>
                <w:spacing w:line="312" w:lineRule="auto"/>
                <w:ind w:left="0" w:leftChars="0"/>
                <w:rPr>
                  <w:rFonts w:asciiTheme="majorEastAsia" w:hAnsiTheme="majorEastAsia" w:eastAsiaTheme="majorEastAsia" w:cstheme="majorEastAsia"/>
                  <w:b/>
                  <w:bCs/>
                  <w:sz w:val="24"/>
                </w:rPr>
              </w:pPr>
              <w:r>
                <w:rPr>
                  <w:rFonts w:asciiTheme="minorEastAsia" w:hAnsiTheme="minorEastAsia" w:eastAsiaTheme="minorEastAsia"/>
                  <w:sz w:val="24"/>
                </w:rPr>
                <w:fldChar w:fldCharType="begin"/>
              </w:r>
              <w:r>
                <w:rPr>
                  <w:rFonts w:asciiTheme="minorEastAsia" w:hAnsiTheme="minorEastAsia" w:eastAsiaTheme="minorEastAsia"/>
                  <w:sz w:val="24"/>
                </w:rPr>
                <w:instrText xml:space="preserve"> TOC \o "1-3" \h \z \u </w:instrText>
              </w:r>
              <w:r>
                <w:rPr>
                  <w:rFonts w:asciiTheme="minorEastAsia" w:hAnsiTheme="minorEastAsia" w:eastAsiaTheme="minorEastAsia"/>
                  <w:sz w:val="24"/>
                </w:rPr>
                <w:fldChar w:fldCharType="separate"/>
              </w:r>
              <w:r>
                <w:fldChar w:fldCharType="begin"/>
              </w:r>
              <w:r>
                <w:instrText xml:space="preserve"> HYPERLINK \l "_Toc25184" </w:instrText>
              </w:r>
              <w:r>
                <w:fldChar w:fldCharType="separate"/>
              </w:r>
              <w:r>
                <w:rPr>
                  <w:rFonts w:hint="eastAsia" w:asciiTheme="majorEastAsia" w:hAnsiTheme="majorEastAsia" w:eastAsiaTheme="majorEastAsia" w:cstheme="majorEastAsia"/>
                  <w:b/>
                  <w:bCs/>
                  <w:sz w:val="24"/>
                </w:rPr>
                <w:t>第一部分   摘  要</w:t>
              </w:r>
              <w:r>
                <w:rPr>
                  <w:rFonts w:hint="eastAsia" w:asciiTheme="majorEastAsia" w:hAnsiTheme="majorEastAsia" w:eastAsiaTheme="majorEastAsia" w:cstheme="majorEastAsia"/>
                  <w:b/>
                  <w:bCs/>
                  <w:sz w:val="24"/>
                </w:rPr>
                <w:tab/>
              </w:r>
              <w:r>
                <w:rPr>
                  <w:rFonts w:hint="eastAsia" w:asciiTheme="majorEastAsia" w:hAnsiTheme="majorEastAsia" w:eastAsiaTheme="majorEastAsia" w:cstheme="majorEastAsia"/>
                  <w:b/>
                  <w:bCs/>
                  <w:sz w:val="24"/>
                </w:rPr>
                <w:fldChar w:fldCharType="begin"/>
              </w:r>
              <w:r>
                <w:rPr>
                  <w:rFonts w:hint="eastAsia" w:asciiTheme="majorEastAsia" w:hAnsiTheme="majorEastAsia" w:eastAsiaTheme="majorEastAsia" w:cstheme="majorEastAsia"/>
                  <w:b/>
                  <w:bCs/>
                  <w:sz w:val="24"/>
                </w:rPr>
                <w:instrText xml:space="preserve"> PAGEREF _Toc25184 </w:instrText>
              </w:r>
              <w:r>
                <w:rPr>
                  <w:rFonts w:hint="eastAsia" w:asciiTheme="majorEastAsia" w:hAnsiTheme="majorEastAsia" w:eastAsiaTheme="majorEastAsia" w:cstheme="majorEastAsia"/>
                  <w:b/>
                  <w:bCs/>
                  <w:sz w:val="24"/>
                </w:rPr>
                <w:fldChar w:fldCharType="separate"/>
              </w:r>
              <w:r>
                <w:rPr>
                  <w:rFonts w:hint="eastAsia" w:asciiTheme="majorEastAsia" w:hAnsiTheme="majorEastAsia" w:eastAsiaTheme="majorEastAsia" w:cstheme="majorEastAsia"/>
                  <w:b/>
                  <w:bCs/>
                  <w:sz w:val="24"/>
                </w:rPr>
                <w:t>1</w:t>
              </w:r>
              <w:r>
                <w:rPr>
                  <w:rFonts w:hint="eastAsia" w:asciiTheme="majorEastAsia" w:hAnsiTheme="majorEastAsia" w:eastAsiaTheme="majorEastAsia" w:cstheme="majorEastAsia"/>
                  <w:b/>
                  <w:bCs/>
                  <w:sz w:val="24"/>
                </w:rPr>
                <w:fldChar w:fldCharType="end"/>
              </w:r>
              <w:r>
                <w:rPr>
                  <w:rFonts w:hint="eastAsia" w:asciiTheme="majorEastAsia" w:hAnsiTheme="majorEastAsia" w:eastAsiaTheme="majorEastAsia" w:cstheme="majorEastAsia"/>
                  <w:b/>
                  <w:bCs/>
                  <w:sz w:val="24"/>
                </w:rPr>
                <w:fldChar w:fldCharType="end"/>
              </w:r>
            </w:p>
            <w:p>
              <w:pPr>
                <w:pStyle w:val="18"/>
                <w:tabs>
                  <w:tab w:val="right" w:leader="dot" w:pos="8312"/>
                </w:tabs>
                <w:spacing w:line="312" w:lineRule="auto"/>
                <w:ind w:left="0" w:leftChars="0"/>
                <w:rPr>
                  <w:rFonts w:asciiTheme="majorEastAsia" w:hAnsiTheme="majorEastAsia" w:eastAsiaTheme="majorEastAsia" w:cstheme="majorEastAsia"/>
                  <w:sz w:val="24"/>
                </w:rPr>
              </w:pPr>
              <w:r>
                <w:fldChar w:fldCharType="begin"/>
              </w:r>
              <w:r>
                <w:instrText xml:space="preserve"> HYPERLINK \l "_Toc4346" </w:instrText>
              </w:r>
              <w:r>
                <w:fldChar w:fldCharType="separate"/>
              </w:r>
              <w:r>
                <w:rPr>
                  <w:rFonts w:hint="eastAsia" w:asciiTheme="majorEastAsia" w:hAnsiTheme="majorEastAsia" w:eastAsiaTheme="majorEastAsia" w:cstheme="majorEastAsia"/>
                  <w:b/>
                  <w:bCs/>
                  <w:sz w:val="24"/>
                </w:rPr>
                <w:t>第二部分   绩效评价报告</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5</w:t>
              </w:r>
              <w:r>
                <w:rPr>
                  <w:rFonts w:hint="eastAsia" w:asciiTheme="majorEastAsia" w:hAnsiTheme="majorEastAsia" w:eastAsiaTheme="majorEastAsia" w:cstheme="majorEastAsia"/>
                  <w:b/>
                  <w:bCs/>
                  <w:sz w:val="24"/>
                </w:rPr>
                <w:fldChar w:fldCharType="end"/>
              </w:r>
            </w:p>
            <w:p>
              <w:pPr>
                <w:pStyle w:val="18"/>
                <w:tabs>
                  <w:tab w:val="right" w:leader="dot" w:pos="8312"/>
                </w:tabs>
                <w:spacing w:line="312" w:lineRule="auto"/>
                <w:ind w:left="0" w:leftChars="0"/>
                <w:rPr>
                  <w:rFonts w:asciiTheme="majorEastAsia" w:hAnsiTheme="majorEastAsia" w:eastAsiaTheme="majorEastAsia" w:cstheme="majorEastAsia"/>
                  <w:b/>
                  <w:bCs/>
                  <w:sz w:val="24"/>
                </w:rPr>
              </w:pPr>
              <w:r>
                <w:fldChar w:fldCharType="begin"/>
              </w:r>
              <w:r>
                <w:instrText xml:space="preserve"> HYPERLINK \l "_Toc427" </w:instrText>
              </w:r>
              <w:r>
                <w:fldChar w:fldCharType="separate"/>
              </w:r>
              <w:r>
                <w:rPr>
                  <w:rFonts w:hint="eastAsia" w:asciiTheme="majorEastAsia" w:hAnsiTheme="majorEastAsia" w:eastAsiaTheme="majorEastAsia" w:cstheme="majorEastAsia"/>
                  <w:b/>
                  <w:bCs/>
                  <w:sz w:val="24"/>
                </w:rPr>
                <w:t>一、保定市徐水区</w:t>
              </w:r>
              <w:r>
                <w:rPr>
                  <w:rFonts w:hint="eastAsia" w:asciiTheme="majorEastAsia" w:hAnsiTheme="majorEastAsia" w:eastAsiaTheme="majorEastAsia" w:cstheme="majorEastAsia"/>
                  <w:b/>
                  <w:bCs/>
                  <w:sz w:val="24"/>
                  <w:lang w:eastAsia="zh-CN"/>
                </w:rPr>
                <w:t>工信局</w:t>
              </w:r>
              <w:r>
                <w:rPr>
                  <w:rFonts w:hint="eastAsia" w:asciiTheme="majorEastAsia" w:hAnsiTheme="majorEastAsia" w:eastAsiaTheme="majorEastAsia" w:cstheme="majorEastAsia"/>
                  <w:b/>
                  <w:bCs/>
                  <w:sz w:val="24"/>
                </w:rPr>
                <w:t>基本情况</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5</w:t>
              </w:r>
              <w:r>
                <w:rPr>
                  <w:rFonts w:hint="eastAsia" w:asciiTheme="majorEastAsia" w:hAnsiTheme="majorEastAsia" w:eastAsiaTheme="majorEastAsia" w:cstheme="majorEastAsia"/>
                  <w:b/>
                  <w:bCs/>
                  <w:sz w:val="24"/>
                </w:rPr>
                <w:fldChar w:fldCharType="end"/>
              </w:r>
            </w:p>
            <w:p>
              <w:pPr>
                <w:pStyle w:val="11"/>
                <w:tabs>
                  <w:tab w:val="right" w:leader="dot" w:pos="8312"/>
                </w:tabs>
                <w:spacing w:line="312" w:lineRule="auto"/>
                <w:ind w:left="0" w:leftChars="0" w:firstLine="280" w:firstLineChars="100"/>
                <w:rPr>
                  <w:rFonts w:asciiTheme="majorEastAsia" w:hAnsiTheme="majorEastAsia" w:eastAsiaTheme="majorEastAsia" w:cstheme="majorEastAsia"/>
                  <w:sz w:val="24"/>
                </w:rPr>
              </w:pPr>
              <w:r>
                <w:fldChar w:fldCharType="begin"/>
              </w:r>
              <w:r>
                <w:instrText xml:space="preserve"> HYPERLINK \l "_Toc11473" </w:instrText>
              </w:r>
              <w:r>
                <w:fldChar w:fldCharType="separate"/>
              </w:r>
              <w:r>
                <w:rPr>
                  <w:rFonts w:hint="eastAsia" w:asciiTheme="majorEastAsia" w:hAnsiTheme="majorEastAsia" w:eastAsiaTheme="majorEastAsia" w:cstheme="majorEastAsia"/>
                  <w:sz w:val="24"/>
                </w:rPr>
                <w:t>（一）部门职责和工作活动</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5</w:t>
              </w:r>
              <w:r>
                <w:rPr>
                  <w:rFonts w:hint="eastAsia" w:asciiTheme="majorEastAsia" w:hAnsiTheme="majorEastAsia" w:eastAsiaTheme="majorEastAsia" w:cstheme="majorEastAsia"/>
                  <w:sz w:val="24"/>
                </w:rPr>
                <w:fldChar w:fldCharType="end"/>
              </w:r>
            </w:p>
            <w:p>
              <w:pPr>
                <w:pStyle w:val="11"/>
                <w:tabs>
                  <w:tab w:val="right" w:leader="dot" w:pos="8312"/>
                </w:tabs>
                <w:spacing w:line="312" w:lineRule="auto"/>
                <w:ind w:left="0" w:leftChars="0" w:firstLine="280" w:firstLineChars="100"/>
                <w:rPr>
                  <w:rFonts w:asciiTheme="majorEastAsia" w:hAnsiTheme="majorEastAsia" w:eastAsiaTheme="majorEastAsia" w:cstheme="majorEastAsia"/>
                  <w:sz w:val="24"/>
                </w:rPr>
              </w:pPr>
              <w:r>
                <w:fldChar w:fldCharType="begin"/>
              </w:r>
              <w:r>
                <w:instrText xml:space="preserve"> HYPERLINK \l "_Toc7075" </w:instrText>
              </w:r>
              <w:r>
                <w:fldChar w:fldCharType="separate"/>
              </w:r>
              <w:r>
                <w:rPr>
                  <w:rFonts w:hint="eastAsia" w:asciiTheme="majorEastAsia" w:hAnsiTheme="majorEastAsia" w:eastAsiaTheme="majorEastAsia" w:cstheme="majorEastAsia"/>
                  <w:sz w:val="24"/>
                </w:rPr>
                <w:t>（二）部门年度发展规划总体目标和职责分类绩效目标</w:t>
              </w:r>
              <w:r>
                <w:rPr>
                  <w:rFonts w:hint="eastAsia" w:asciiTheme="majorEastAsia" w:hAnsiTheme="majorEastAsia" w:eastAsiaTheme="majorEastAsia" w:cstheme="majorEastAsia"/>
                  <w:sz w:val="24"/>
                </w:rPr>
                <w:tab/>
              </w:r>
              <w:r>
                <w:rPr>
                  <w:rFonts w:hint="eastAsia" w:asciiTheme="majorEastAsia" w:hAnsiTheme="majorEastAsia" w:eastAsiaTheme="majorEastAsia" w:cstheme="majorEastAsia"/>
                  <w:sz w:val="24"/>
                </w:rPr>
                <w:fldChar w:fldCharType="begin"/>
              </w:r>
              <w:r>
                <w:rPr>
                  <w:rFonts w:hint="eastAsia" w:asciiTheme="majorEastAsia" w:hAnsiTheme="majorEastAsia" w:eastAsiaTheme="majorEastAsia" w:cstheme="majorEastAsia"/>
                  <w:sz w:val="24"/>
                </w:rPr>
                <w:instrText xml:space="preserve"> PAGEREF _Toc7075 </w:instrText>
              </w:r>
              <w:r>
                <w:rPr>
                  <w:rFonts w:hint="eastAsia" w:asciiTheme="majorEastAsia" w:hAnsiTheme="majorEastAsia" w:eastAsiaTheme="majorEastAsia" w:cstheme="majorEastAsia"/>
                  <w:sz w:val="24"/>
                </w:rPr>
                <w:fldChar w:fldCharType="separate"/>
              </w:r>
              <w:r>
                <w:rPr>
                  <w:rFonts w:hint="eastAsia" w:asciiTheme="majorEastAsia" w:hAnsiTheme="majorEastAsia" w:eastAsiaTheme="majorEastAsia" w:cstheme="majorEastAsia"/>
                  <w:sz w:val="24"/>
                </w:rPr>
                <w:t>5</w:t>
              </w:r>
              <w:r>
                <w:rPr>
                  <w:rFonts w:hint="eastAsia" w:asciiTheme="majorEastAsia" w:hAnsiTheme="majorEastAsia" w:eastAsiaTheme="majorEastAsia" w:cstheme="majorEastAsia"/>
                  <w:sz w:val="24"/>
                </w:rPr>
                <w:fldChar w:fldCharType="end"/>
              </w:r>
              <w:r>
                <w:rPr>
                  <w:rFonts w:hint="eastAsia" w:asciiTheme="majorEastAsia" w:hAnsiTheme="majorEastAsia" w:eastAsiaTheme="majorEastAsia" w:cstheme="majorEastAsia"/>
                  <w:sz w:val="24"/>
                </w:rPr>
                <w:fldChar w:fldCharType="end"/>
              </w:r>
            </w:p>
            <w:p>
              <w:pPr>
                <w:pStyle w:val="11"/>
                <w:tabs>
                  <w:tab w:val="right" w:leader="dot" w:pos="8312"/>
                </w:tabs>
                <w:spacing w:line="312" w:lineRule="auto"/>
                <w:ind w:left="0" w:leftChars="0" w:firstLine="280" w:firstLineChars="100"/>
                <w:rPr>
                  <w:rFonts w:asciiTheme="majorEastAsia" w:hAnsiTheme="majorEastAsia" w:eastAsiaTheme="majorEastAsia" w:cstheme="majorEastAsia"/>
                  <w:sz w:val="24"/>
                </w:rPr>
              </w:pPr>
              <w:r>
                <w:fldChar w:fldCharType="begin"/>
              </w:r>
              <w:r>
                <w:instrText xml:space="preserve"> HYPERLINK \l "_Toc1678" </w:instrText>
              </w:r>
              <w:r>
                <w:fldChar w:fldCharType="separate"/>
              </w:r>
              <w:r>
                <w:rPr>
                  <w:rFonts w:hint="eastAsia" w:asciiTheme="majorEastAsia" w:hAnsiTheme="majorEastAsia" w:eastAsiaTheme="majorEastAsia" w:cstheme="majorEastAsia"/>
                  <w:sz w:val="24"/>
                </w:rPr>
                <w:t>（三）部门预算收入及决算收入</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7</w:t>
              </w:r>
              <w:r>
                <w:rPr>
                  <w:rFonts w:hint="eastAsia" w:asciiTheme="majorEastAsia" w:hAnsiTheme="majorEastAsia" w:eastAsiaTheme="majorEastAsia" w:cstheme="majorEastAsia"/>
                  <w:sz w:val="24"/>
                </w:rPr>
                <w:fldChar w:fldCharType="end"/>
              </w:r>
            </w:p>
            <w:p>
              <w:pPr>
                <w:pStyle w:val="11"/>
                <w:tabs>
                  <w:tab w:val="right" w:leader="dot" w:pos="8312"/>
                </w:tabs>
                <w:spacing w:line="312" w:lineRule="auto"/>
                <w:ind w:left="0" w:leftChars="0" w:firstLine="280" w:firstLineChars="100"/>
                <w:rPr>
                  <w:rFonts w:asciiTheme="majorEastAsia" w:hAnsiTheme="majorEastAsia" w:eastAsiaTheme="majorEastAsia" w:cstheme="majorEastAsia"/>
                  <w:sz w:val="24"/>
                </w:rPr>
              </w:pPr>
              <w:r>
                <w:fldChar w:fldCharType="begin"/>
              </w:r>
              <w:r>
                <w:instrText xml:space="preserve"> HYPERLINK \l "_Toc18197" </w:instrText>
              </w:r>
              <w:r>
                <w:fldChar w:fldCharType="separate"/>
              </w:r>
              <w:r>
                <w:rPr>
                  <w:rFonts w:hint="eastAsia" w:asciiTheme="majorEastAsia" w:hAnsiTheme="majorEastAsia" w:eastAsiaTheme="majorEastAsia" w:cstheme="majorEastAsia"/>
                  <w:sz w:val="24"/>
                </w:rPr>
                <w:t>（四）预算支出及决算支出</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9</w:t>
              </w:r>
              <w:r>
                <w:rPr>
                  <w:rFonts w:hint="eastAsia" w:asciiTheme="majorEastAsia" w:hAnsiTheme="majorEastAsia" w:eastAsiaTheme="majorEastAsia" w:cstheme="majorEastAsia"/>
                  <w:sz w:val="24"/>
                </w:rPr>
                <w:fldChar w:fldCharType="end"/>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"_Toc19291" </w:instrText>
              </w:r>
              <w:r>
                <w:fldChar w:fldCharType="separate"/>
              </w:r>
              <w:r>
                <w:rPr>
                  <w:rFonts w:hint="eastAsia" w:asciiTheme="majorEastAsia" w:hAnsiTheme="majorEastAsia" w:eastAsiaTheme="majorEastAsia" w:cstheme="majorEastAsia"/>
                  <w:sz w:val="24"/>
                </w:rPr>
                <w:t>（五）“三公”经费预算安排及支出情况</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1</w:t>
              </w:r>
            </w:p>
            <w:p>
              <w:pPr>
                <w:pStyle w:val="18"/>
                <w:tabs>
                  <w:tab w:val="right" w:leader="dot" w:pos="8312"/>
                </w:tabs>
                <w:spacing w:line="312" w:lineRule="auto"/>
                <w:ind w:left="0" w:leftChars="0"/>
                <w:rPr>
                  <w:rFonts w:hint="default" w:asciiTheme="majorEastAsia" w:hAnsiTheme="majorEastAsia" w:eastAsiaTheme="majorEastAsia" w:cstheme="majorEastAsia"/>
                  <w:b/>
                  <w:bCs/>
                  <w:sz w:val="24"/>
                  <w:lang w:val="en-US"/>
                </w:rPr>
              </w:pPr>
              <w:r>
                <w:fldChar w:fldCharType="begin"/>
              </w:r>
              <w:r>
                <w:instrText xml:space="preserve"> HYPERLINK \l "_Toc20454" </w:instrText>
              </w:r>
              <w:r>
                <w:fldChar w:fldCharType="separate"/>
              </w:r>
              <w:r>
                <w:rPr>
                  <w:rFonts w:hint="eastAsia" w:asciiTheme="majorEastAsia" w:hAnsiTheme="majorEastAsia" w:eastAsiaTheme="majorEastAsia" w:cstheme="majorEastAsia"/>
                  <w:b/>
                  <w:bCs/>
                  <w:sz w:val="24"/>
                </w:rPr>
                <w:t>二、部门整体支出绩效评价指标体系设定情况</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1</w:t>
              </w:r>
              <w:r>
                <w:rPr>
                  <w:rFonts w:hint="eastAsia" w:asciiTheme="majorEastAsia" w:hAnsiTheme="majorEastAsia" w:eastAsiaTheme="majorEastAsia" w:cstheme="majorEastAsia"/>
                  <w:b/>
                  <w:bCs/>
                  <w:sz w:val="24"/>
                </w:rPr>
                <w:fldChar w:fldCharType="end"/>
              </w:r>
              <w:r>
                <w:rPr>
                  <w:rFonts w:hint="default" w:asciiTheme="majorEastAsia" w:hAnsiTheme="majorEastAsia" w:eastAsiaTheme="majorEastAsia" w:cstheme="majorEastAsia"/>
                  <w:b/>
                  <w:bCs/>
                  <w:sz w:val="24"/>
                  <w:lang w:val="en-US"/>
                </w:rPr>
                <w:t>3</w:t>
              </w:r>
            </w:p>
            <w:p>
              <w:pPr>
                <w:pStyle w:val="18"/>
                <w:tabs>
                  <w:tab w:val="right" w:leader="dot" w:pos="8312"/>
                </w:tabs>
                <w:spacing w:line="312" w:lineRule="auto"/>
                <w:ind w:left="0" w:leftChars="0" w:firstLine="300" w:firstLineChars="100"/>
                <w:rPr>
                  <w:rFonts w:hint="default" w:asciiTheme="majorEastAsia" w:hAnsiTheme="majorEastAsia" w:eastAsiaTheme="majorEastAsia" w:cstheme="majorEastAsia"/>
                  <w:sz w:val="24"/>
                  <w:lang w:val="en-US"/>
                </w:rPr>
              </w:pPr>
              <w:r>
                <w:fldChar w:fldCharType="begin"/>
              </w:r>
              <w:r>
                <w:instrText xml:space="preserve"> HYPERLINK \l "_Toc9569" </w:instrText>
              </w:r>
              <w:r>
                <w:fldChar w:fldCharType="separate"/>
              </w:r>
              <w:r>
                <w:rPr>
                  <w:rFonts w:hint="eastAsia" w:asciiTheme="majorEastAsia" w:hAnsiTheme="majorEastAsia" w:eastAsiaTheme="majorEastAsia" w:cstheme="majorEastAsia"/>
                  <w:sz w:val="24"/>
                </w:rPr>
                <w:t>（一）投入</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3</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"_Toc30221" </w:instrText>
              </w:r>
              <w:r>
                <w:fldChar w:fldCharType="separate"/>
              </w:r>
              <w:r>
                <w:rPr>
                  <w:rFonts w:hint="eastAsia" w:asciiTheme="majorEastAsia" w:hAnsiTheme="majorEastAsia" w:eastAsiaTheme="majorEastAsia" w:cstheme="majorEastAsia"/>
                  <w:sz w:val="24"/>
                </w:rPr>
                <w:t>（二）过程</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3</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"_Toc24932" </w:instrText>
              </w:r>
              <w:r>
                <w:fldChar w:fldCharType="separate"/>
              </w:r>
              <w:r>
                <w:rPr>
                  <w:rFonts w:hint="eastAsia" w:asciiTheme="majorEastAsia" w:hAnsiTheme="majorEastAsia" w:eastAsiaTheme="majorEastAsia" w:cstheme="majorEastAsia"/>
                  <w:sz w:val="24"/>
                </w:rPr>
                <w:t>（三）产出</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4</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"_Toc21821" </w:instrText>
              </w:r>
              <w:r>
                <w:fldChar w:fldCharType="separate"/>
              </w:r>
              <w:r>
                <w:rPr>
                  <w:rFonts w:hint="eastAsia" w:asciiTheme="majorEastAsia" w:hAnsiTheme="majorEastAsia" w:eastAsiaTheme="majorEastAsia" w:cstheme="majorEastAsia"/>
                  <w:sz w:val="24"/>
                </w:rPr>
                <w:t>（四）效果</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4</w:t>
              </w:r>
            </w:p>
            <w:p>
              <w:pPr>
                <w:pStyle w:val="18"/>
                <w:tabs>
                  <w:tab w:val="right" w:leader="dot" w:pos="8312"/>
                </w:tabs>
                <w:spacing w:line="312" w:lineRule="auto"/>
                <w:ind w:left="0" w:leftChars="0"/>
                <w:rPr>
                  <w:rFonts w:hint="default" w:asciiTheme="majorEastAsia" w:hAnsiTheme="majorEastAsia" w:eastAsiaTheme="majorEastAsia" w:cstheme="majorEastAsia"/>
                  <w:b/>
                  <w:bCs/>
                  <w:sz w:val="24"/>
                  <w:lang w:val="en-US"/>
                </w:rPr>
              </w:pPr>
              <w:r>
                <w:fldChar w:fldCharType="begin"/>
              </w:r>
              <w:r>
                <w:instrText xml:space="preserve"> HYPERLINK \l "_Toc11842" </w:instrText>
              </w:r>
              <w:r>
                <w:fldChar w:fldCharType="separate"/>
              </w:r>
              <w:r>
                <w:rPr>
                  <w:rFonts w:hint="eastAsia" w:asciiTheme="majorEastAsia" w:hAnsiTheme="majorEastAsia" w:eastAsiaTheme="majorEastAsia" w:cstheme="majorEastAsia"/>
                  <w:b/>
                  <w:bCs/>
                  <w:sz w:val="24"/>
                </w:rPr>
                <w:t>三、综合绩效评价工作情况</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1</w:t>
              </w:r>
              <w:r>
                <w:rPr>
                  <w:rFonts w:hint="eastAsia" w:asciiTheme="majorEastAsia" w:hAnsiTheme="majorEastAsia" w:eastAsiaTheme="majorEastAsia" w:cstheme="majorEastAsia"/>
                  <w:b/>
                  <w:bCs/>
                  <w:sz w:val="24"/>
                </w:rPr>
                <w:fldChar w:fldCharType="end"/>
              </w:r>
              <w:r>
                <w:rPr>
                  <w:rFonts w:hint="default" w:asciiTheme="majorEastAsia" w:hAnsiTheme="majorEastAsia" w:eastAsiaTheme="majorEastAsia" w:cstheme="majorEastAsia"/>
                  <w:b/>
                  <w:bCs/>
                  <w:sz w:val="24"/>
                  <w:lang w:val="en-US"/>
                </w:rPr>
                <w:t>5</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"_Toc17138" </w:instrText>
              </w:r>
              <w:r>
                <w:fldChar w:fldCharType="separate"/>
              </w:r>
              <w:r>
                <w:rPr>
                  <w:rFonts w:hint="eastAsia" w:asciiTheme="majorEastAsia" w:hAnsiTheme="majorEastAsia" w:eastAsiaTheme="majorEastAsia" w:cstheme="majorEastAsia"/>
                  <w:sz w:val="24"/>
                </w:rPr>
                <w:t>（一）绩效评价目的</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5</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"_Toc11607" </w:instrText>
              </w:r>
              <w:r>
                <w:fldChar w:fldCharType="separate"/>
              </w:r>
              <w:r>
                <w:rPr>
                  <w:rFonts w:hint="eastAsia" w:asciiTheme="majorEastAsia" w:hAnsiTheme="majorEastAsia" w:eastAsiaTheme="majorEastAsia" w:cstheme="majorEastAsia"/>
                  <w:sz w:val="24"/>
                </w:rPr>
                <w:t>（二）绩效评价依据</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5</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"_Toc7609" </w:instrText>
              </w:r>
              <w:r>
                <w:fldChar w:fldCharType="separate"/>
              </w:r>
              <w:r>
                <w:rPr>
                  <w:rFonts w:hint="eastAsia" w:asciiTheme="majorEastAsia" w:hAnsiTheme="majorEastAsia" w:eastAsiaTheme="majorEastAsia" w:cstheme="majorEastAsia"/>
                  <w:sz w:val="24"/>
                </w:rPr>
                <w:t>（三）绩效评价内容</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6</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"_Toc789" </w:instrText>
              </w:r>
              <w:r>
                <w:fldChar w:fldCharType="separate"/>
              </w:r>
              <w:r>
                <w:rPr>
                  <w:rFonts w:hint="eastAsia" w:asciiTheme="majorEastAsia" w:hAnsiTheme="majorEastAsia" w:eastAsiaTheme="majorEastAsia" w:cstheme="majorEastAsia"/>
                  <w:sz w:val="24"/>
                </w:rPr>
                <w:t>（四）绩效评价原则</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6</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"_Toc8171" </w:instrText>
              </w:r>
              <w:r>
                <w:fldChar w:fldCharType="separate"/>
              </w:r>
              <w:r>
                <w:rPr>
                  <w:rFonts w:hint="eastAsia" w:asciiTheme="majorEastAsia" w:hAnsiTheme="majorEastAsia" w:eastAsiaTheme="majorEastAsia" w:cstheme="majorEastAsia"/>
                  <w:sz w:val="24"/>
                </w:rPr>
                <w:t>（五）绩效评价方法</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7</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"_Toc20821" </w:instrText>
              </w:r>
              <w:r>
                <w:fldChar w:fldCharType="separate"/>
              </w:r>
              <w:r>
                <w:rPr>
                  <w:rFonts w:hint="eastAsia" w:asciiTheme="majorEastAsia" w:hAnsiTheme="majorEastAsia" w:eastAsiaTheme="majorEastAsia" w:cstheme="majorEastAsia"/>
                  <w:sz w:val="24"/>
                </w:rPr>
                <w:t>（六）绩效评价工作过程</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7</w:t>
              </w:r>
            </w:p>
            <w:p>
              <w:pPr>
                <w:pStyle w:val="18"/>
                <w:tabs>
                  <w:tab w:val="right" w:leader="dot" w:pos="8312"/>
                </w:tabs>
                <w:spacing w:line="312" w:lineRule="auto"/>
                <w:ind w:left="0" w:leftChars="0"/>
                <w:rPr>
                  <w:rFonts w:hint="default" w:asciiTheme="majorEastAsia" w:hAnsiTheme="majorEastAsia" w:eastAsiaTheme="majorEastAsia" w:cstheme="majorEastAsia"/>
                  <w:b/>
                  <w:bCs/>
                  <w:sz w:val="24"/>
                  <w:lang w:val="en-US"/>
                </w:rPr>
              </w:pPr>
              <w:r>
                <w:fldChar w:fldCharType="begin"/>
              </w:r>
              <w:r>
                <w:instrText xml:space="preserve"> HYPERLINK \l "_Toc6467" </w:instrText>
              </w:r>
              <w:r>
                <w:fldChar w:fldCharType="separate"/>
              </w:r>
              <w:r>
                <w:rPr>
                  <w:rFonts w:hint="eastAsia" w:asciiTheme="majorEastAsia" w:hAnsiTheme="majorEastAsia" w:eastAsiaTheme="majorEastAsia" w:cstheme="majorEastAsia"/>
                  <w:b/>
                  <w:bCs/>
                  <w:sz w:val="24"/>
                </w:rPr>
                <w:t>四、绩效评价评分情况</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1</w:t>
              </w:r>
              <w:r>
                <w:rPr>
                  <w:rFonts w:hint="eastAsia" w:asciiTheme="majorEastAsia" w:hAnsiTheme="majorEastAsia" w:eastAsiaTheme="majorEastAsia" w:cstheme="majorEastAsia"/>
                  <w:b/>
                  <w:bCs/>
                  <w:sz w:val="24"/>
                </w:rPr>
                <w:fldChar w:fldCharType="end"/>
              </w:r>
              <w:r>
                <w:rPr>
                  <w:rFonts w:hint="default" w:asciiTheme="majorEastAsia" w:hAnsiTheme="majorEastAsia" w:eastAsiaTheme="majorEastAsia" w:cstheme="majorEastAsia"/>
                  <w:b/>
                  <w:bCs/>
                  <w:sz w:val="24"/>
                  <w:lang w:val="en-US"/>
                </w:rPr>
                <w:t>8</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"_Toc4390" </w:instrText>
              </w:r>
              <w:r>
                <w:fldChar w:fldCharType="separate"/>
              </w:r>
              <w:r>
                <w:rPr>
                  <w:rFonts w:hint="eastAsia" w:asciiTheme="majorEastAsia" w:hAnsiTheme="majorEastAsia" w:eastAsiaTheme="majorEastAsia" w:cstheme="majorEastAsia"/>
                  <w:sz w:val="24"/>
                </w:rPr>
                <w:t>（一）投入</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1</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9</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"_Toc19940" </w:instrText>
              </w:r>
              <w:r>
                <w:fldChar w:fldCharType="separate"/>
              </w:r>
              <w:r>
                <w:rPr>
                  <w:rFonts w:hint="eastAsia" w:asciiTheme="majorEastAsia" w:hAnsiTheme="majorEastAsia" w:eastAsiaTheme="majorEastAsia" w:cstheme="majorEastAsia"/>
                  <w:sz w:val="24"/>
                </w:rPr>
                <w:t>（二）过程</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2</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2</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"_Toc12330" </w:instrText>
              </w:r>
              <w:r>
                <w:fldChar w:fldCharType="separate"/>
              </w:r>
              <w:r>
                <w:rPr>
                  <w:rFonts w:hint="eastAsia" w:asciiTheme="majorEastAsia" w:hAnsiTheme="majorEastAsia" w:eastAsiaTheme="majorEastAsia" w:cstheme="majorEastAsia"/>
                  <w:sz w:val="24"/>
                </w:rPr>
                <w:t>（三）产出</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2</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9</w:t>
              </w:r>
            </w:p>
            <w:p>
              <w:pPr>
                <w:pStyle w:val="11"/>
                <w:tabs>
                  <w:tab w:val="right" w:leader="dot" w:pos="8312"/>
                </w:tabs>
                <w:spacing w:line="312" w:lineRule="auto"/>
                <w:ind w:left="0" w:leftChars="0" w:firstLine="280" w:firstLineChars="100"/>
                <w:rPr>
                  <w:rFonts w:hint="default" w:asciiTheme="majorEastAsia" w:hAnsiTheme="majorEastAsia" w:eastAsiaTheme="majorEastAsia" w:cstheme="majorEastAsia"/>
                  <w:sz w:val="24"/>
                  <w:lang w:val="en-US"/>
                </w:rPr>
              </w:pPr>
              <w:r>
                <w:fldChar w:fldCharType="begin"/>
              </w:r>
              <w:r>
                <w:instrText xml:space="preserve"> HYPERLINK \l "_Toc28363" </w:instrText>
              </w:r>
              <w:r>
                <w:fldChar w:fldCharType="separate"/>
              </w:r>
              <w:r>
                <w:rPr>
                  <w:rFonts w:hint="eastAsia" w:asciiTheme="majorEastAsia" w:hAnsiTheme="majorEastAsia" w:eastAsiaTheme="majorEastAsia" w:cstheme="majorEastAsia"/>
                  <w:sz w:val="24"/>
                </w:rPr>
                <w:t>（四）效果</w:t>
              </w:r>
              <w:r>
                <w:rPr>
                  <w:rFonts w:hint="eastAsia" w:asciiTheme="majorEastAsia" w:hAnsiTheme="majorEastAsia" w:eastAsiaTheme="majorEastAsia" w:cstheme="majorEastAsia"/>
                  <w:sz w:val="24"/>
                </w:rPr>
                <w:tab/>
              </w:r>
              <w:r>
                <w:rPr>
                  <w:rFonts w:hint="default" w:asciiTheme="majorEastAsia" w:hAnsiTheme="majorEastAsia" w:eastAsiaTheme="majorEastAsia" w:cstheme="majorEastAsia"/>
                  <w:sz w:val="24"/>
                  <w:lang w:val="en-US"/>
                </w:rPr>
                <w:t>3</w:t>
              </w:r>
              <w:r>
                <w:rPr>
                  <w:rFonts w:hint="eastAsia" w:asciiTheme="majorEastAsia" w:hAnsiTheme="majorEastAsia" w:eastAsiaTheme="majorEastAsia" w:cstheme="majorEastAsia"/>
                  <w:sz w:val="24"/>
                </w:rPr>
                <w:fldChar w:fldCharType="end"/>
              </w:r>
              <w:r>
                <w:rPr>
                  <w:rFonts w:hint="default" w:asciiTheme="majorEastAsia" w:hAnsiTheme="majorEastAsia" w:eastAsiaTheme="majorEastAsia" w:cstheme="majorEastAsia"/>
                  <w:sz w:val="24"/>
                  <w:lang w:val="en-US"/>
                </w:rPr>
                <w:t>1</w:t>
              </w:r>
            </w:p>
            <w:p>
              <w:pPr>
                <w:pStyle w:val="18"/>
                <w:tabs>
                  <w:tab w:val="right" w:leader="dot" w:pos="8312"/>
                </w:tabs>
                <w:spacing w:line="312" w:lineRule="auto"/>
                <w:ind w:left="0" w:leftChars="0"/>
                <w:rPr>
                  <w:rFonts w:hint="default" w:asciiTheme="majorEastAsia" w:hAnsiTheme="majorEastAsia" w:eastAsiaTheme="majorEastAsia" w:cstheme="majorEastAsia"/>
                  <w:sz w:val="24"/>
                  <w:lang w:val="en-US"/>
                </w:rPr>
              </w:pPr>
              <w:r>
                <w:fldChar w:fldCharType="begin"/>
              </w:r>
              <w:r>
                <w:instrText xml:space="preserve"> HYPERLINK \l "_Toc13757" </w:instrText>
              </w:r>
              <w:r>
                <w:fldChar w:fldCharType="separate"/>
              </w:r>
              <w:r>
                <w:rPr>
                  <w:rFonts w:hint="eastAsia" w:asciiTheme="majorEastAsia" w:hAnsiTheme="majorEastAsia" w:eastAsiaTheme="majorEastAsia" w:cstheme="majorEastAsia"/>
                  <w:b/>
                  <w:bCs/>
                  <w:sz w:val="24"/>
                </w:rPr>
                <w:t>五、绩效评价发现的问题</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3</w:t>
              </w:r>
              <w:r>
                <w:rPr>
                  <w:rFonts w:hint="eastAsia" w:asciiTheme="majorEastAsia" w:hAnsiTheme="majorEastAsia" w:eastAsiaTheme="majorEastAsia" w:cstheme="majorEastAsia"/>
                  <w:b/>
                  <w:bCs/>
                  <w:sz w:val="24"/>
                </w:rPr>
                <w:fldChar w:fldCharType="end"/>
              </w:r>
              <w:r>
                <w:rPr>
                  <w:rFonts w:hint="default" w:asciiTheme="majorEastAsia" w:hAnsiTheme="majorEastAsia" w:eastAsiaTheme="majorEastAsia" w:cstheme="majorEastAsia"/>
                  <w:b/>
                  <w:bCs/>
                  <w:sz w:val="24"/>
                  <w:lang w:val="en-US"/>
                </w:rPr>
                <w:t>3</w:t>
              </w:r>
            </w:p>
            <w:p>
              <w:pPr>
                <w:pStyle w:val="18"/>
                <w:tabs>
                  <w:tab w:val="right" w:leader="dot" w:pos="8312"/>
                </w:tabs>
                <w:spacing w:line="312" w:lineRule="auto"/>
                <w:ind w:left="0" w:leftChars="0"/>
                <w:rPr>
                  <w:rFonts w:hint="default"/>
                  <w:b/>
                  <w:bCs/>
                  <w:lang w:val="en-US"/>
                </w:rPr>
              </w:pPr>
              <w:r>
                <w:fldChar w:fldCharType="begin"/>
              </w:r>
              <w:r>
                <w:instrText xml:space="preserve"> HYPERLINK \l "_Toc20723" </w:instrText>
              </w:r>
              <w:r>
                <w:fldChar w:fldCharType="separate"/>
              </w:r>
              <w:r>
                <w:rPr>
                  <w:rFonts w:hint="eastAsia" w:asciiTheme="majorEastAsia" w:hAnsiTheme="majorEastAsia" w:eastAsiaTheme="majorEastAsia" w:cstheme="majorEastAsia"/>
                  <w:b/>
                  <w:bCs/>
                  <w:sz w:val="24"/>
                </w:rPr>
                <w:t>六、绩效评价意见及建议</w:t>
              </w:r>
              <w:r>
                <w:rPr>
                  <w:rFonts w:hint="eastAsia" w:asciiTheme="majorEastAsia" w:hAnsiTheme="majorEastAsia" w:eastAsiaTheme="majorEastAsia" w:cstheme="majorEastAsia"/>
                  <w:b/>
                  <w:bCs/>
                  <w:sz w:val="24"/>
                </w:rPr>
                <w:tab/>
              </w:r>
              <w:r>
                <w:rPr>
                  <w:rFonts w:hint="default" w:asciiTheme="majorEastAsia" w:hAnsiTheme="majorEastAsia" w:eastAsiaTheme="majorEastAsia" w:cstheme="majorEastAsia"/>
                  <w:b/>
                  <w:bCs/>
                  <w:sz w:val="24"/>
                  <w:lang w:val="en-US"/>
                </w:rPr>
                <w:t>3</w:t>
              </w:r>
              <w:r>
                <w:rPr>
                  <w:rFonts w:hint="eastAsia" w:asciiTheme="majorEastAsia" w:hAnsiTheme="majorEastAsia" w:eastAsiaTheme="majorEastAsia" w:cstheme="majorEastAsia"/>
                  <w:b/>
                  <w:bCs/>
                  <w:sz w:val="24"/>
                </w:rPr>
                <w:fldChar w:fldCharType="end"/>
              </w:r>
              <w:r>
                <w:rPr>
                  <w:rFonts w:hint="default" w:asciiTheme="majorEastAsia" w:hAnsiTheme="majorEastAsia" w:eastAsiaTheme="majorEastAsia" w:cstheme="majorEastAsia"/>
                  <w:b/>
                  <w:bCs/>
                  <w:sz w:val="24"/>
                  <w:lang w:val="en-US"/>
                </w:rPr>
                <w:t>3</w:t>
              </w:r>
            </w:p>
            <w:p>
              <w:pPr>
                <w:spacing w:line="312" w:lineRule="auto"/>
                <w:ind w:firstLine="440" w:firstLineChars="200"/>
                <w:jc w:val="both"/>
                <w:rPr>
                  <w:rFonts w:ascii="Tahoma" w:hAnsi="Tahoma" w:eastAsia="微软雅黑" w:cstheme="minorBidi"/>
                  <w:b w:val="0"/>
                  <w:bCs w:val="0"/>
                  <w:color w:val="auto"/>
                  <w:sz w:val="22"/>
                  <w:szCs w:val="22"/>
                  <w:lang w:val="en-US"/>
                </w:rPr>
              </w:pPr>
              <w:r>
                <w:rPr>
                  <w:rFonts w:asciiTheme="minorEastAsia" w:hAnsiTheme="minorEastAsia" w:eastAsiaTheme="minorEastAsia"/>
                  <w:szCs w:val="24"/>
                </w:rPr>
                <w:fldChar w:fldCharType="end"/>
              </w:r>
            </w:p>
          </w:sdtContent>
        </w:sdt>
        <w:p>
          <w:pPr>
            <w:spacing w:line="312" w:lineRule="auto"/>
            <w:ind w:firstLine="440" w:firstLineChars="200"/>
            <w:jc w:val="both"/>
            <w:sectPr>
              <w:footerReference r:id="rId4" w:type="default"/>
              <w:pgSz w:w="11906" w:h="16838"/>
              <w:pgMar w:top="1440" w:right="1797" w:bottom="1191" w:left="1797" w:header="709" w:footer="709" w:gutter="0"/>
              <w:pgNumType w:start="1"/>
              <w:cols w:space="708" w:num="1"/>
              <w:docGrid w:linePitch="360" w:charSpace="0"/>
            </w:sectPr>
          </w:pPr>
          <w:bookmarkStart w:id="80" w:name="_GoBack"/>
          <w:bookmarkEnd w:id="80"/>
        </w:p>
      </w:sdtContent>
    </w:sdt>
    <w:p>
      <w:pPr>
        <w:pStyle w:val="3"/>
        <w:spacing w:line="540" w:lineRule="exact"/>
        <w:jc w:val="center"/>
        <w:rPr>
          <w:rFonts w:ascii="黑体" w:hAnsi="黑体"/>
          <w:b w:val="0"/>
        </w:rPr>
      </w:pPr>
      <w:bookmarkStart w:id="0" w:name="_Toc25184"/>
      <w:r>
        <w:rPr>
          <w:rFonts w:hint="eastAsia" w:ascii="黑体" w:hAnsi="黑体"/>
          <w:b w:val="0"/>
        </w:rPr>
        <w:t>第一部分   摘  要</w:t>
      </w:r>
      <w:bookmarkEnd w:id="0"/>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为深入贯彻落实中共中央国务院《关于全面实施预算绩效管理的意见》、中共河北省委河北省人民政府《关于全面实施预算绩效管理的实施意见》、河北省财政厅《全面实施预算绩效管理推进工作方案》的精神，进一步加强和规范预算绩效运行监控工作，确保绩效目标如期保质保量实现，提高预算执行效率和财政资金使用效益，我单位对</w:t>
      </w:r>
      <w:r>
        <w:rPr>
          <w:rFonts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年部门整体支出情况开展了绩效自评价工作。</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保定市徐水区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为正科级行政单位，经费保障形式为财政拨款，下设</w:t>
      </w:r>
      <w:r>
        <w:rPr>
          <w:rFonts w:hint="default" w:ascii="仿宋_GB2312" w:eastAsia="仿宋_GB2312" w:cs="DengXian-Regular"/>
          <w:sz w:val="32"/>
          <w:szCs w:val="32"/>
          <w:lang w:val="en-US"/>
        </w:rPr>
        <w:t>4</w:t>
      </w:r>
      <w:r>
        <w:rPr>
          <w:rFonts w:hint="eastAsia" w:ascii="仿宋_GB2312" w:eastAsia="仿宋_GB2312" w:cs="DengXian-Regular"/>
          <w:sz w:val="32"/>
          <w:szCs w:val="32"/>
        </w:rPr>
        <w:t>个股室，分别为分别为综合股、工业运行管理、工业发展规划股、科技股，主要职责有负责监测分析工业日常运行，分析全区工业运行态势和国内外工业形式；组织全区工业发展战略、规划；组织全区工业技术改造工作；提出全区工业固定资产投资规模和方向；组织申报国家、省、市相关新型工业化产业示范基地创建工作；研究全区新型工业化的战略问题；组织研究促进工业、中小企业、民营经济发展战略，提出政策建议；拟订科技创新政策措施，提出激励企业技术我不是人政策建议；统筹推进科普、软科学工作；拟订全区促进科技与金融结合政策措施并组织实施；组织申报科研项目、前期论证、组织实施、进度审查和鉴定验收工作；指导农村科技进步和农业科技园区工作，推动科技成果推广工作；拟订引进国外智力规划和政策并组织实施。承担全区中小企业和民营经济发展的宏观指导、综合协调；会同有关部门拟订促进中小企业、民营经济发展规划和政策措施；支持中小企业创业创新，推进中小企业“专精特新”发展；承担原材料工业管理工作；承担装备工业行业管理工作；承担消费品工业行业管理工作；负责推进全区军民融合深度发展；汽车工业资源的协作生产和合理布局；承担重点外国专家服务工作。</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绩效评价是制定科学合理的评价方法、评价标准和指标体系，对财政资金的使用及产生的效益进行客观、公正的评价。通过部门整体支出绩效评价工作了解部门绩效目标和指标的设置及完成情况；部门整体资金预算情况、实际收支及结转结余情况；部门履职对社会发展所带来的直接或间接影响及服务对象对部门履职效果的满意程度，促使相关部门根据绩效评价过程中发现的问题，及时整改并总结经验，提高部门管理水平，牢固树立预算绩效理念，强化部门支出责任，提高预算执行效率和财政资金使用效益。</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评价工作经过了前期准备、绩效评价实施方案和指标体系制定、组织实施、绩效评价报告撰写四个阶段。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按照中共河北省委河北省人民政府《关于全面实施预算绩效管理的实施意见》的相关规定，以河北省财政厅《全面实施预算绩效管理推进工作方案》、《保定市徐水区部门预算绩效运行监控工作规程》中的相关工作要求作为评价标准，采取定量和定性评价相结合的方法，对资料进行审核、分析，实事求是、客观公正地完成了</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年部门整体支出绩效评价工作。</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年部门整体支出绩效评价指标体系共设置4个一级指标、7个二级指标、27个三级指标，从投入、过程、产出、效果四个方面对区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部门整体支出情况评分定级。指标体系设定满分为100分，绩效评价分值≥90为“优”；80≤分值＜90为“良”；60≤分值＜80为“合格”；60分以下为“差”。</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年部门整体支出综合评价得分为</w:t>
      </w:r>
      <w:r>
        <w:rPr>
          <w:rFonts w:hint="default" w:ascii="仿宋_GB2312" w:eastAsia="仿宋_GB2312" w:cs="DengXian-Regular"/>
          <w:sz w:val="32"/>
          <w:szCs w:val="32"/>
          <w:highlight w:val="none"/>
          <w:lang w:val="en-US" w:eastAsia="zh-CN"/>
        </w:rPr>
        <w:t>92</w:t>
      </w:r>
      <w:r>
        <w:rPr>
          <w:rFonts w:hint="eastAsia" w:ascii="仿宋_GB2312" w:eastAsia="仿宋_GB2312" w:cs="DengXian-Regular"/>
          <w:sz w:val="32"/>
          <w:szCs w:val="32"/>
        </w:rPr>
        <w:t>分，评价等级为“</w:t>
      </w:r>
      <w:r>
        <w:rPr>
          <w:rFonts w:hint="eastAsia" w:ascii="仿宋_GB2312" w:eastAsia="仿宋_GB2312" w:cs="DengXian-Regular"/>
          <w:sz w:val="32"/>
          <w:szCs w:val="32"/>
          <w:highlight w:val="none"/>
          <w:lang w:val="en-US" w:eastAsia="zh-CN"/>
        </w:rPr>
        <w:t>优</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经评价，区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预算编制完整性、项目预算细化率、在职人员控制率、收入完成率、财政拨款支出完成率、“三公经费”控制率、资金使用合规性、决算真实性、管理制度健全性、预决算信息公开、资产管理规范性、绩效自评覆盖率、绩效评价优等率、结转结余率、部门整体效益等指标完成情况较好。</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hint="eastAsia" w:ascii="仿宋_GB2312" w:eastAsia="仿宋_GB2312" w:cs="DengXian-Regular"/>
          <w:sz w:val="32"/>
          <w:szCs w:val="32"/>
          <w:lang w:eastAsia="zh-CN"/>
        </w:rPr>
      </w:pPr>
      <w:r>
        <w:rPr>
          <w:rFonts w:hint="eastAsia" w:ascii="仿宋_GB2312" w:eastAsia="仿宋_GB2312" w:cs="DengXian-Regular"/>
          <w:sz w:val="32"/>
          <w:szCs w:val="32"/>
        </w:rPr>
        <w:t>通过本次绩效评价工作，发现我单位在以下几个方面存在一些不足之处，具体如下</w:t>
      </w:r>
      <w:r>
        <w:rPr>
          <w:rFonts w:hint="eastAsia" w:ascii="仿宋_GB2312" w:eastAsia="仿宋_GB2312" w:cs="DengXian-Regular"/>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hint="eastAsia" w:ascii="仿宋_GB2312" w:eastAsia="仿宋_GB2312" w:cs="DengXian-Regular"/>
          <w:sz w:val="32"/>
          <w:szCs w:val="32"/>
          <w:lang w:eastAsia="zh-CN"/>
        </w:rPr>
      </w:pPr>
      <w:r>
        <w:rPr>
          <w:rFonts w:hint="eastAsia" w:ascii="仿宋_GB2312" w:eastAsia="仿宋_GB2312" w:cs="DengXian-Regular"/>
          <w:sz w:val="32"/>
          <w:szCs w:val="32"/>
        </w:rPr>
        <w:t>1.绩效指标方面</w:t>
      </w:r>
      <w:r>
        <w:rPr>
          <w:rFonts w:hint="eastAsia" w:ascii="仿宋_GB2312" w:eastAsia="仿宋_GB2312" w:cs="DengXian-Regular"/>
          <w:sz w:val="32"/>
          <w:szCs w:val="32"/>
          <w:lang w:eastAsia="zh-CN"/>
        </w:rPr>
        <w:t>，部分职责的</w:t>
      </w:r>
      <w:r>
        <w:rPr>
          <w:rFonts w:hint="eastAsia" w:ascii="仿宋_GB2312" w:eastAsia="仿宋_GB2312" w:cs="DengXian-Regular"/>
          <w:sz w:val="32"/>
          <w:szCs w:val="32"/>
        </w:rPr>
        <w:t>年初绩效指标设定职责覆盖面不够广泛；绩效指标量化设定不够全面具体。</w:t>
      </w:r>
    </w:p>
    <w:p>
      <w:pPr>
        <w:spacing w:after="0" w:line="360" w:lineRule="auto"/>
        <w:ind w:firstLine="640" w:firstLineChars="200"/>
        <w:jc w:val="both"/>
        <w:textAlignment w:val="baseline"/>
        <w:rPr>
          <w:rFonts w:hint="eastAsia" w:ascii="仿宋_GB2312" w:eastAsia="仿宋_GB2312" w:cs="DengXian-Regular"/>
          <w:sz w:val="32"/>
          <w:szCs w:val="32"/>
          <w:lang w:eastAsia="zh-CN"/>
        </w:rPr>
      </w:pPr>
      <w:r>
        <w:rPr>
          <w:rFonts w:hint="eastAsia" w:ascii="仿宋_GB2312" w:eastAsia="仿宋_GB2312" w:cs="DengXian-Regular"/>
          <w:sz w:val="32"/>
          <w:szCs w:val="32"/>
        </w:rPr>
        <w:t>2.预算决算比较</w:t>
      </w:r>
      <w:r>
        <w:rPr>
          <w:rFonts w:hint="eastAsia" w:ascii="仿宋_GB2312" w:eastAsia="仿宋_GB2312" w:cs="DengXian-Regular"/>
          <w:sz w:val="32"/>
          <w:szCs w:val="32"/>
          <w:lang w:eastAsia="zh-CN"/>
        </w:rPr>
        <w:t>，决算较年初预算数差额突出，主要是因为上级追加的转移支付专项资金导致。</w:t>
      </w:r>
    </w:p>
    <w:p>
      <w:pPr>
        <w:spacing w:after="0" w:line="360" w:lineRule="auto"/>
        <w:ind w:firstLine="640" w:firstLineChars="200"/>
        <w:jc w:val="both"/>
        <w:textAlignment w:val="baseline"/>
        <w:rPr>
          <w:rFonts w:hint="eastAsia" w:ascii="仿宋_GB2312" w:eastAsia="仿宋_GB2312" w:cs="DengXian-Regular"/>
          <w:sz w:val="32"/>
          <w:szCs w:val="32"/>
          <w:lang w:eastAsia="zh-CN"/>
        </w:rPr>
      </w:pPr>
      <w:r>
        <w:rPr>
          <w:rFonts w:hint="eastAsia" w:ascii="仿宋_GB2312" w:eastAsia="仿宋_GB2312" w:cs="DengXian-Regular"/>
          <w:sz w:val="32"/>
          <w:szCs w:val="32"/>
        </w:rPr>
        <w:t>3.预算追加方面</w:t>
      </w:r>
      <w:r>
        <w:rPr>
          <w:rFonts w:hint="eastAsia" w:ascii="仿宋_GB2312" w:eastAsia="仿宋_GB2312" w:cs="DengXian-Regular"/>
          <w:sz w:val="32"/>
          <w:szCs w:val="32"/>
          <w:lang w:eastAsia="zh-CN"/>
        </w:rPr>
        <w:t>，主要是上级追加的转移支付专项资金。</w:t>
      </w:r>
    </w:p>
    <w:p>
      <w:pPr>
        <w:spacing w:after="0" w:line="360" w:lineRule="auto"/>
        <w:ind w:firstLine="640" w:firstLineChars="200"/>
        <w:jc w:val="both"/>
        <w:textAlignment w:val="baseline"/>
        <w:rPr>
          <w:rFonts w:ascii="仿宋_GB2312" w:eastAsia="仿宋_GB2312" w:cs="DengXian-Regular"/>
          <w:sz w:val="32"/>
          <w:szCs w:val="32"/>
        </w:rPr>
      </w:pPr>
      <w:r>
        <w:rPr>
          <w:rFonts w:hint="default" w:ascii="仿宋_GB2312" w:eastAsia="仿宋_GB2312" w:cs="DengXian-Regular"/>
          <w:sz w:val="32"/>
          <w:szCs w:val="32"/>
          <w:lang w:val="en-US"/>
        </w:rPr>
        <w:t>4</w:t>
      </w:r>
      <w:r>
        <w:rPr>
          <w:rFonts w:hint="eastAsia" w:ascii="仿宋_GB2312" w:eastAsia="仿宋_GB2312" w:cs="DengXian-Regular"/>
          <w:sz w:val="32"/>
          <w:szCs w:val="32"/>
        </w:rPr>
        <w:t>.项目资金使用率</w:t>
      </w:r>
      <w:r>
        <w:rPr>
          <w:rFonts w:hint="eastAsia" w:ascii="仿宋_GB2312" w:eastAsia="仿宋_GB2312" w:cs="DengXian-Regular"/>
          <w:sz w:val="32"/>
          <w:szCs w:val="32"/>
          <w:lang w:eastAsia="zh-CN"/>
        </w:rPr>
        <w:t>，</w:t>
      </w:r>
      <w:r>
        <w:rPr>
          <w:rFonts w:hint="eastAsia" w:ascii="仿宋_GB2312" w:eastAsia="仿宋_GB2312" w:cs="DengXian-Regular"/>
          <w:sz w:val="32"/>
          <w:szCs w:val="32"/>
        </w:rPr>
        <w:t>部分小项目</w:t>
      </w:r>
      <w:r>
        <w:rPr>
          <w:rFonts w:hint="eastAsia" w:ascii="仿宋_GB2312" w:eastAsia="仿宋_GB2312" w:cs="DengXian-Regular"/>
          <w:sz w:val="32"/>
          <w:szCs w:val="32"/>
          <w:lang w:eastAsia="zh-CN"/>
        </w:rPr>
        <w:t>因年中执行时政策调整原因，</w:t>
      </w:r>
      <w:r>
        <w:rPr>
          <w:rFonts w:hint="eastAsia" w:ascii="仿宋_GB2312" w:eastAsia="仿宋_GB2312" w:cs="DengXian-Regular"/>
          <w:sz w:val="32"/>
          <w:szCs w:val="32"/>
        </w:rPr>
        <w:t>预算编制金额</w:t>
      </w:r>
      <w:r>
        <w:rPr>
          <w:rFonts w:hint="eastAsia" w:ascii="仿宋_GB2312" w:eastAsia="仿宋_GB2312" w:cs="DengXian-Regular"/>
          <w:sz w:val="32"/>
          <w:szCs w:val="32"/>
          <w:lang w:eastAsia="zh-CN"/>
        </w:rPr>
        <w:t>为预估数</w:t>
      </w:r>
      <w:r>
        <w:rPr>
          <w:rFonts w:hint="eastAsia" w:ascii="仿宋_GB2312" w:eastAsia="仿宋_GB2312" w:cs="DengXian-Regular"/>
          <w:sz w:val="32"/>
          <w:szCs w:val="32"/>
        </w:rPr>
        <w:t>不</w:t>
      </w:r>
      <w:r>
        <w:rPr>
          <w:rFonts w:hint="eastAsia" w:ascii="仿宋_GB2312" w:eastAsia="仿宋_GB2312" w:cs="DengXian-Regular"/>
          <w:sz w:val="32"/>
          <w:szCs w:val="32"/>
          <w:lang w:eastAsia="zh-CN"/>
        </w:rPr>
        <w:t>能</w:t>
      </w:r>
      <w:r>
        <w:rPr>
          <w:rFonts w:hint="eastAsia" w:ascii="仿宋_GB2312" w:eastAsia="仿宋_GB2312" w:cs="DengXian-Regular"/>
          <w:sz w:val="32"/>
          <w:szCs w:val="32"/>
        </w:rPr>
        <w:t>精</w:t>
      </w:r>
      <w:r>
        <w:rPr>
          <w:rFonts w:hint="eastAsia" w:ascii="仿宋_GB2312" w:eastAsia="仿宋_GB2312" w:cs="DengXian-Regular"/>
          <w:sz w:val="32"/>
          <w:szCs w:val="32"/>
          <w:lang w:eastAsia="zh-CN"/>
        </w:rPr>
        <w:t>准测算</w:t>
      </w:r>
      <w:r>
        <w:rPr>
          <w:rFonts w:hint="eastAsia" w:ascii="仿宋_GB2312" w:eastAsia="仿宋_GB2312" w:cs="DengXian-Regular"/>
          <w:sz w:val="32"/>
          <w:szCs w:val="32"/>
        </w:rPr>
        <w:t>，支出率小于年初预算数。</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针对此次绩效评价过程中发现的问题，我们建议：</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1.增强绩效指标设置的明确性</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工作活动、预算项目绩效指标应当清晰、可评价、可衡量。建议在设置职责活动绩效指标时，将绩效目标细化分解为具体的工作任务数，从而使绩效目标可量化，便于对目标实现情况进行考核。</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2.提高预算编制质量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部门预算编制工作要全面反映和体现部门职责，根据具体情况及时调整预算的编制，缩小预算与决算差额，减少中期预算追加，提高预算编制质量，发挥预算约束作用。</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3.强化政府采购执行</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建议严格按照《中华人民共和国政府采购法》及河北省2017年《政府采购集中采购目录和限额标准》的相关规定，执行政府采购，加快预算执行进度，提高政府采购效率。</w:t>
      </w:r>
      <w:bookmarkStart w:id="1" w:name="_Toc4346"/>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4.提高项目资金使用率</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建议</w:t>
      </w:r>
      <w:r>
        <w:rPr>
          <w:rFonts w:hint="eastAsia" w:ascii="仿宋_GB2312" w:eastAsia="仿宋_GB2312" w:cs="Times New Roman" w:hAnsiTheme="minorEastAsia"/>
          <w:sz w:val="32"/>
          <w:szCs w:val="32"/>
          <w:u w:color="000000"/>
          <w:lang w:eastAsia="zh-CN"/>
        </w:rPr>
        <w:t>各项目主管股室</w:t>
      </w:r>
      <w:r>
        <w:rPr>
          <w:rFonts w:hint="eastAsia" w:ascii="仿宋_GB2312" w:eastAsia="仿宋_GB2312" w:cs="Times New Roman" w:hAnsiTheme="minorEastAsia"/>
          <w:sz w:val="32"/>
          <w:szCs w:val="32"/>
          <w:u w:color="000000"/>
        </w:rPr>
        <w:t>对项目资金进行梳理，督促项目进度和资金拨付进度，应拨付的资金及时拨付，不具备条件的资金及时收回，同时，对于按规定可以结转至下年的中央及省级项目资金，在下年的项目安排时优先考虑。</w:t>
      </w:r>
    </w:p>
    <w:p>
      <w:pPr>
        <w:pStyle w:val="3"/>
        <w:spacing w:line="540" w:lineRule="exact"/>
        <w:jc w:val="center"/>
        <w:rPr>
          <w:rFonts w:ascii="黑体" w:hAnsi="黑体"/>
          <w:b w:val="0"/>
        </w:rPr>
      </w:pPr>
      <w:r>
        <w:rPr>
          <w:rFonts w:hint="eastAsia" w:ascii="黑体" w:hAnsi="黑体"/>
          <w:b w:val="0"/>
        </w:rPr>
        <w:t>第二部分   绩效评价报告</w:t>
      </w:r>
      <w:bookmarkEnd w:id="1"/>
    </w:p>
    <w:p>
      <w:pPr>
        <w:pStyle w:val="3"/>
        <w:spacing w:before="0" w:after="0" w:line="360" w:lineRule="auto"/>
        <w:ind w:firstLine="643" w:firstLineChars="200"/>
        <w:rPr>
          <w:rFonts w:ascii="楷体" w:hAnsi="楷体" w:eastAsia="楷体" w:cs="楷体"/>
        </w:rPr>
      </w:pPr>
      <w:bookmarkStart w:id="2" w:name="_Toc492652763"/>
      <w:bookmarkStart w:id="3" w:name="_Toc427"/>
      <w:r>
        <w:rPr>
          <w:rFonts w:hint="eastAsia" w:ascii="楷体" w:hAnsi="楷体" w:eastAsia="楷体" w:cs="楷体"/>
        </w:rPr>
        <w:t>一、保定市徐水区</w:t>
      </w:r>
      <w:r>
        <w:rPr>
          <w:rFonts w:hint="eastAsia" w:ascii="楷体" w:hAnsi="楷体" w:eastAsia="楷体" w:cs="楷体"/>
          <w:lang w:eastAsia="zh-CN"/>
        </w:rPr>
        <w:t>工信局</w:t>
      </w:r>
      <w:r>
        <w:rPr>
          <w:rFonts w:hint="eastAsia" w:ascii="楷体" w:hAnsi="楷体" w:eastAsia="楷体" w:cs="楷体"/>
        </w:rPr>
        <w:t>基本情况</w:t>
      </w:r>
      <w:bookmarkEnd w:id="2"/>
      <w:bookmarkEnd w:id="3"/>
      <w:bookmarkStart w:id="4" w:name="_Toc492652764"/>
    </w:p>
    <w:p>
      <w:pPr>
        <w:pStyle w:val="4"/>
        <w:spacing w:before="0" w:after="0"/>
        <w:ind w:firstLine="643" w:firstLineChars="200"/>
        <w:jc w:val="both"/>
        <w:rPr>
          <w:rFonts w:ascii="仿宋_GB2312" w:hAnsi="Tahoma" w:cs="DengXian-Regular"/>
          <w:sz w:val="32"/>
        </w:rPr>
      </w:pPr>
      <w:bookmarkStart w:id="5" w:name="_Toc11473"/>
      <w:r>
        <w:rPr>
          <w:rFonts w:hint="eastAsia" w:ascii="仿宋_GB2312" w:hAnsi="Tahoma" w:cs="DengXian-Regular"/>
          <w:sz w:val="32"/>
        </w:rPr>
        <w:t>（一）部门职责和工作活动</w:t>
      </w:r>
      <w:bookmarkEnd w:id="4"/>
      <w:bookmarkEnd w:id="5"/>
    </w:p>
    <w:p>
      <w:pPr>
        <w:keepNext/>
        <w:pageBreakBefore w:val="0"/>
        <w:widowControl w:val="0"/>
        <w:kinsoku/>
        <w:wordWrap/>
        <w:overflowPunct/>
        <w:topLinePunct w:val="0"/>
        <w:autoSpaceDE/>
        <w:autoSpaceDN/>
        <w:bidi w:val="0"/>
        <w:spacing w:after="0" w:line="360" w:lineRule="auto"/>
        <w:ind w:firstLine="640" w:firstLineChars="200"/>
        <w:jc w:val="both"/>
        <w:textAlignment w:val="baseline"/>
        <w:rPr>
          <w:rFonts w:hint="eastAsia" w:ascii="仿宋_GB2312" w:hAnsi="仿宋_GB2312" w:eastAsia="仿宋_GB2312" w:cs="仿宋_GB2312"/>
          <w:sz w:val="32"/>
          <w:szCs w:val="32"/>
          <w:lang w:val="en-US" w:eastAsia="zh-CN"/>
        </w:rPr>
      </w:pPr>
      <w:r>
        <w:rPr>
          <w:rFonts w:hint="eastAsia" w:ascii="仿宋_GB2312" w:eastAsia="仿宋_GB2312" w:cs="DengXian-Regular"/>
          <w:sz w:val="32"/>
          <w:szCs w:val="32"/>
        </w:rPr>
        <w:t>根据中共保定市徐水区委办公室、保定市徐水区人民政府办公室关于印发《保定市徐水区</w:t>
      </w:r>
      <w:r>
        <w:rPr>
          <w:rFonts w:hint="eastAsia" w:ascii="仿宋_GB2312" w:eastAsia="仿宋_GB2312" w:cs="DengXian-Regular"/>
          <w:sz w:val="32"/>
          <w:szCs w:val="32"/>
          <w:lang w:eastAsia="zh-CN"/>
        </w:rPr>
        <w:t>工业和信息化局</w:t>
      </w:r>
      <w:r>
        <w:rPr>
          <w:rFonts w:hint="eastAsia" w:ascii="仿宋_GB2312" w:eastAsia="仿宋_GB2312" w:cs="DengXian-Regular"/>
          <w:sz w:val="32"/>
          <w:szCs w:val="32"/>
        </w:rPr>
        <w:t>职能配置内设机构和人员编制规定》的通知，区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为区政府工作部门，正科级单位，下设</w:t>
      </w:r>
      <w:r>
        <w:rPr>
          <w:rFonts w:hint="default" w:ascii="仿宋_GB2312" w:eastAsia="仿宋_GB2312" w:cs="DengXian-Regular"/>
          <w:sz w:val="32"/>
          <w:szCs w:val="32"/>
          <w:lang w:val="en-US"/>
        </w:rPr>
        <w:t>4</w:t>
      </w:r>
      <w:r>
        <w:rPr>
          <w:rFonts w:hint="eastAsia" w:ascii="仿宋_GB2312" w:eastAsia="仿宋_GB2312" w:cs="DengXian-Regular"/>
          <w:sz w:val="32"/>
          <w:szCs w:val="32"/>
        </w:rPr>
        <w:t>个股室。</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根据绩效预算管理改革的相关要求，按照“部门职责—工作活动绩效目标”的层级设立了绩效预算架构，职责活动包括支持工业转型升级、促进中小企业和民营经济发展、科技创新支撑共</w:t>
      </w:r>
      <w:r>
        <w:rPr>
          <w:rFonts w:hint="eastAsia" w:ascii="仿宋_GB2312" w:eastAsia="仿宋_GB2312" w:cs="DengXian-Regular"/>
          <w:sz w:val="32"/>
          <w:szCs w:val="32"/>
          <w:lang w:eastAsia="zh-CN"/>
        </w:rPr>
        <w:t>三</w:t>
      </w:r>
      <w:r>
        <w:rPr>
          <w:rFonts w:hint="eastAsia" w:ascii="仿宋_GB2312" w:eastAsia="仿宋_GB2312" w:cs="DengXian-Regular"/>
          <w:sz w:val="32"/>
          <w:szCs w:val="32"/>
        </w:rPr>
        <w:t>部分。</w:t>
      </w:r>
      <w:bookmarkStart w:id="6" w:name="_Toc465149499"/>
      <w:bookmarkStart w:id="7" w:name="_Toc492652765"/>
    </w:p>
    <w:p>
      <w:pPr>
        <w:pStyle w:val="4"/>
        <w:keepNext/>
        <w:pageBreakBefore w:val="0"/>
        <w:widowControl w:val="0"/>
        <w:kinsoku/>
        <w:wordWrap/>
        <w:overflowPunct/>
        <w:topLinePunct w:val="0"/>
        <w:autoSpaceDE/>
        <w:autoSpaceDN/>
        <w:bidi w:val="0"/>
        <w:spacing w:before="0" w:after="0"/>
        <w:ind w:firstLine="643" w:firstLineChars="200"/>
        <w:jc w:val="both"/>
        <w:textAlignment w:val="baseline"/>
        <w:rPr>
          <w:rFonts w:ascii="仿宋_GB2312" w:hAnsi="Tahoma" w:cs="DengXian-Regular"/>
          <w:sz w:val="32"/>
        </w:rPr>
      </w:pPr>
      <w:bookmarkStart w:id="8" w:name="_Toc7075"/>
      <w:r>
        <w:rPr>
          <w:rFonts w:hint="eastAsia" w:ascii="仿宋_GB2312" w:hAnsi="Tahoma" w:cs="DengXian-Regular"/>
          <w:sz w:val="32"/>
        </w:rPr>
        <w:t>（二）</w:t>
      </w:r>
      <w:bookmarkEnd w:id="6"/>
      <w:r>
        <w:rPr>
          <w:rFonts w:hint="eastAsia" w:ascii="仿宋_GB2312" w:hAnsi="Tahoma" w:cs="DengXian-Regular"/>
          <w:sz w:val="32"/>
        </w:rPr>
        <w:t>部门年度发展规划总体目标和职责分类绩效目标</w:t>
      </w:r>
      <w:bookmarkEnd w:id="7"/>
      <w:bookmarkEnd w:id="8"/>
    </w:p>
    <w:p>
      <w:pPr>
        <w:keepNext/>
        <w:pageBreakBefore w:val="0"/>
        <w:widowControl w:val="0"/>
        <w:kinsoku/>
        <w:wordWrap/>
        <w:overflowPunct/>
        <w:topLinePunct w:val="0"/>
        <w:autoSpaceDE/>
        <w:autoSpaceDN/>
        <w:bidi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按照202</w:t>
      </w:r>
      <w:r>
        <w:rPr>
          <w:rFonts w:hint="default" w:ascii="仿宋_GB2312" w:eastAsia="仿宋_GB2312" w:cs="DengXian-Regular"/>
          <w:sz w:val="32"/>
          <w:szCs w:val="32"/>
          <w:lang w:val="en-US"/>
        </w:rPr>
        <w:t>2</w:t>
      </w:r>
      <w:r>
        <w:rPr>
          <w:rFonts w:hint="eastAsia" w:ascii="仿宋_GB2312" w:eastAsia="仿宋_GB2312" w:cs="DengXian-Regular"/>
          <w:sz w:val="32"/>
          <w:szCs w:val="32"/>
        </w:rPr>
        <w:t>年绩效预算编制要求，</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设置的年度发展规划总体目标为：</w:t>
      </w:r>
    </w:p>
    <w:p>
      <w:pPr>
        <w:keepNext/>
        <w:pageBreakBefore w:val="0"/>
        <w:widowControl w:val="0"/>
        <w:kinsoku/>
        <w:wordWrap/>
        <w:overflowPunct/>
        <w:topLinePunct w:val="0"/>
        <w:autoSpaceDE/>
        <w:autoSpaceDN/>
        <w:bidi w:val="0"/>
        <w:spacing w:after="0" w:line="360" w:lineRule="auto"/>
        <w:ind w:firstLine="640" w:firstLineChars="200"/>
        <w:jc w:val="both"/>
        <w:textAlignment w:val="baseline"/>
        <w:rPr>
          <w:rFonts w:hint="eastAsia" w:ascii="仿宋_GB2312" w:eastAsia="仿宋_GB2312" w:cs="DengXian-Regular"/>
          <w:sz w:val="32"/>
          <w:szCs w:val="32"/>
        </w:rPr>
      </w:pPr>
      <w:r>
        <w:rPr>
          <w:rFonts w:hint="eastAsia" w:ascii="仿宋_GB2312" w:hAnsi="仿宋_GB2312" w:eastAsia="仿宋_GB2312" w:cs="仿宋_GB2312"/>
          <w:sz w:val="32"/>
          <w:szCs w:val="32"/>
        </w:rPr>
        <w:t>以习近平新时代中国特色社会主义思想为指引，深入贯彻落实十九届六中全会精神和省市区党代会精神，树牢“四个意识”，坚定“四个自信”，坚决做到“两个维护”，勇于担当作为，以求真务实作风坚决把省市区各项要求落到实处。促进徐水工业经济发展，深化工业供给侧结构性改革,发挥财政资金效能，助推徐水工业转型升级、民营经济快速发展。改造提升传统产业，引导实施重点技改项目；发展工业互联网,培育壮大新兴产业；鼓励工业设计与制造业深度融合；发展壮大民营经济，支持振兴县域特色产业；推动全区科技进步、推动高新技术企业做大做强、推动省级科技创新平台体系建设，有效推动省级重大科技成果在我区落地转化，全面增强科技创新对建设新时代经济徐水、美丽徐水的引领支撑作用。力争培育3家省级“专精特新”中小企业，全区累计达到17家；培育10家规模以上工业企业，全区累计规上企业达到100家；争</w:t>
      </w:r>
      <w:r>
        <w:rPr>
          <w:rFonts w:hint="eastAsia" w:ascii="仿宋_GB2312" w:eastAsia="仿宋_GB2312" w:cs="DengXian-Regular"/>
          <w:sz w:val="32"/>
          <w:szCs w:val="32"/>
        </w:rPr>
        <w:t>取新认定高新技术企业5家，新增科技型中小企业55家。</w:t>
      </w:r>
    </w:p>
    <w:p>
      <w:pPr>
        <w:keepNext/>
        <w:pageBreakBefore w:val="0"/>
        <w:widowControl w:val="0"/>
        <w:kinsoku/>
        <w:wordWrap/>
        <w:overflowPunct/>
        <w:topLinePunct w:val="0"/>
        <w:autoSpaceDE/>
        <w:autoSpaceDN/>
        <w:bidi w:val="0"/>
        <w:spacing w:after="0" w:line="360" w:lineRule="auto"/>
        <w:ind w:firstLine="640" w:firstLineChars="200"/>
        <w:jc w:val="both"/>
        <w:textAlignment w:val="baseline"/>
        <w:rPr>
          <w:rFonts w:hint="eastAsia" w:ascii="仿宋_GB2312" w:eastAsia="仿宋_GB2312" w:cs="DengXian-Regular"/>
          <w:sz w:val="32"/>
          <w:szCs w:val="32"/>
        </w:rPr>
      </w:pPr>
      <w:r>
        <w:rPr>
          <w:rFonts w:hint="eastAsia" w:ascii="仿宋_GB2312" w:eastAsia="仿宋_GB2312" w:cs="DengXian-Regular"/>
          <w:sz w:val="32"/>
          <w:szCs w:val="32"/>
        </w:rPr>
        <w:t>职责分类绩效目标为：</w:t>
      </w:r>
    </w:p>
    <w:p>
      <w:pPr>
        <w:pStyle w:val="75"/>
        <w:rPr>
          <w:rFonts w:hint="eastAsia" w:ascii="仿宋_GB2312" w:hAnsi="仿宋_GB2312" w:eastAsia="仿宋_GB2312" w:cs="仿宋_GB2312"/>
          <w:sz w:val="32"/>
          <w:szCs w:val="32"/>
        </w:rPr>
      </w:pPr>
      <w:bookmarkStart w:id="9" w:name="_Toc1678"/>
      <w:bookmarkStart w:id="10" w:name="_Toc492652766"/>
      <w:bookmarkStart w:id="11" w:name="_Toc465149500"/>
      <w:r>
        <w:rPr>
          <w:rFonts w:hint="default" w:ascii="仿宋_GB2312" w:hAnsi="仿宋_GB2312" w:eastAsia="仿宋_GB2312" w:cs="仿宋_GB2312"/>
          <w:sz w:val="32"/>
          <w:szCs w:val="32"/>
          <w:lang w:val="en-US"/>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促进工业转型升级、促进中小企业发展</w:t>
      </w:r>
    </w:p>
    <w:p>
      <w:pPr>
        <w:pStyle w:val="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改造提升全省传统产业水平。提升两化融合水平。提升规上工业企业技术创新能力。培育壮大新兴产业发展。大力开展工业设计、绿色园区、绿色工厂、专精特新、企业上云等工作，支持实体企业技术革新、设备更新、产品焕新，梯队培育“专精特新”中小企业，引领培育一批小巨人、单项冠军企业和数字平台型企业，加快数字产业布局与平台建设，推动我区工业经济绿色发展、创新发展、高质量发展。</w:t>
      </w:r>
    </w:p>
    <w:p>
      <w:pPr>
        <w:pStyle w:val="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绩效指标：新增规上企业数量10家，新增“专精特新”中小企业3家。</w:t>
      </w:r>
    </w:p>
    <w:p>
      <w:pPr>
        <w:pStyle w:val="75"/>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创新载体建设水平实现新提升</w:t>
      </w:r>
    </w:p>
    <w:p>
      <w:pPr>
        <w:pStyle w:val="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提升创新主体数量，引进和培养高层次创新人才，创建一流科技园区，广泛开展科学普及活动，加强国际科技合作，促进平台、机构、园区、基地等科技创新载体提质增效，为提升我区综合科技创新能力提供有力支撑。</w:t>
      </w:r>
    </w:p>
    <w:p>
      <w:pPr>
        <w:pStyle w:val="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绩效指标：高新技术企业新增5家；科技型中小企业新增55家。</w:t>
      </w:r>
    </w:p>
    <w:p>
      <w:pPr>
        <w:pStyle w:val="75"/>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进一步加快工业转型升级</w:t>
      </w:r>
    </w:p>
    <w:p>
      <w:pPr>
        <w:pStyle w:val="7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绩效目标：按照工业转型实施路径和方案，加快推进示范县工业转型升级工作，积极推进技改项目建设，积极开展两化融合评估工作，确保完成率达到全市前列。</w:t>
      </w:r>
    </w:p>
    <w:p>
      <w:pPr>
        <w:keepNext/>
        <w:pageBreakBefore w:val="0"/>
        <w:widowControl w:val="0"/>
        <w:kinsoku/>
        <w:wordWrap/>
        <w:overflowPunct/>
        <w:topLinePunct w:val="0"/>
        <w:autoSpaceDE/>
        <w:autoSpaceDN/>
        <w:bidi w:val="0"/>
        <w:spacing w:after="0" w:line="360" w:lineRule="auto"/>
        <w:ind w:firstLine="640" w:firstLineChars="200"/>
        <w:jc w:val="both"/>
        <w:textAlignment w:val="baseline"/>
        <w:rPr>
          <w:rFonts w:hint="eastAsia" w:ascii="仿宋_GB2312" w:eastAsia="仿宋_GB2312" w:cs="DengXian-Regular"/>
          <w:sz w:val="32"/>
          <w:szCs w:val="32"/>
        </w:rPr>
      </w:pPr>
      <w:r>
        <w:rPr>
          <w:rFonts w:hint="eastAsia" w:ascii="仿宋_GB2312" w:hAnsi="仿宋_GB2312" w:eastAsia="仿宋_GB2312" w:cs="仿宋_GB2312"/>
          <w:sz w:val="32"/>
          <w:szCs w:val="32"/>
        </w:rPr>
        <w:t>绩效指标：申请转型升级技改资金800万元，用以支持企业技改大步发展；服务企业，服务发展，为华艺帽业、</w:t>
      </w:r>
      <w:r>
        <w:rPr>
          <w:rFonts w:hint="eastAsia" w:ascii="仿宋_GB2312" w:eastAsia="仿宋_GB2312" w:cs="DengXian-Regular"/>
          <w:sz w:val="32"/>
          <w:szCs w:val="32"/>
        </w:rPr>
        <w:t>普康医疗2家企业申报省级工业设计中心。</w:t>
      </w:r>
    </w:p>
    <w:p>
      <w:pPr>
        <w:keepNext/>
        <w:pageBreakBefore w:val="0"/>
        <w:widowControl w:val="0"/>
        <w:kinsoku/>
        <w:wordWrap/>
        <w:overflowPunct/>
        <w:topLinePunct w:val="0"/>
        <w:autoSpaceDE/>
        <w:autoSpaceDN/>
        <w:bidi w:val="0"/>
        <w:spacing w:after="0" w:line="360" w:lineRule="auto"/>
        <w:ind w:firstLine="643" w:firstLineChars="200"/>
        <w:jc w:val="both"/>
        <w:textAlignment w:val="baseline"/>
        <w:rPr>
          <w:rFonts w:hint="eastAsia" w:ascii="仿宋_GB2312" w:eastAsia="仿宋_GB2312" w:cs="DengXian-Regular"/>
          <w:b/>
          <w:bCs/>
          <w:sz w:val="32"/>
          <w:szCs w:val="32"/>
        </w:rPr>
      </w:pPr>
      <w:r>
        <w:rPr>
          <w:rFonts w:hint="eastAsia" w:ascii="仿宋_GB2312" w:eastAsia="仿宋_GB2312" w:cs="DengXian-Regular"/>
          <w:b/>
          <w:bCs/>
          <w:sz w:val="32"/>
          <w:szCs w:val="32"/>
        </w:rPr>
        <w:t>（三）部门预算收入及决算收入</w:t>
      </w:r>
      <w:bookmarkEnd w:id="9"/>
    </w:p>
    <w:p>
      <w:pPr>
        <w:adjustRightInd w:val="0"/>
        <w:snapToGrid w:val="0"/>
        <w:spacing w:line="580" w:lineRule="exact"/>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单位</w:t>
      </w:r>
      <w:r>
        <w:rPr>
          <w:rFonts w:hint="eastAsia" w:ascii="仿宋_GB2312" w:eastAsia="仿宋_GB2312" w:cs="DengXian-Regular"/>
          <w:sz w:val="32"/>
          <w:szCs w:val="32"/>
          <w:lang w:eastAsia="zh-CN"/>
        </w:rPr>
        <w:t>年初</w:t>
      </w:r>
      <w:r>
        <w:rPr>
          <w:rFonts w:hint="eastAsia" w:ascii="仿宋_GB2312" w:eastAsia="仿宋_GB2312" w:cs="DengXian-Regular"/>
          <w:sz w:val="32"/>
          <w:szCs w:val="32"/>
        </w:rPr>
        <w:t>预算收入</w:t>
      </w:r>
      <w:r>
        <w:rPr>
          <w:rFonts w:hint="default" w:ascii="仿宋_GB2312" w:eastAsia="仿宋_GB2312" w:cs="DengXian-Regular"/>
          <w:sz w:val="32"/>
          <w:szCs w:val="32"/>
          <w:lang w:val="en-US"/>
        </w:rPr>
        <w:t>1312.83</w:t>
      </w:r>
      <w:r>
        <w:rPr>
          <w:rFonts w:hint="eastAsia" w:ascii="仿宋_GB2312" w:eastAsia="仿宋_GB2312" w:cs="DengXian-Regular"/>
          <w:sz w:val="32"/>
          <w:szCs w:val="32"/>
        </w:rPr>
        <w:t>万元，</w:t>
      </w:r>
      <w:r>
        <w:rPr>
          <w:rFonts w:hint="eastAsia" w:ascii="仿宋_GB2312" w:eastAsia="仿宋_GB2312" w:cs="DengXian-Regular"/>
          <w:sz w:val="32"/>
          <w:szCs w:val="32"/>
          <w:lang w:eastAsia="zh-CN"/>
        </w:rPr>
        <w:t>其中</w:t>
      </w:r>
      <w:r>
        <w:rPr>
          <w:rFonts w:hint="eastAsia" w:ascii="仿宋_GB2312" w:eastAsia="仿宋_GB2312" w:cs="DengXian-Regular"/>
          <w:sz w:val="32"/>
          <w:szCs w:val="32"/>
        </w:rPr>
        <w:t>一般公共预算拨款</w:t>
      </w:r>
      <w:r>
        <w:rPr>
          <w:rFonts w:hint="default" w:ascii="仿宋_GB2312" w:eastAsia="仿宋_GB2312" w:cs="DengXian-Regular"/>
          <w:sz w:val="32"/>
          <w:szCs w:val="32"/>
          <w:lang w:val="en-US"/>
        </w:rPr>
        <w:t>1312.69</w:t>
      </w:r>
      <w:r>
        <w:rPr>
          <w:rFonts w:hint="eastAsia" w:ascii="仿宋_GB2312" w:eastAsia="仿宋_GB2312" w:cs="DengXian-Regular"/>
          <w:sz w:val="32"/>
          <w:szCs w:val="32"/>
          <w:lang w:val="en-US" w:eastAsia="zh-CN"/>
        </w:rPr>
        <w:t>万元，</w:t>
      </w:r>
      <w:r>
        <w:rPr>
          <w:rFonts w:hint="eastAsia" w:ascii="仿宋_GB2312" w:eastAsia="仿宋_GB2312" w:cs="DengXian-Regular"/>
          <w:sz w:val="32"/>
          <w:szCs w:val="32"/>
        </w:rPr>
        <w:t>其中：财政拨款</w:t>
      </w:r>
      <w:r>
        <w:rPr>
          <w:rFonts w:hint="default" w:ascii="仿宋_GB2312" w:eastAsia="仿宋_GB2312" w:cs="DengXian-Regular"/>
          <w:sz w:val="32"/>
          <w:szCs w:val="32"/>
          <w:lang w:val="en-US"/>
        </w:rPr>
        <w:t>1312.69</w:t>
      </w:r>
      <w:r>
        <w:rPr>
          <w:rFonts w:hint="eastAsia" w:ascii="仿宋_GB2312" w:eastAsia="仿宋_GB2312" w:cs="DengXian-Regular"/>
          <w:sz w:val="32"/>
          <w:szCs w:val="32"/>
        </w:rPr>
        <w:t>万元，中央财政提前通知转移支付</w:t>
      </w:r>
      <w:r>
        <w:rPr>
          <w:rFonts w:hint="default" w:ascii="仿宋_GB2312" w:eastAsia="仿宋_GB2312" w:cs="DengXian-Regular"/>
          <w:sz w:val="32"/>
          <w:szCs w:val="32"/>
          <w:lang w:val="en-US"/>
        </w:rPr>
        <w:t>0</w:t>
      </w:r>
      <w:r>
        <w:rPr>
          <w:rFonts w:hint="eastAsia" w:ascii="仿宋_GB2312" w:eastAsia="仿宋_GB2312" w:cs="DengXian-Regular"/>
          <w:sz w:val="32"/>
          <w:szCs w:val="32"/>
        </w:rPr>
        <w:t>万元。预算收入按功能分类包含：</w:t>
      </w:r>
      <w:r>
        <w:rPr>
          <w:rFonts w:hint="eastAsia" w:ascii="仿宋_GB2312" w:hAnsi="Times New Roman" w:eastAsia="仿宋_GB2312" w:cs="DengXian-Regular"/>
          <w:sz w:val="32"/>
          <w:szCs w:val="32"/>
        </w:rPr>
        <w:t>科学技术（类）支出</w:t>
      </w:r>
      <w:r>
        <w:rPr>
          <w:rFonts w:hint="default" w:ascii="仿宋_GB2312" w:hAnsi="Times New Roman" w:eastAsia="仿宋_GB2312" w:cs="DengXian-Regular"/>
          <w:sz w:val="32"/>
          <w:szCs w:val="32"/>
          <w:lang w:val="en-US"/>
        </w:rPr>
        <w:t>1186.79</w:t>
      </w:r>
      <w:r>
        <w:rPr>
          <w:rFonts w:hint="eastAsia" w:ascii="仿宋_GB2312" w:hAnsi="Times New Roman" w:eastAsia="仿宋_GB2312" w:cs="DengXian-Regular"/>
          <w:sz w:val="32"/>
          <w:szCs w:val="32"/>
        </w:rPr>
        <w:t xml:space="preserve">万元，占 </w:t>
      </w:r>
      <w:r>
        <w:rPr>
          <w:rFonts w:hint="default" w:ascii="仿宋_GB2312" w:hAnsi="Times New Roman" w:eastAsia="仿宋_GB2312" w:cs="DengXian-Regular"/>
          <w:sz w:val="32"/>
          <w:szCs w:val="32"/>
          <w:lang w:val="en-US"/>
        </w:rPr>
        <w:t>90.4</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eastAsia="zh-CN"/>
        </w:rPr>
        <w:t>企业科研项目资助、科技成果推广及科技部门经费</w:t>
      </w:r>
      <w:r>
        <w:rPr>
          <w:rFonts w:hint="eastAsia" w:ascii="仿宋_GB2312" w:hAnsi="Times New Roman" w:eastAsia="仿宋_GB2312" w:cs="DengXian-Regular"/>
          <w:sz w:val="32"/>
          <w:szCs w:val="32"/>
        </w:rPr>
        <w:t>等支出；</w:t>
      </w:r>
      <w:r>
        <w:rPr>
          <w:rFonts w:hint="eastAsia" w:ascii="仿宋_GB2312" w:hAnsi="Times New Roman" w:eastAsia="仿宋_GB2312" w:cs="Wingdings"/>
          <w:sz w:val="32"/>
          <w:szCs w:val="32"/>
        </w:rPr>
        <w:t xml:space="preserve">社会保障和就业（类）支出 </w:t>
      </w:r>
      <w:r>
        <w:rPr>
          <w:rFonts w:hint="default" w:ascii="仿宋_GB2312" w:hAnsi="Times New Roman" w:eastAsia="仿宋_GB2312" w:cs="Wingdings"/>
          <w:sz w:val="32"/>
          <w:szCs w:val="32"/>
          <w:lang w:val="en-US"/>
        </w:rPr>
        <w:t>126.04</w:t>
      </w:r>
      <w:r>
        <w:rPr>
          <w:rFonts w:hint="eastAsia" w:ascii="仿宋_GB2312" w:hAnsi="Times New Roman" w:eastAsia="仿宋_GB2312" w:cs="Wingdings"/>
          <w:sz w:val="32"/>
          <w:szCs w:val="32"/>
        </w:rPr>
        <w:t>万元，占</w:t>
      </w:r>
      <w:r>
        <w:rPr>
          <w:rFonts w:hint="default" w:ascii="仿宋_GB2312" w:hAnsi="Times New Roman" w:eastAsia="仿宋_GB2312" w:cs="Wingdings"/>
          <w:sz w:val="32"/>
          <w:szCs w:val="32"/>
          <w:lang w:val="en-US"/>
        </w:rPr>
        <w:t>9.6</w:t>
      </w:r>
      <w:r>
        <w:rPr>
          <w:rFonts w:hint="eastAsia" w:ascii="仿宋_GB2312" w:hAnsi="Times New Roman" w:eastAsia="仿宋_GB2312" w:cs="Wingdings"/>
          <w:sz w:val="32"/>
          <w:szCs w:val="32"/>
        </w:rPr>
        <w:t>%</w:t>
      </w:r>
      <w:r>
        <w:rPr>
          <w:rFonts w:hint="eastAsia" w:ascii="仿宋_GB2312" w:hAnsi="Times New Roman" w:eastAsia="仿宋_GB2312" w:cs="Wingdings"/>
          <w:sz w:val="32"/>
          <w:szCs w:val="32"/>
          <w:lang w:eastAsia="zh-CN"/>
        </w:rPr>
        <w:t>。</w:t>
      </w:r>
      <w:r>
        <w:rPr>
          <w:rFonts w:hint="eastAsia" w:ascii="仿宋_GB2312" w:eastAsia="仿宋_GB2312" w:cs="DengXian-Regular"/>
          <w:sz w:val="32"/>
          <w:szCs w:val="32"/>
        </w:rPr>
        <w:t>具体预算收入详见附件2。</w:t>
      </w:r>
    </w:p>
    <w:p>
      <w:pPr>
        <w:spacing w:after="0" w:line="360" w:lineRule="auto"/>
        <w:ind w:firstLine="640" w:firstLineChars="200"/>
        <w:jc w:val="both"/>
        <w:textAlignment w:val="baseline"/>
        <w:rPr>
          <w:rFonts w:hint="eastAsia" w:ascii="仿宋_GB2312" w:eastAsia="仿宋_GB2312" w:cs="DengXian-Regular"/>
          <w:sz w:val="32"/>
          <w:szCs w:val="32"/>
          <w:lang w:eastAsia="zh-CN"/>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单位决算收入</w:t>
      </w:r>
      <w:r>
        <w:rPr>
          <w:rFonts w:hint="default" w:ascii="仿宋_GB2312" w:eastAsia="仿宋_GB2312" w:cs="DengXian-Regular"/>
          <w:sz w:val="32"/>
          <w:szCs w:val="32"/>
          <w:lang w:val="en-US"/>
        </w:rPr>
        <w:t>2754.51</w:t>
      </w:r>
      <w:r>
        <w:rPr>
          <w:rFonts w:hint="eastAsia" w:ascii="仿宋_GB2312" w:eastAsia="仿宋_GB2312" w:cs="DengXian-Regular"/>
          <w:sz w:val="32"/>
          <w:szCs w:val="32"/>
        </w:rPr>
        <w:t>万元，其中：财政拨款收入</w:t>
      </w:r>
      <w:r>
        <w:rPr>
          <w:rFonts w:hint="default" w:ascii="仿宋_GB2312" w:eastAsia="仿宋_GB2312" w:cs="DengXian-Regular"/>
          <w:sz w:val="32"/>
          <w:szCs w:val="32"/>
          <w:lang w:val="en-US"/>
        </w:rPr>
        <w:t>2754.38</w:t>
      </w:r>
      <w:r>
        <w:rPr>
          <w:rFonts w:hint="eastAsia" w:ascii="仿宋_GB2312" w:eastAsia="仿宋_GB2312" w:cs="DengXian-Regular"/>
          <w:sz w:val="32"/>
          <w:szCs w:val="32"/>
        </w:rPr>
        <w:t>万元，其他收入</w:t>
      </w:r>
      <w:r>
        <w:rPr>
          <w:rFonts w:hint="default" w:ascii="仿宋_GB2312" w:eastAsia="仿宋_GB2312" w:cs="DengXian-Regular"/>
          <w:sz w:val="32"/>
          <w:szCs w:val="32"/>
          <w:lang w:val="en-US"/>
        </w:rPr>
        <w:t>0.13</w:t>
      </w:r>
      <w:r>
        <w:rPr>
          <w:rFonts w:hint="eastAsia" w:ascii="仿宋_GB2312" w:eastAsia="仿宋_GB2312" w:cs="DengXian-Regular"/>
          <w:sz w:val="32"/>
          <w:szCs w:val="32"/>
        </w:rPr>
        <w:t>万元（</w:t>
      </w:r>
      <w:r>
        <w:rPr>
          <w:rFonts w:hint="eastAsia" w:ascii="仿宋_GB2312" w:eastAsia="仿宋_GB2312" w:cs="DengXian-Regular"/>
          <w:sz w:val="32"/>
          <w:szCs w:val="32"/>
          <w:lang w:eastAsia="zh-CN"/>
        </w:rPr>
        <w:t>全部为利息收入</w:t>
      </w:r>
      <w:r>
        <w:rPr>
          <w:rFonts w:hint="eastAsia" w:ascii="仿宋_GB2312" w:eastAsia="仿宋_GB2312" w:cs="DengXian-Regular"/>
          <w:sz w:val="32"/>
          <w:szCs w:val="32"/>
        </w:rPr>
        <w:t>）。决算收入按功能分类包含：</w:t>
      </w:r>
      <w:r>
        <w:rPr>
          <w:rFonts w:hint="eastAsia" w:ascii="仿宋_GB2312" w:hAnsi="Times New Roman" w:eastAsia="仿宋_GB2312" w:cs="DengXian-Regular"/>
          <w:sz w:val="32"/>
          <w:szCs w:val="32"/>
        </w:rPr>
        <w:t>科学技术（类）支出</w:t>
      </w:r>
      <w:r>
        <w:rPr>
          <w:rFonts w:hint="default" w:ascii="仿宋_GB2312" w:hAnsi="Times New Roman" w:eastAsia="仿宋_GB2312" w:cs="DengXian-Regular"/>
          <w:sz w:val="32"/>
          <w:szCs w:val="32"/>
          <w:lang w:val="en-US"/>
        </w:rPr>
        <w:t>1832.76</w:t>
      </w:r>
      <w:r>
        <w:rPr>
          <w:rFonts w:hint="eastAsia" w:ascii="仿宋_GB2312" w:hAnsi="Times New Roman" w:eastAsia="仿宋_GB2312" w:cs="DengXian-Regular"/>
          <w:sz w:val="32"/>
          <w:szCs w:val="32"/>
        </w:rPr>
        <w:t xml:space="preserve">万元，占 </w:t>
      </w:r>
      <w:r>
        <w:rPr>
          <w:rFonts w:hint="default" w:ascii="仿宋_GB2312" w:hAnsi="Times New Roman" w:eastAsia="仿宋_GB2312" w:cs="DengXian-Regular"/>
          <w:sz w:val="32"/>
          <w:szCs w:val="32"/>
          <w:lang w:val="en-US"/>
        </w:rPr>
        <w:t>66.54</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eastAsia="zh-CN"/>
        </w:rPr>
        <w:t>企业科研项目资助、科技成果推广及科技部门经费</w:t>
      </w:r>
      <w:r>
        <w:rPr>
          <w:rFonts w:hint="eastAsia" w:ascii="仿宋_GB2312" w:hAnsi="Times New Roman" w:eastAsia="仿宋_GB2312" w:cs="DengXian-Regular"/>
          <w:sz w:val="32"/>
          <w:szCs w:val="32"/>
        </w:rPr>
        <w:t>等支出；</w:t>
      </w:r>
      <w:r>
        <w:rPr>
          <w:rFonts w:hint="eastAsia" w:ascii="仿宋_GB2312" w:hAnsi="Times New Roman" w:eastAsia="仿宋_GB2312" w:cs="Wingdings"/>
          <w:sz w:val="32"/>
          <w:szCs w:val="32"/>
        </w:rPr>
        <w:t>社会保障和就业（类）支出</w:t>
      </w:r>
      <w:r>
        <w:rPr>
          <w:rFonts w:hint="default" w:ascii="仿宋_GB2312" w:hAnsi="Times New Roman" w:eastAsia="仿宋_GB2312" w:cs="Wingdings"/>
          <w:sz w:val="32"/>
          <w:szCs w:val="32"/>
          <w:lang w:val="en-US"/>
        </w:rPr>
        <w:t>219.60</w:t>
      </w:r>
      <w:r>
        <w:rPr>
          <w:rFonts w:hint="eastAsia" w:ascii="仿宋_GB2312" w:hAnsi="Times New Roman" w:eastAsia="仿宋_GB2312" w:cs="Wingdings"/>
          <w:sz w:val="32"/>
          <w:szCs w:val="32"/>
        </w:rPr>
        <w:t>万元，占</w:t>
      </w:r>
      <w:r>
        <w:rPr>
          <w:rFonts w:hint="default" w:ascii="仿宋_GB2312" w:hAnsi="Times New Roman" w:eastAsia="仿宋_GB2312" w:cs="Wingdings"/>
          <w:sz w:val="32"/>
          <w:szCs w:val="32"/>
          <w:lang w:val="en-US"/>
        </w:rPr>
        <w:t>7.97</w:t>
      </w:r>
      <w:r>
        <w:rPr>
          <w:rFonts w:hint="eastAsia" w:ascii="仿宋_GB2312" w:hAnsi="Times New Roman" w:eastAsia="仿宋_GB2312" w:cs="Wingdings"/>
          <w:sz w:val="32"/>
          <w:szCs w:val="32"/>
        </w:rPr>
        <w:t>%；</w:t>
      </w:r>
      <w:r>
        <w:rPr>
          <w:rFonts w:hint="eastAsia" w:ascii="仿宋_GB2312" w:hAnsi="Times New Roman" w:eastAsia="仿宋_GB2312" w:cs="Wingdings"/>
          <w:sz w:val="32"/>
          <w:szCs w:val="32"/>
          <w:lang w:val="en-US" w:eastAsia="zh-CN"/>
        </w:rPr>
        <w:t>资源勘探信息</w:t>
      </w:r>
      <w:r>
        <w:rPr>
          <w:rFonts w:hint="eastAsia" w:ascii="仿宋_GB2312" w:hAnsi="Times New Roman" w:eastAsia="仿宋_GB2312" w:cs="Wingdings"/>
          <w:sz w:val="32"/>
          <w:szCs w:val="32"/>
          <w:lang w:eastAsia="zh-CN"/>
        </w:rPr>
        <w:t>（类）</w:t>
      </w:r>
      <w:r>
        <w:rPr>
          <w:rFonts w:hint="eastAsia" w:ascii="仿宋_GB2312" w:hAnsi="Times New Roman" w:eastAsia="仿宋_GB2312" w:cs="Wingdings"/>
          <w:sz w:val="32"/>
          <w:szCs w:val="32"/>
          <w:lang w:val="en-US" w:eastAsia="zh-CN"/>
        </w:rPr>
        <w:t>支出</w:t>
      </w:r>
      <w:r>
        <w:rPr>
          <w:rFonts w:hint="default" w:ascii="仿宋_GB2312" w:hAnsi="Times New Roman" w:eastAsia="仿宋_GB2312" w:cs="Wingdings"/>
          <w:sz w:val="32"/>
          <w:szCs w:val="32"/>
          <w:lang w:val="en-US" w:eastAsia="zh-CN"/>
        </w:rPr>
        <w:t>702.16</w:t>
      </w:r>
      <w:r>
        <w:rPr>
          <w:rFonts w:hint="eastAsia" w:ascii="仿宋_GB2312" w:hAnsi="Times New Roman" w:eastAsia="仿宋_GB2312" w:cs="Wingdings"/>
          <w:sz w:val="32"/>
          <w:szCs w:val="32"/>
          <w:lang w:val="en-US" w:eastAsia="zh-CN"/>
        </w:rPr>
        <w:t>，占</w:t>
      </w:r>
      <w:r>
        <w:rPr>
          <w:rFonts w:hint="default" w:ascii="仿宋_GB2312" w:hAnsi="Times New Roman" w:eastAsia="仿宋_GB2312" w:cs="Wingdings"/>
          <w:sz w:val="32"/>
          <w:szCs w:val="32"/>
          <w:lang w:val="en-US" w:eastAsia="zh-CN"/>
        </w:rPr>
        <w:t>25.49%</w:t>
      </w:r>
      <w:r>
        <w:rPr>
          <w:rFonts w:hint="eastAsia" w:ascii="仿宋_GB2312" w:eastAsia="仿宋_GB2312" w:cs="DengXian-Regular"/>
          <w:sz w:val="32"/>
          <w:szCs w:val="32"/>
        </w:rPr>
        <w:t>。具体决算收入详见附件</w:t>
      </w:r>
      <w:r>
        <w:rPr>
          <w:rFonts w:hint="default" w:ascii="仿宋_GB2312" w:eastAsia="仿宋_GB2312" w:cs="DengXian-Regular"/>
          <w:sz w:val="32"/>
          <w:szCs w:val="32"/>
          <w:lang w:val="en-US"/>
        </w:rPr>
        <w:t>2</w:t>
      </w:r>
      <w:r>
        <w:rPr>
          <w:rFonts w:hint="eastAsia" w:ascii="仿宋_GB2312" w:eastAsia="仿宋_GB2312" w:cs="DengXian-Regular"/>
          <w:sz w:val="32"/>
          <w:szCs w:val="32"/>
          <w:lang w:eastAsia="zh-CN"/>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决算收入结构如图1。</w:t>
      </w:r>
    </w:p>
    <w:p>
      <w:pPr>
        <w:spacing w:after="0" w:line="360" w:lineRule="auto"/>
        <w:jc w:val="center"/>
        <w:textAlignment w:val="baseline"/>
        <w:rPr>
          <w:rFonts w:ascii="仿宋_GB2312" w:eastAsia="仿宋_GB2312" w:cs="DengXian-Regular"/>
          <w:sz w:val="32"/>
          <w:szCs w:val="32"/>
        </w:rPr>
      </w:pPr>
      <w:r>
        <w:rPr>
          <w:rFonts w:hint="eastAsia" w:asciiTheme="minorEastAsia" w:hAnsiTheme="minorEastAsia" w:eastAsiaTheme="minorEastAsia" w:cstheme="minorEastAsia"/>
          <w:b/>
          <w:bCs/>
          <w:sz w:val="32"/>
          <w:szCs w:val="32"/>
        </w:rPr>
        <w:t>图1  202</w:t>
      </w:r>
      <w:r>
        <w:rPr>
          <w:rFonts w:hint="default" w:asciiTheme="minorEastAsia" w:hAnsiTheme="minorEastAsia" w:eastAsiaTheme="minorEastAsia" w:cstheme="minorEastAsia"/>
          <w:b/>
          <w:bCs/>
          <w:sz w:val="32"/>
          <w:szCs w:val="32"/>
          <w:lang w:val="en-US"/>
        </w:rPr>
        <w:t>2</w:t>
      </w:r>
      <w:r>
        <w:rPr>
          <w:rFonts w:hint="eastAsia" w:asciiTheme="minorEastAsia" w:hAnsiTheme="minorEastAsia" w:eastAsiaTheme="minorEastAsia" w:cstheme="minorEastAsia"/>
          <w:b/>
          <w:bCs/>
          <w:sz w:val="32"/>
          <w:szCs w:val="32"/>
        </w:rPr>
        <w:t>年度区</w:t>
      </w:r>
      <w:r>
        <w:rPr>
          <w:rFonts w:hint="eastAsia" w:asciiTheme="minorEastAsia" w:hAnsiTheme="minorEastAsia" w:eastAsiaTheme="minorEastAsia" w:cstheme="minorEastAsia"/>
          <w:b/>
          <w:bCs/>
          <w:sz w:val="32"/>
          <w:szCs w:val="32"/>
          <w:lang w:eastAsia="zh-CN"/>
        </w:rPr>
        <w:t>工信局</w:t>
      </w:r>
      <w:r>
        <w:rPr>
          <w:rFonts w:hint="eastAsia" w:asciiTheme="minorEastAsia" w:hAnsiTheme="minorEastAsia" w:eastAsiaTheme="minorEastAsia" w:cstheme="minorEastAsia"/>
          <w:b/>
          <w:bCs/>
          <w:sz w:val="32"/>
          <w:szCs w:val="32"/>
        </w:rPr>
        <w:t>决算收入结构图</w:t>
      </w:r>
    </w:p>
    <w:p>
      <w:pPr>
        <w:spacing w:after="0" w:line="240" w:lineRule="auto"/>
        <w:ind w:firstLine="440" w:firstLineChars="200"/>
        <w:jc w:val="both"/>
        <w:rPr>
          <w:rFonts w:ascii="仿宋_GB2312" w:eastAsia="仿宋_GB2312" w:cs="DengXian-Regular"/>
          <w:sz w:val="32"/>
          <w:szCs w:val="32"/>
        </w:rPr>
      </w:pPr>
      <w:r>
        <w:drawing>
          <wp:inline distT="0" distB="0" distL="114300" distR="114300">
            <wp:extent cx="5277485" cy="2964815"/>
            <wp:effectExtent l="4445" t="4445" r="13970" b="2159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spacing w:after="0" w:line="240" w:lineRule="auto"/>
        <w:ind w:firstLine="640" w:firstLineChars="200"/>
        <w:jc w:val="both"/>
        <w:rPr>
          <w:rFonts w:ascii="仿宋_GB2312" w:eastAsia="仿宋_GB2312" w:cs="DengXian-Regular"/>
          <w:sz w:val="32"/>
          <w:szCs w:val="32"/>
        </w:rPr>
      </w:pPr>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lang w:eastAsia="zh-CN"/>
        </w:rPr>
        <w:t>区工信局</w:t>
      </w:r>
      <w:r>
        <w:rPr>
          <w:rFonts w:hint="eastAsia" w:ascii="仿宋_GB2312" w:eastAsia="仿宋_GB2312" w:cs="DengXian-Regular"/>
          <w:sz w:val="32"/>
          <w:szCs w:val="32"/>
        </w:rPr>
        <w:t>一般公共预算财政拨款决算收入比年初预算增加</w:t>
      </w:r>
      <w:r>
        <w:rPr>
          <w:rFonts w:hint="default" w:ascii="仿宋_GB2312" w:eastAsia="仿宋_GB2312" w:cs="DengXian-Regular"/>
          <w:sz w:val="32"/>
          <w:szCs w:val="32"/>
          <w:lang w:val="en-US"/>
        </w:rPr>
        <w:t>1441.69</w:t>
      </w:r>
      <w:r>
        <w:rPr>
          <w:rFonts w:hint="eastAsia" w:ascii="仿宋_GB2312" w:eastAsia="仿宋_GB2312" w:cs="DengXian-Regular"/>
          <w:sz w:val="32"/>
          <w:szCs w:val="32"/>
        </w:rPr>
        <w:t>万元，完成年初预算的</w:t>
      </w:r>
      <w:r>
        <w:rPr>
          <w:rFonts w:hint="default" w:ascii="仿宋_GB2312" w:eastAsia="仿宋_GB2312" w:cs="DengXian-Regular"/>
          <w:sz w:val="32"/>
          <w:szCs w:val="32"/>
          <w:lang w:val="en-US"/>
        </w:rPr>
        <w:t>209.8</w:t>
      </w:r>
      <w:r>
        <w:rPr>
          <w:rFonts w:hint="eastAsia" w:ascii="仿宋_GB2312" w:eastAsia="仿宋_GB2312" w:cs="DengXian-Regular"/>
          <w:sz w:val="32"/>
          <w:szCs w:val="32"/>
        </w:rPr>
        <w:t>%。决算收入大于</w:t>
      </w:r>
      <w:r>
        <w:rPr>
          <w:rFonts w:hint="eastAsia" w:ascii="仿宋_GB2312" w:eastAsia="仿宋_GB2312" w:cs="DengXian-Regular"/>
          <w:sz w:val="32"/>
          <w:szCs w:val="32"/>
          <w:lang w:eastAsia="zh-CN"/>
        </w:rPr>
        <w:t>年初</w:t>
      </w:r>
      <w:r>
        <w:rPr>
          <w:rFonts w:hint="eastAsia" w:ascii="仿宋_GB2312" w:eastAsia="仿宋_GB2312" w:cs="DengXian-Regular"/>
          <w:sz w:val="32"/>
          <w:szCs w:val="32"/>
        </w:rPr>
        <w:t>预算收入的主要原因为202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年度</w:t>
      </w:r>
      <w:r>
        <w:rPr>
          <w:rFonts w:hint="eastAsia" w:ascii="仿宋_GB2312" w:eastAsia="仿宋_GB2312" w:cs="DengXian-Regular"/>
          <w:sz w:val="32"/>
          <w:szCs w:val="32"/>
          <w:lang w:eastAsia="zh-CN"/>
        </w:rPr>
        <w:t>上级追加的转移支付专项资金导致</w:t>
      </w:r>
      <w:r>
        <w:rPr>
          <w:rFonts w:hint="eastAsia" w:ascii="仿宋_GB2312" w:eastAsia="仿宋_GB2312" w:cs="DengXian-Regular"/>
          <w:sz w:val="32"/>
          <w:szCs w:val="32"/>
        </w:rPr>
        <w:t>。预算收入与决算收入对比情况见图2。</w:t>
      </w:r>
    </w:p>
    <w:p>
      <w:pPr>
        <w:spacing w:after="0" w:line="360" w:lineRule="auto"/>
        <w:jc w:val="center"/>
        <w:rPr>
          <w:rFonts w:hint="eastAsia" w:asciiTheme="minorEastAsia" w:hAnsiTheme="minorEastAsia" w:eastAsiaTheme="minorEastAsia" w:cstheme="minorEastAsia"/>
          <w:b/>
          <w:sz w:val="32"/>
          <w:szCs w:val="32"/>
          <w:u w:color="000000"/>
        </w:rPr>
      </w:pPr>
      <w:r>
        <w:rPr>
          <w:rFonts w:hint="eastAsia" w:asciiTheme="minorEastAsia" w:hAnsiTheme="minorEastAsia" w:eastAsiaTheme="minorEastAsia" w:cstheme="minorEastAsia"/>
          <w:b/>
          <w:sz w:val="32"/>
          <w:szCs w:val="32"/>
          <w:u w:color="000000"/>
        </w:rPr>
        <w:t>图2  202</w:t>
      </w:r>
      <w:r>
        <w:rPr>
          <w:rFonts w:hint="default" w:asciiTheme="minorEastAsia" w:hAnsiTheme="minorEastAsia" w:eastAsiaTheme="minorEastAsia" w:cstheme="minorEastAsia"/>
          <w:b/>
          <w:sz w:val="32"/>
          <w:szCs w:val="32"/>
          <w:u w:color="000000"/>
          <w:lang w:val="en-US"/>
        </w:rPr>
        <w:t>2</w:t>
      </w:r>
      <w:r>
        <w:rPr>
          <w:rFonts w:hint="eastAsia" w:asciiTheme="minorEastAsia" w:hAnsiTheme="minorEastAsia" w:eastAsiaTheme="minorEastAsia" w:cstheme="minorEastAsia"/>
          <w:b/>
          <w:sz w:val="32"/>
          <w:szCs w:val="32"/>
          <w:u w:color="000000"/>
        </w:rPr>
        <w:t>年度区</w:t>
      </w:r>
      <w:r>
        <w:rPr>
          <w:rFonts w:hint="eastAsia" w:ascii="仿宋_GB2312" w:eastAsia="仿宋_GB2312" w:cs="DengXian-Regular"/>
          <w:b/>
          <w:bCs/>
          <w:sz w:val="32"/>
          <w:szCs w:val="32"/>
          <w:lang w:eastAsia="zh-CN"/>
        </w:rPr>
        <w:t>工信局</w:t>
      </w:r>
      <w:r>
        <w:rPr>
          <w:rFonts w:hint="eastAsia" w:asciiTheme="minorEastAsia" w:hAnsiTheme="minorEastAsia" w:eastAsiaTheme="minorEastAsia" w:cstheme="minorEastAsia"/>
          <w:b/>
          <w:sz w:val="32"/>
          <w:szCs w:val="32"/>
          <w:u w:color="000000"/>
        </w:rPr>
        <w:t>预算收入与决算收入对比图</w:t>
      </w:r>
    </w:p>
    <w:p>
      <w:pPr>
        <w:spacing w:after="0" w:line="360" w:lineRule="auto"/>
        <w:jc w:val="left"/>
        <w:rPr>
          <w:rFonts w:hint="eastAsia" w:asciiTheme="minorEastAsia" w:hAnsiTheme="minorEastAsia" w:eastAsiaTheme="minorEastAsia" w:cstheme="minorEastAsia"/>
          <w:b/>
          <w:sz w:val="32"/>
          <w:szCs w:val="32"/>
          <w:u w:color="000000"/>
        </w:rPr>
      </w:pPr>
      <w:r>
        <w:drawing>
          <wp:inline distT="0" distB="0" distL="114300" distR="114300">
            <wp:extent cx="5275580" cy="2586355"/>
            <wp:effectExtent l="4445" t="4445" r="15875" b="19050"/>
            <wp:docPr id="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4"/>
        <w:spacing w:before="0" w:after="0"/>
        <w:ind w:firstLine="643" w:firstLineChars="200"/>
        <w:jc w:val="both"/>
        <w:rPr>
          <w:rFonts w:ascii="仿宋_GB2312" w:hAnsiTheme="minorEastAsia"/>
          <w:sz w:val="32"/>
        </w:rPr>
      </w:pPr>
      <w:bookmarkStart w:id="12" w:name="_Toc18197"/>
      <w:r>
        <w:rPr>
          <w:rFonts w:hint="eastAsia" w:ascii="仿宋_GB2312" w:hAnsiTheme="minorEastAsia"/>
          <w:sz w:val="32"/>
        </w:rPr>
        <w:t>（四）预算支出及决算</w:t>
      </w:r>
      <w:bookmarkEnd w:id="10"/>
      <w:bookmarkEnd w:id="11"/>
      <w:r>
        <w:rPr>
          <w:rFonts w:hint="eastAsia" w:ascii="仿宋_GB2312" w:hAnsiTheme="minorEastAsia"/>
          <w:sz w:val="32"/>
        </w:rPr>
        <w:t>支出</w:t>
      </w:r>
      <w:bookmarkEnd w:id="12"/>
    </w:p>
    <w:p>
      <w:pPr>
        <w:spacing w:after="0" w:line="360" w:lineRule="auto"/>
        <w:ind w:firstLine="640" w:firstLineChars="200"/>
        <w:jc w:val="both"/>
        <w:rPr>
          <w:rFonts w:ascii="仿宋_GB2312" w:eastAsia="仿宋_GB2312" w:cs="Times New Roman" w:hAnsiTheme="minorEastAsia"/>
          <w:sz w:val="32"/>
          <w:szCs w:val="32"/>
          <w:u w:color="000000"/>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年度区</w:t>
      </w:r>
      <w:r>
        <w:rPr>
          <w:rFonts w:hint="eastAsia" w:ascii="仿宋_GB2312" w:eastAsia="仿宋_GB2312" w:cs="DengXian-Regular"/>
          <w:sz w:val="32"/>
          <w:szCs w:val="32"/>
          <w:lang w:eastAsia="zh-CN"/>
        </w:rPr>
        <w:t>工信局</w:t>
      </w:r>
      <w:r>
        <w:rPr>
          <w:rFonts w:hint="eastAsia" w:ascii="仿宋_GB2312" w:eastAsia="仿宋_GB2312" w:cs="Times New Roman" w:hAnsiTheme="minorEastAsia"/>
          <w:sz w:val="32"/>
          <w:szCs w:val="32"/>
          <w:u w:color="000000"/>
        </w:rPr>
        <w:t>预算支出安排</w:t>
      </w:r>
      <w:r>
        <w:rPr>
          <w:rFonts w:hint="default" w:ascii="仿宋_GB2312" w:eastAsia="仿宋_GB2312" w:cs="Times New Roman" w:hAnsiTheme="minorEastAsia"/>
          <w:sz w:val="32"/>
          <w:szCs w:val="32"/>
          <w:u w:color="000000"/>
          <w:lang w:val="en-US"/>
        </w:rPr>
        <w:t>1312.83</w:t>
      </w:r>
      <w:r>
        <w:rPr>
          <w:rFonts w:hint="eastAsia" w:ascii="仿宋_GB2312" w:eastAsia="仿宋_GB2312" w:cs="Times New Roman" w:hAnsiTheme="minorEastAsia"/>
          <w:sz w:val="32"/>
          <w:szCs w:val="32"/>
          <w:u w:color="000000"/>
        </w:rPr>
        <w:t>万元，其中：基本支出</w:t>
      </w:r>
      <w:r>
        <w:rPr>
          <w:rFonts w:hint="default" w:ascii="仿宋_GB2312" w:eastAsia="仿宋_GB2312" w:cs="Times New Roman" w:hAnsiTheme="minorEastAsia"/>
          <w:sz w:val="32"/>
          <w:szCs w:val="32"/>
          <w:u w:color="000000"/>
          <w:lang w:val="en-US"/>
        </w:rPr>
        <w:t>1292.38</w:t>
      </w:r>
      <w:r>
        <w:rPr>
          <w:rFonts w:hint="eastAsia" w:ascii="仿宋_GB2312" w:eastAsia="仿宋_GB2312" w:cs="Times New Roman" w:hAnsiTheme="minorEastAsia"/>
          <w:sz w:val="32"/>
          <w:szCs w:val="32"/>
          <w:u w:color="000000"/>
        </w:rPr>
        <w:t>万元，项目支出</w:t>
      </w:r>
      <w:r>
        <w:rPr>
          <w:rFonts w:hint="default" w:ascii="仿宋_GB2312" w:eastAsia="仿宋_GB2312" w:cs="Times New Roman" w:hAnsiTheme="minorEastAsia"/>
          <w:sz w:val="32"/>
          <w:szCs w:val="32"/>
          <w:u w:color="000000"/>
          <w:lang w:val="en-US"/>
        </w:rPr>
        <w:t>20.45</w:t>
      </w:r>
      <w:r>
        <w:rPr>
          <w:rFonts w:hint="eastAsia" w:ascii="仿宋_GB2312" w:eastAsia="仿宋_GB2312" w:cs="Times New Roman" w:hAnsiTheme="minorEastAsia"/>
          <w:sz w:val="32"/>
          <w:szCs w:val="32"/>
          <w:u w:color="000000"/>
        </w:rPr>
        <w:t>万元。预算支出按功能分类包含：</w:t>
      </w:r>
      <w:r>
        <w:rPr>
          <w:rFonts w:hint="eastAsia" w:ascii="仿宋_GB2312" w:eastAsia="仿宋_GB2312" w:cs="Times New Roman" w:hAnsiTheme="minorEastAsia"/>
          <w:sz w:val="32"/>
          <w:szCs w:val="32"/>
          <w:u w:color="000000"/>
          <w:lang w:eastAsia="zh-CN"/>
        </w:rPr>
        <w:t>科学技术支出</w:t>
      </w:r>
      <w:r>
        <w:rPr>
          <w:rFonts w:hint="default" w:ascii="仿宋_GB2312" w:eastAsia="仿宋_GB2312" w:cs="Times New Roman" w:hAnsiTheme="minorEastAsia"/>
          <w:sz w:val="32"/>
          <w:szCs w:val="32"/>
          <w:u w:color="000000"/>
          <w:lang w:val="en-US" w:eastAsia="zh-CN"/>
        </w:rPr>
        <w:t>1186.79</w:t>
      </w:r>
      <w:r>
        <w:rPr>
          <w:rFonts w:hint="eastAsia" w:ascii="仿宋_GB2312" w:eastAsia="仿宋_GB2312" w:cs="Times New Roman" w:hAnsiTheme="minorEastAsia"/>
          <w:sz w:val="32"/>
          <w:szCs w:val="32"/>
          <w:u w:color="000000"/>
        </w:rPr>
        <w:t>万元，社会保障和就业支出</w:t>
      </w:r>
      <w:r>
        <w:rPr>
          <w:rFonts w:hint="default" w:ascii="仿宋_GB2312" w:eastAsia="仿宋_GB2312" w:cs="Times New Roman" w:hAnsiTheme="minorEastAsia"/>
          <w:sz w:val="32"/>
          <w:szCs w:val="32"/>
          <w:u w:color="000000"/>
          <w:lang w:val="en-US"/>
        </w:rPr>
        <w:t>126.04</w:t>
      </w:r>
      <w:r>
        <w:rPr>
          <w:rFonts w:hint="eastAsia" w:ascii="仿宋_GB2312" w:eastAsia="仿宋_GB2312" w:cs="Times New Roman" w:hAnsiTheme="minorEastAsia"/>
          <w:sz w:val="32"/>
          <w:szCs w:val="32"/>
          <w:u w:color="000000"/>
        </w:rPr>
        <w:t>万元。具体预算支出详见附件2。</w:t>
      </w:r>
    </w:p>
    <w:p>
      <w:pPr>
        <w:spacing w:after="0" w:line="360" w:lineRule="auto"/>
        <w:ind w:firstLine="640" w:firstLineChars="200"/>
        <w:jc w:val="both"/>
        <w:rPr>
          <w:rFonts w:ascii="仿宋_GB2312" w:eastAsia="仿宋_GB2312" w:cs="Times New Roman" w:hAnsiTheme="minorEastAsia"/>
          <w:sz w:val="32"/>
          <w:szCs w:val="32"/>
          <w:u w:color="000000"/>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年度区</w:t>
      </w:r>
      <w:r>
        <w:rPr>
          <w:rFonts w:hint="eastAsia" w:ascii="仿宋_GB2312" w:eastAsia="仿宋_GB2312" w:cs="DengXian-Regular"/>
          <w:sz w:val="32"/>
          <w:szCs w:val="32"/>
          <w:lang w:eastAsia="zh-CN"/>
        </w:rPr>
        <w:t>工信局</w:t>
      </w:r>
      <w:r>
        <w:rPr>
          <w:rFonts w:hint="eastAsia" w:ascii="仿宋_GB2312" w:eastAsia="仿宋_GB2312" w:cs="Times New Roman" w:hAnsiTheme="minorEastAsia"/>
          <w:sz w:val="32"/>
          <w:szCs w:val="32"/>
          <w:u w:color="000000"/>
        </w:rPr>
        <w:t>决算支出为</w:t>
      </w:r>
      <w:r>
        <w:rPr>
          <w:rFonts w:hint="default" w:ascii="仿宋_GB2312" w:eastAsia="仿宋_GB2312" w:cs="Times New Roman" w:hAnsiTheme="minorEastAsia"/>
          <w:sz w:val="32"/>
          <w:szCs w:val="32"/>
          <w:u w:color="000000"/>
          <w:lang w:val="en-US"/>
        </w:rPr>
        <w:t>2754.51</w:t>
      </w:r>
      <w:r>
        <w:rPr>
          <w:rFonts w:hint="eastAsia" w:ascii="仿宋_GB2312" w:eastAsia="仿宋_GB2312" w:cs="Times New Roman" w:hAnsiTheme="minorEastAsia"/>
          <w:sz w:val="32"/>
          <w:szCs w:val="32"/>
          <w:u w:color="000000"/>
        </w:rPr>
        <w:t>万元，其中：基本支出</w:t>
      </w:r>
      <w:r>
        <w:rPr>
          <w:rFonts w:hint="default" w:ascii="仿宋_GB2312" w:eastAsia="仿宋_GB2312" w:cs="Times New Roman" w:hAnsiTheme="minorEastAsia"/>
          <w:sz w:val="32"/>
          <w:szCs w:val="32"/>
          <w:u w:color="000000"/>
          <w:lang w:val="en-US"/>
        </w:rPr>
        <w:t>1253.35</w:t>
      </w:r>
      <w:r>
        <w:rPr>
          <w:rFonts w:hint="eastAsia" w:ascii="仿宋_GB2312" w:eastAsia="仿宋_GB2312" w:cs="Times New Roman" w:hAnsiTheme="minorEastAsia"/>
          <w:sz w:val="32"/>
          <w:szCs w:val="32"/>
          <w:u w:color="000000"/>
        </w:rPr>
        <w:t>万元，项目支出</w:t>
      </w:r>
      <w:r>
        <w:rPr>
          <w:rFonts w:hint="default" w:ascii="仿宋_GB2312" w:eastAsia="仿宋_GB2312" w:cs="Times New Roman" w:hAnsiTheme="minorEastAsia"/>
          <w:sz w:val="32"/>
          <w:szCs w:val="32"/>
          <w:u w:color="000000"/>
          <w:lang w:val="en-US"/>
        </w:rPr>
        <w:t>1501.16</w:t>
      </w:r>
      <w:r>
        <w:rPr>
          <w:rFonts w:hint="eastAsia" w:ascii="仿宋_GB2312" w:eastAsia="仿宋_GB2312" w:cs="Times New Roman" w:hAnsiTheme="minorEastAsia"/>
          <w:sz w:val="32"/>
          <w:szCs w:val="32"/>
          <w:u w:color="000000"/>
        </w:rPr>
        <w:t>万元。决算支出按功能分类包含：</w:t>
      </w:r>
      <w:r>
        <w:rPr>
          <w:rFonts w:hint="eastAsia" w:ascii="仿宋_GB2312" w:hAnsi="Times New Roman" w:eastAsia="仿宋_GB2312" w:cs="DengXian-Regular"/>
          <w:sz w:val="32"/>
          <w:szCs w:val="32"/>
        </w:rPr>
        <w:t>科学技术（类）支出</w:t>
      </w:r>
      <w:r>
        <w:rPr>
          <w:rFonts w:hint="default" w:ascii="仿宋_GB2312" w:hAnsi="Times New Roman" w:eastAsia="仿宋_GB2312" w:cs="DengXian-Regular"/>
          <w:sz w:val="32"/>
          <w:szCs w:val="32"/>
          <w:lang w:val="en-US"/>
        </w:rPr>
        <w:t>1832.76</w:t>
      </w:r>
      <w:r>
        <w:rPr>
          <w:rFonts w:hint="eastAsia" w:ascii="仿宋_GB2312" w:hAnsi="Times New Roman" w:eastAsia="仿宋_GB2312" w:cs="DengXian-Regular"/>
          <w:sz w:val="32"/>
          <w:szCs w:val="32"/>
        </w:rPr>
        <w:t xml:space="preserve">万元，占 </w:t>
      </w:r>
      <w:r>
        <w:rPr>
          <w:rFonts w:hint="default" w:ascii="仿宋_GB2312" w:hAnsi="Times New Roman" w:eastAsia="仿宋_GB2312" w:cs="DengXian-Regular"/>
          <w:sz w:val="32"/>
          <w:szCs w:val="32"/>
          <w:lang w:val="en-US"/>
        </w:rPr>
        <w:t>66.54</w:t>
      </w:r>
      <w:r>
        <w:rPr>
          <w:rFonts w:hint="eastAsia" w:ascii="仿宋_GB2312" w:hAnsi="Times New Roman" w:eastAsia="仿宋_GB2312" w:cs="DengXian-Regular"/>
          <w:sz w:val="32"/>
          <w:szCs w:val="32"/>
        </w:rPr>
        <w:t>%，主要用于</w:t>
      </w:r>
      <w:r>
        <w:rPr>
          <w:rFonts w:hint="eastAsia" w:ascii="仿宋_GB2312" w:hAnsi="Times New Roman" w:eastAsia="仿宋_GB2312" w:cs="DengXian-Regular"/>
          <w:sz w:val="32"/>
          <w:szCs w:val="32"/>
          <w:lang w:eastAsia="zh-CN"/>
        </w:rPr>
        <w:t>企业科研项目资助、科技成果推广及科技部门经费</w:t>
      </w:r>
      <w:r>
        <w:rPr>
          <w:rFonts w:hint="eastAsia" w:ascii="仿宋_GB2312" w:hAnsi="Times New Roman" w:eastAsia="仿宋_GB2312" w:cs="DengXian-Regular"/>
          <w:sz w:val="32"/>
          <w:szCs w:val="32"/>
        </w:rPr>
        <w:t>等支出；</w:t>
      </w:r>
      <w:r>
        <w:rPr>
          <w:rFonts w:hint="eastAsia" w:ascii="仿宋_GB2312" w:hAnsi="Times New Roman" w:eastAsia="仿宋_GB2312" w:cs="Wingdings"/>
          <w:sz w:val="32"/>
          <w:szCs w:val="32"/>
        </w:rPr>
        <w:t>社会保障和就业（类）支出</w:t>
      </w:r>
      <w:r>
        <w:rPr>
          <w:rFonts w:hint="default" w:ascii="仿宋_GB2312" w:hAnsi="Times New Roman" w:eastAsia="仿宋_GB2312" w:cs="Wingdings"/>
          <w:sz w:val="32"/>
          <w:szCs w:val="32"/>
          <w:lang w:val="en-US"/>
        </w:rPr>
        <w:t>219.6</w:t>
      </w:r>
      <w:r>
        <w:rPr>
          <w:rFonts w:hint="eastAsia" w:ascii="仿宋_GB2312" w:hAnsi="Times New Roman" w:eastAsia="仿宋_GB2312" w:cs="Wingdings"/>
          <w:sz w:val="32"/>
          <w:szCs w:val="32"/>
        </w:rPr>
        <w:t>万元，占</w:t>
      </w:r>
      <w:r>
        <w:rPr>
          <w:rFonts w:hint="default" w:ascii="仿宋_GB2312" w:hAnsi="Times New Roman" w:eastAsia="仿宋_GB2312" w:cs="Wingdings"/>
          <w:sz w:val="32"/>
          <w:szCs w:val="32"/>
          <w:lang w:val="en-US"/>
        </w:rPr>
        <w:t>7.97</w:t>
      </w:r>
      <w:r>
        <w:rPr>
          <w:rFonts w:hint="eastAsia" w:ascii="仿宋_GB2312" w:hAnsi="Times New Roman" w:eastAsia="仿宋_GB2312" w:cs="Wingdings"/>
          <w:sz w:val="32"/>
          <w:szCs w:val="32"/>
        </w:rPr>
        <w:t>%；</w:t>
      </w:r>
      <w:r>
        <w:rPr>
          <w:rFonts w:hint="eastAsia" w:ascii="仿宋_GB2312" w:hAnsi="Times New Roman" w:eastAsia="仿宋_GB2312" w:cs="Wingdings"/>
          <w:sz w:val="32"/>
          <w:szCs w:val="32"/>
          <w:lang w:val="en-US" w:eastAsia="zh-CN"/>
        </w:rPr>
        <w:t>资源勘探信息</w:t>
      </w:r>
      <w:r>
        <w:rPr>
          <w:rFonts w:hint="eastAsia" w:ascii="仿宋_GB2312" w:hAnsi="Times New Roman" w:eastAsia="仿宋_GB2312" w:cs="Wingdings"/>
          <w:sz w:val="32"/>
          <w:szCs w:val="32"/>
          <w:lang w:eastAsia="zh-CN"/>
        </w:rPr>
        <w:t>（类）</w:t>
      </w:r>
      <w:r>
        <w:rPr>
          <w:rFonts w:hint="eastAsia" w:ascii="仿宋_GB2312" w:hAnsi="Times New Roman" w:eastAsia="仿宋_GB2312" w:cs="Wingdings"/>
          <w:sz w:val="32"/>
          <w:szCs w:val="32"/>
          <w:lang w:val="en-US" w:eastAsia="zh-CN"/>
        </w:rPr>
        <w:t>支出</w:t>
      </w:r>
      <w:r>
        <w:rPr>
          <w:rFonts w:hint="default" w:ascii="仿宋_GB2312" w:hAnsi="Times New Roman" w:eastAsia="仿宋_GB2312" w:cs="Wingdings"/>
          <w:sz w:val="32"/>
          <w:szCs w:val="32"/>
          <w:lang w:val="en-US" w:eastAsia="zh-CN"/>
        </w:rPr>
        <w:t>702.16</w:t>
      </w:r>
      <w:r>
        <w:rPr>
          <w:rFonts w:hint="eastAsia" w:ascii="仿宋_GB2312" w:hAnsi="Times New Roman" w:eastAsia="仿宋_GB2312" w:cs="Wingdings"/>
          <w:sz w:val="32"/>
          <w:szCs w:val="32"/>
          <w:lang w:val="en-US" w:eastAsia="zh-CN"/>
        </w:rPr>
        <w:t>，占</w:t>
      </w:r>
      <w:r>
        <w:rPr>
          <w:rFonts w:hint="default" w:ascii="仿宋_GB2312" w:hAnsi="Times New Roman" w:eastAsia="仿宋_GB2312" w:cs="Wingdings"/>
          <w:sz w:val="32"/>
          <w:szCs w:val="32"/>
          <w:lang w:val="en-US" w:eastAsia="zh-CN"/>
        </w:rPr>
        <w:t>25.49%</w:t>
      </w:r>
      <w:r>
        <w:rPr>
          <w:rFonts w:hint="eastAsia" w:ascii="仿宋_GB2312" w:eastAsia="仿宋_GB2312" w:cs="Times New Roman" w:hAnsiTheme="minorEastAsia"/>
          <w:sz w:val="32"/>
          <w:szCs w:val="32"/>
          <w:u w:color="000000"/>
        </w:rPr>
        <w:t>。具体决算支出详见附件2。</w:t>
      </w:r>
    </w:p>
    <w:p>
      <w:pPr>
        <w:spacing w:after="0" w:line="360" w:lineRule="auto"/>
        <w:ind w:firstLine="640" w:firstLineChars="200"/>
        <w:jc w:val="both"/>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决算支出结构如图3。</w:t>
      </w:r>
    </w:p>
    <w:p>
      <w:pPr>
        <w:spacing w:after="0" w:line="360" w:lineRule="auto"/>
        <w:jc w:val="center"/>
        <w:rPr>
          <w:rFonts w:hint="eastAsia" w:asciiTheme="minorEastAsia" w:hAnsiTheme="minorEastAsia" w:eastAsiaTheme="minorEastAsia" w:cstheme="minorEastAsia"/>
          <w:b/>
          <w:bCs/>
          <w:sz w:val="32"/>
          <w:szCs w:val="32"/>
          <w:u w:color="000000"/>
        </w:rPr>
      </w:pPr>
      <w:r>
        <w:rPr>
          <w:rFonts w:hint="eastAsia" w:asciiTheme="minorEastAsia" w:hAnsiTheme="minorEastAsia" w:eastAsiaTheme="minorEastAsia" w:cstheme="minorEastAsia"/>
          <w:b/>
          <w:bCs/>
          <w:sz w:val="32"/>
          <w:szCs w:val="32"/>
          <w:u w:color="000000"/>
        </w:rPr>
        <w:t xml:space="preserve">图3  </w:t>
      </w:r>
      <w:r>
        <w:rPr>
          <w:rFonts w:hint="eastAsia" w:ascii="仿宋_GB2312" w:eastAsia="仿宋_GB2312" w:cs="DengXian-Regular"/>
          <w:b/>
          <w:bCs/>
          <w:sz w:val="32"/>
          <w:szCs w:val="32"/>
        </w:rPr>
        <w:t>202</w:t>
      </w:r>
      <w:r>
        <w:rPr>
          <w:rFonts w:hint="default" w:ascii="仿宋_GB2312" w:eastAsia="仿宋_GB2312" w:cs="DengXian-Regular"/>
          <w:b/>
          <w:bCs/>
          <w:sz w:val="32"/>
          <w:szCs w:val="32"/>
          <w:lang w:val="en-US"/>
        </w:rPr>
        <w:t>2</w:t>
      </w:r>
      <w:r>
        <w:rPr>
          <w:rFonts w:hint="eastAsia" w:ascii="仿宋_GB2312" w:eastAsia="仿宋_GB2312" w:cs="DengXian-Regular"/>
          <w:b/>
          <w:bCs/>
          <w:sz w:val="32"/>
          <w:szCs w:val="32"/>
        </w:rPr>
        <w:t>年度区</w:t>
      </w:r>
      <w:r>
        <w:rPr>
          <w:rFonts w:hint="eastAsia" w:ascii="仿宋_GB2312" w:eastAsia="仿宋_GB2312" w:cs="DengXian-Regular"/>
          <w:b/>
          <w:bCs/>
          <w:sz w:val="32"/>
          <w:szCs w:val="32"/>
          <w:lang w:eastAsia="zh-CN"/>
        </w:rPr>
        <w:t>工信局</w:t>
      </w:r>
      <w:r>
        <w:rPr>
          <w:rFonts w:hint="eastAsia" w:asciiTheme="minorEastAsia" w:hAnsiTheme="minorEastAsia" w:eastAsiaTheme="minorEastAsia" w:cstheme="minorEastAsia"/>
          <w:b/>
          <w:bCs/>
          <w:sz w:val="32"/>
          <w:szCs w:val="32"/>
          <w:u w:color="000000"/>
        </w:rPr>
        <w:t>决算支出结构图</w:t>
      </w:r>
    </w:p>
    <w:p>
      <w:pPr>
        <w:spacing w:after="0" w:line="360" w:lineRule="auto"/>
        <w:jc w:val="left"/>
        <w:rPr>
          <w:rFonts w:hint="eastAsia" w:asciiTheme="minorEastAsia" w:hAnsiTheme="minorEastAsia" w:eastAsiaTheme="minorEastAsia" w:cstheme="minorEastAsia"/>
          <w:b/>
          <w:bCs/>
          <w:sz w:val="32"/>
          <w:szCs w:val="32"/>
          <w:u w:color="000000"/>
        </w:rPr>
      </w:pPr>
      <w:r>
        <w:drawing>
          <wp:inline distT="0" distB="0" distL="114300" distR="114300">
            <wp:extent cx="4572000" cy="291465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after="0" w:line="360" w:lineRule="auto"/>
        <w:ind w:firstLine="640" w:firstLineChars="200"/>
        <w:jc w:val="both"/>
        <w:rPr>
          <w:rFonts w:ascii="仿宋" w:hAnsi="仿宋" w:eastAsia="仿宋"/>
          <w:snapToGrid w:val="0"/>
          <w:sz w:val="32"/>
          <w:szCs w:val="32"/>
        </w:rPr>
      </w:pPr>
      <w:r>
        <w:rPr>
          <w:rFonts w:hint="eastAsia" w:ascii="仿宋_GB2312" w:eastAsia="仿宋_GB2312" w:cs="DengXian-Regular"/>
          <w:sz w:val="32"/>
          <w:szCs w:val="32"/>
        </w:rPr>
        <w:t>财政拨款决算支出比年初预算增加</w:t>
      </w:r>
      <w:r>
        <w:rPr>
          <w:rFonts w:hint="default" w:ascii="仿宋_GB2312" w:eastAsia="仿宋_GB2312" w:cs="DengXian-Regular"/>
          <w:sz w:val="32"/>
          <w:szCs w:val="32"/>
          <w:lang w:val="en-US"/>
        </w:rPr>
        <w:t>1441.69</w:t>
      </w:r>
      <w:r>
        <w:rPr>
          <w:rFonts w:hint="eastAsia" w:ascii="仿宋_GB2312" w:eastAsia="仿宋_GB2312" w:cs="DengXian-Regular"/>
          <w:sz w:val="32"/>
          <w:szCs w:val="32"/>
        </w:rPr>
        <w:t>万元。决算支出完成年初预算的</w:t>
      </w:r>
      <w:r>
        <w:rPr>
          <w:rFonts w:hint="default" w:ascii="仿宋_GB2312" w:eastAsia="仿宋_GB2312" w:cs="DengXian-Regular"/>
          <w:sz w:val="32"/>
          <w:szCs w:val="32"/>
          <w:lang w:val="en-US"/>
        </w:rPr>
        <w:t>209.8</w:t>
      </w:r>
      <w:r>
        <w:rPr>
          <w:rFonts w:hint="eastAsia" w:ascii="仿宋_GB2312" w:eastAsia="仿宋_GB2312" w:cs="DengXian-Regular"/>
          <w:sz w:val="32"/>
          <w:szCs w:val="32"/>
        </w:rPr>
        <w:t>%。</w:t>
      </w:r>
      <w:r>
        <w:rPr>
          <w:rFonts w:hint="eastAsia" w:ascii="仿宋_GB2312" w:eastAsia="仿宋_GB2312" w:cs="Times New Roman" w:hAnsiTheme="minorEastAsia"/>
          <w:sz w:val="32"/>
          <w:szCs w:val="32"/>
          <w:u w:color="000000"/>
        </w:rPr>
        <w:t>决算支出大于预算支出的</w:t>
      </w:r>
      <w:r>
        <w:rPr>
          <w:rFonts w:hint="eastAsia" w:ascii="仿宋_GB2312" w:eastAsia="仿宋_GB2312" w:cs="DengXian-Regular"/>
          <w:sz w:val="32"/>
          <w:szCs w:val="32"/>
        </w:rPr>
        <w:t>主要原因为202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年度</w:t>
      </w:r>
      <w:r>
        <w:rPr>
          <w:rFonts w:hint="eastAsia" w:ascii="仿宋_GB2312" w:eastAsia="仿宋_GB2312" w:cs="DengXian-Regular"/>
          <w:sz w:val="32"/>
          <w:szCs w:val="32"/>
          <w:lang w:eastAsia="zh-CN"/>
        </w:rPr>
        <w:t>上级追加的转移支付专项资金导致</w:t>
      </w:r>
      <w:r>
        <w:rPr>
          <w:rFonts w:hint="eastAsia" w:ascii="仿宋" w:hAnsi="仿宋" w:eastAsia="仿宋"/>
          <w:snapToGrid w:val="0"/>
          <w:sz w:val="32"/>
          <w:szCs w:val="32"/>
        </w:rPr>
        <w:t>。预算支出与决算支出对比情况如图4。</w:t>
      </w:r>
    </w:p>
    <w:p>
      <w:pPr>
        <w:spacing w:after="0" w:line="360" w:lineRule="auto"/>
        <w:jc w:val="center"/>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图4  </w:t>
      </w:r>
      <w:r>
        <w:rPr>
          <w:rFonts w:hint="eastAsia" w:ascii="仿宋_GB2312" w:eastAsia="仿宋_GB2312" w:cs="DengXian-Regular"/>
          <w:b/>
          <w:bCs/>
          <w:sz w:val="32"/>
          <w:szCs w:val="32"/>
        </w:rPr>
        <w:t>202</w:t>
      </w:r>
      <w:r>
        <w:rPr>
          <w:rFonts w:hint="default" w:ascii="仿宋_GB2312" w:eastAsia="仿宋_GB2312" w:cs="DengXian-Regular"/>
          <w:b/>
          <w:bCs/>
          <w:sz w:val="32"/>
          <w:szCs w:val="32"/>
          <w:lang w:val="en-US"/>
        </w:rPr>
        <w:t>2</w:t>
      </w:r>
      <w:r>
        <w:rPr>
          <w:rFonts w:hint="eastAsia" w:ascii="仿宋_GB2312" w:eastAsia="仿宋_GB2312" w:cs="DengXian-Regular"/>
          <w:b/>
          <w:bCs/>
          <w:sz w:val="32"/>
          <w:szCs w:val="32"/>
        </w:rPr>
        <w:t>年度区</w:t>
      </w:r>
      <w:r>
        <w:rPr>
          <w:rFonts w:hint="default" w:ascii="仿宋_GB2312" w:eastAsia="仿宋_GB2312" w:cs="DengXian-Regular"/>
          <w:b/>
          <w:bCs/>
          <w:sz w:val="32"/>
          <w:szCs w:val="32"/>
        </w:rPr>
        <w:t>工信局</w:t>
      </w:r>
      <w:r>
        <w:rPr>
          <w:rFonts w:hint="eastAsia" w:asciiTheme="minorEastAsia" w:hAnsiTheme="minorEastAsia" w:eastAsiaTheme="minorEastAsia" w:cstheme="minorEastAsia"/>
          <w:b/>
          <w:bCs/>
          <w:sz w:val="32"/>
          <w:szCs w:val="32"/>
        </w:rPr>
        <w:t>预算支出与决算支出对比图</w:t>
      </w:r>
    </w:p>
    <w:p>
      <w:pPr>
        <w:spacing w:after="0" w:line="360" w:lineRule="auto"/>
        <w:jc w:val="left"/>
        <w:rPr>
          <w:rFonts w:hint="eastAsia" w:asciiTheme="minorEastAsia" w:hAnsiTheme="minorEastAsia" w:eastAsiaTheme="minorEastAsia" w:cstheme="minorEastAsia"/>
          <w:b/>
          <w:bCs/>
          <w:sz w:val="32"/>
          <w:szCs w:val="32"/>
        </w:rPr>
      </w:pPr>
      <w:r>
        <w:drawing>
          <wp:inline distT="0" distB="0" distL="114300" distR="114300">
            <wp:extent cx="5276215" cy="2727960"/>
            <wp:effectExtent l="4445" t="4445" r="15240" b="1079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年实际项目支出</w:t>
      </w:r>
      <w:r>
        <w:rPr>
          <w:rFonts w:hint="default" w:ascii="仿宋_GB2312" w:eastAsia="仿宋_GB2312" w:cs="DengXian-Regular"/>
          <w:sz w:val="32"/>
          <w:szCs w:val="32"/>
          <w:lang w:val="en-US"/>
        </w:rPr>
        <w:t>1501.16</w:t>
      </w:r>
      <w:r>
        <w:rPr>
          <w:rFonts w:hint="eastAsia" w:ascii="仿宋_GB2312" w:eastAsia="仿宋_GB2312" w:cs="DengXian-Regular"/>
          <w:sz w:val="32"/>
          <w:szCs w:val="32"/>
        </w:rPr>
        <w:t>万元，决算报表中项目支出</w:t>
      </w:r>
      <w:r>
        <w:rPr>
          <w:rFonts w:hint="default" w:ascii="仿宋_GB2312" w:eastAsia="仿宋_GB2312" w:cs="DengXian-Regular"/>
          <w:sz w:val="32"/>
          <w:szCs w:val="32"/>
          <w:lang w:val="en-US"/>
        </w:rPr>
        <w:t>1501.16</w:t>
      </w:r>
      <w:r>
        <w:rPr>
          <w:rFonts w:hint="eastAsia" w:ascii="仿宋_GB2312" w:eastAsia="仿宋_GB2312" w:cs="DengXian-Regular"/>
          <w:sz w:val="32"/>
          <w:szCs w:val="32"/>
        </w:rPr>
        <w:t>万元，实际支出与决算报表差</w:t>
      </w:r>
      <w:r>
        <w:rPr>
          <w:rFonts w:hint="default" w:ascii="仿宋_GB2312" w:eastAsia="仿宋_GB2312" w:cs="DengXian-Regular"/>
          <w:sz w:val="32"/>
          <w:szCs w:val="32"/>
          <w:lang w:val="en-US"/>
        </w:rPr>
        <w:t>0</w:t>
      </w:r>
      <w:r>
        <w:rPr>
          <w:rFonts w:hint="eastAsia" w:ascii="仿宋_GB2312" w:eastAsia="仿宋_GB2312" w:cs="DengXian-Regular"/>
          <w:sz w:val="32"/>
          <w:szCs w:val="32"/>
        </w:rPr>
        <w:t>万元。</w:t>
      </w:r>
    </w:p>
    <w:p>
      <w:pPr>
        <w:pStyle w:val="4"/>
        <w:spacing w:before="0" w:after="0"/>
        <w:ind w:firstLine="643" w:firstLineChars="200"/>
        <w:jc w:val="both"/>
        <w:rPr>
          <w:rFonts w:ascii="仿宋_GB2312" w:hAnsi="Tahoma" w:cs="DengXian-Regular"/>
          <w:sz w:val="32"/>
        </w:rPr>
      </w:pPr>
      <w:bookmarkStart w:id="13" w:name="_Toc465149503"/>
      <w:bookmarkStart w:id="14" w:name="_Toc19291"/>
      <w:bookmarkStart w:id="15" w:name="_Toc492652769"/>
      <w:r>
        <w:rPr>
          <w:rFonts w:hint="eastAsia" w:ascii="仿宋_GB2312" w:hAnsi="Tahoma" w:cs="DengXian-Regular"/>
          <w:sz w:val="32"/>
        </w:rPr>
        <w:t>（五）“三公”经费预算安排及支出情况</w:t>
      </w:r>
      <w:bookmarkEnd w:id="13"/>
      <w:bookmarkEnd w:id="14"/>
      <w:bookmarkEnd w:id="15"/>
    </w:p>
    <w:p>
      <w:pPr>
        <w:spacing w:after="0" w:line="360" w:lineRule="auto"/>
        <w:ind w:firstLine="640" w:firstLineChars="200"/>
        <w:jc w:val="both"/>
        <w:rPr>
          <w:rFonts w:hint="eastAsia" w:ascii="仿宋_GB2312" w:eastAsia="仿宋_GB2312" w:cs="DengXian-Regular"/>
          <w:sz w:val="32"/>
          <w:szCs w:val="32"/>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“三公”经费预算</w:t>
      </w:r>
      <w:r>
        <w:rPr>
          <w:rFonts w:hint="default" w:ascii="仿宋_GB2312" w:eastAsia="仿宋_GB2312" w:cs="DengXian-Regular"/>
          <w:sz w:val="32"/>
          <w:szCs w:val="32"/>
          <w:lang w:val="en-US"/>
        </w:rPr>
        <w:t>9.78</w:t>
      </w:r>
      <w:r>
        <w:rPr>
          <w:rFonts w:hint="eastAsia" w:ascii="仿宋_GB2312" w:eastAsia="仿宋_GB2312" w:cs="DengXian-Regular"/>
          <w:sz w:val="32"/>
          <w:szCs w:val="32"/>
        </w:rPr>
        <w:t>万元（公务用车运行维护费</w:t>
      </w:r>
      <w:r>
        <w:rPr>
          <w:rFonts w:hint="default" w:ascii="仿宋_GB2312" w:eastAsia="仿宋_GB2312" w:cs="DengXian-Regular"/>
          <w:sz w:val="32"/>
          <w:szCs w:val="32"/>
          <w:lang w:val="en-US"/>
        </w:rPr>
        <w:t>9.72</w:t>
      </w:r>
      <w:r>
        <w:rPr>
          <w:rFonts w:hint="eastAsia" w:ascii="仿宋_GB2312" w:eastAsia="仿宋_GB2312" w:cs="DengXian-Regular"/>
          <w:sz w:val="32"/>
          <w:szCs w:val="32"/>
        </w:rPr>
        <w:t>万元，公务接待费</w:t>
      </w:r>
      <w:r>
        <w:rPr>
          <w:rFonts w:hint="default" w:ascii="仿宋_GB2312" w:eastAsia="仿宋_GB2312" w:cs="DengXian-Regular"/>
          <w:sz w:val="32"/>
          <w:szCs w:val="32"/>
          <w:lang w:val="en-US"/>
        </w:rPr>
        <w:t>0.06</w:t>
      </w:r>
      <w:r>
        <w:rPr>
          <w:rFonts w:hint="eastAsia" w:ascii="仿宋_GB2312" w:eastAsia="仿宋_GB2312" w:cs="DengXian-Regular"/>
          <w:sz w:val="32"/>
          <w:szCs w:val="32"/>
        </w:rPr>
        <w:t>万元），实际支出</w:t>
      </w:r>
      <w:r>
        <w:rPr>
          <w:rFonts w:hint="default" w:ascii="仿宋_GB2312" w:eastAsia="仿宋_GB2312" w:cs="DengXian-Regular"/>
          <w:sz w:val="32"/>
          <w:szCs w:val="32"/>
          <w:lang w:val="en-US"/>
        </w:rPr>
        <w:t>6</w:t>
      </w:r>
      <w:r>
        <w:rPr>
          <w:rFonts w:hint="eastAsia" w:ascii="仿宋_GB2312" w:eastAsia="仿宋_GB2312" w:cs="DengXian-Regular"/>
          <w:sz w:val="32"/>
          <w:szCs w:val="32"/>
        </w:rPr>
        <w:t>万元（公务用车运行维护费</w:t>
      </w:r>
      <w:r>
        <w:rPr>
          <w:rFonts w:hint="default" w:ascii="仿宋_GB2312" w:eastAsia="仿宋_GB2312" w:cs="DengXian-Regular"/>
          <w:sz w:val="32"/>
          <w:szCs w:val="32"/>
          <w:lang w:val="en-US"/>
        </w:rPr>
        <w:t>6</w:t>
      </w:r>
      <w:r>
        <w:rPr>
          <w:rFonts w:hint="eastAsia" w:ascii="仿宋_GB2312" w:eastAsia="仿宋_GB2312" w:cs="DengXian-Regular"/>
          <w:sz w:val="32"/>
          <w:szCs w:val="32"/>
        </w:rPr>
        <w:t>万元，公务接待费</w:t>
      </w:r>
      <w:r>
        <w:rPr>
          <w:rFonts w:hint="default" w:ascii="仿宋_GB2312" w:eastAsia="仿宋_GB2312" w:cs="DengXian-Regular"/>
          <w:sz w:val="32"/>
          <w:szCs w:val="32"/>
          <w:lang w:val="en-US"/>
        </w:rPr>
        <w:t>0</w:t>
      </w:r>
      <w:r>
        <w:rPr>
          <w:rFonts w:hint="eastAsia" w:ascii="仿宋_GB2312" w:eastAsia="仿宋_GB2312" w:cs="DengXian-Regular"/>
          <w:sz w:val="32"/>
          <w:szCs w:val="32"/>
        </w:rPr>
        <w:t>万元），比预算减少</w:t>
      </w:r>
      <w:r>
        <w:rPr>
          <w:rFonts w:hint="default" w:ascii="仿宋_GB2312" w:eastAsia="仿宋_GB2312" w:cs="DengXian-Regular"/>
          <w:sz w:val="32"/>
          <w:szCs w:val="32"/>
          <w:lang w:val="en-US"/>
        </w:rPr>
        <w:t>3.78</w:t>
      </w:r>
      <w:r>
        <w:rPr>
          <w:rFonts w:hint="eastAsia" w:ascii="仿宋_GB2312" w:eastAsia="仿宋_GB2312" w:cs="DengXian-Regular"/>
          <w:sz w:val="32"/>
          <w:szCs w:val="32"/>
        </w:rPr>
        <w:t>万元，节约率</w:t>
      </w:r>
      <w:r>
        <w:rPr>
          <w:rFonts w:hint="default" w:ascii="仿宋_GB2312" w:eastAsia="仿宋_GB2312" w:cs="DengXian-Regular"/>
          <w:sz w:val="32"/>
          <w:szCs w:val="32"/>
          <w:lang w:val="en-US"/>
        </w:rPr>
        <w:t>38.65</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年“三公”经费预算数与</w:t>
      </w:r>
      <w:r>
        <w:rPr>
          <w:rFonts w:ascii="仿宋_GB2312" w:eastAsia="仿宋_GB2312" w:cs="DengXian-Regular"/>
          <w:sz w:val="32"/>
          <w:szCs w:val="32"/>
        </w:rPr>
        <w:t>20</w:t>
      </w:r>
      <w:r>
        <w:rPr>
          <w:rFonts w:hint="default" w:ascii="仿宋_GB2312" w:eastAsia="仿宋_GB2312" w:cs="DengXian-Regular"/>
          <w:sz w:val="32"/>
          <w:szCs w:val="32"/>
          <w:lang w:val="en-US"/>
        </w:rPr>
        <w:t>20</w:t>
      </w:r>
      <w:r>
        <w:rPr>
          <w:rFonts w:hint="eastAsia" w:ascii="仿宋_GB2312" w:eastAsia="仿宋_GB2312" w:cs="DengXian-Regular"/>
          <w:sz w:val="32"/>
          <w:szCs w:val="32"/>
        </w:rPr>
        <w:t>年预算数相比</w:t>
      </w:r>
      <w:r>
        <w:rPr>
          <w:rFonts w:hint="eastAsia" w:ascii="仿宋_GB2312" w:eastAsia="仿宋_GB2312" w:cs="DengXian-Regular"/>
          <w:sz w:val="32"/>
          <w:szCs w:val="32"/>
          <w:lang w:eastAsia="zh-CN"/>
        </w:rPr>
        <w:t>减少</w:t>
      </w:r>
      <w:r>
        <w:rPr>
          <w:rFonts w:hint="default" w:ascii="仿宋_GB2312" w:eastAsia="仿宋_GB2312" w:cs="DengXian-Regular"/>
          <w:sz w:val="32"/>
          <w:szCs w:val="32"/>
          <w:lang w:val="en-US" w:eastAsia="zh-CN"/>
        </w:rPr>
        <w:t>2.92</w:t>
      </w:r>
      <w:r>
        <w:rPr>
          <w:rFonts w:hint="eastAsia" w:ascii="仿宋_GB2312" w:eastAsia="仿宋_GB2312" w:cs="DengXian-Regular"/>
          <w:sz w:val="32"/>
          <w:szCs w:val="32"/>
        </w:rPr>
        <w:t>，决算数与</w:t>
      </w:r>
      <w:r>
        <w:rPr>
          <w:rFonts w:ascii="仿宋_GB2312" w:eastAsia="仿宋_GB2312" w:cs="DengXian-Regular"/>
          <w:sz w:val="32"/>
          <w:szCs w:val="32"/>
        </w:rPr>
        <w:t>20</w:t>
      </w:r>
      <w:r>
        <w:rPr>
          <w:rFonts w:hint="default" w:ascii="仿宋_GB2312" w:eastAsia="仿宋_GB2312" w:cs="DengXian-Regular"/>
          <w:sz w:val="32"/>
          <w:szCs w:val="32"/>
          <w:lang w:val="en-US"/>
        </w:rPr>
        <w:t>20</w:t>
      </w:r>
      <w:r>
        <w:rPr>
          <w:rFonts w:hint="eastAsia" w:ascii="仿宋_GB2312" w:eastAsia="仿宋_GB2312" w:cs="DengXian-Regular"/>
          <w:sz w:val="32"/>
          <w:szCs w:val="32"/>
        </w:rPr>
        <w:t>年实际支出相比，</w:t>
      </w:r>
      <w:r>
        <w:rPr>
          <w:rFonts w:hint="eastAsia" w:ascii="仿宋_GB2312" w:eastAsia="仿宋_GB2312" w:cs="DengXian-Regular"/>
          <w:sz w:val="32"/>
          <w:szCs w:val="32"/>
          <w:lang w:eastAsia="zh-CN"/>
        </w:rPr>
        <w:t>增加</w:t>
      </w:r>
      <w:r>
        <w:rPr>
          <w:rFonts w:hint="default" w:ascii="仿宋_GB2312" w:eastAsia="仿宋_GB2312" w:cs="DengXian-Regular"/>
          <w:sz w:val="32"/>
          <w:szCs w:val="32"/>
          <w:lang w:val="en-US" w:eastAsia="zh-CN"/>
        </w:rPr>
        <w:t>0.99</w:t>
      </w:r>
      <w:r>
        <w:rPr>
          <w:rFonts w:hint="eastAsia" w:ascii="仿宋_GB2312" w:eastAsia="仿宋_GB2312" w:cs="DengXian-Regular"/>
          <w:sz w:val="32"/>
          <w:szCs w:val="32"/>
        </w:rPr>
        <w:t>万元。具体详见表1。</w:t>
      </w:r>
    </w:p>
    <w:p>
      <w:pPr>
        <w:spacing w:after="0" w:line="360" w:lineRule="auto"/>
        <w:ind w:firstLine="640" w:firstLineChars="200"/>
        <w:jc w:val="both"/>
        <w:rPr>
          <w:rFonts w:hint="eastAsia" w:ascii="仿宋_GB2312" w:eastAsia="仿宋_GB2312" w:cs="DengXian-Regular"/>
          <w:sz w:val="32"/>
          <w:szCs w:val="32"/>
        </w:rPr>
      </w:pPr>
    </w:p>
    <w:p>
      <w:pPr>
        <w:spacing w:after="0" w:line="360" w:lineRule="auto"/>
        <w:ind w:firstLine="640" w:firstLineChars="200"/>
        <w:jc w:val="both"/>
        <w:rPr>
          <w:rFonts w:hint="eastAsia" w:ascii="仿宋_GB2312" w:eastAsia="仿宋_GB2312" w:cs="DengXian-Regular"/>
          <w:sz w:val="32"/>
          <w:szCs w:val="32"/>
        </w:rPr>
      </w:pPr>
    </w:p>
    <w:p>
      <w:pPr>
        <w:spacing w:after="0" w:line="360" w:lineRule="auto"/>
        <w:ind w:firstLine="640" w:firstLineChars="200"/>
        <w:jc w:val="both"/>
        <w:rPr>
          <w:rFonts w:hint="eastAsia" w:ascii="仿宋_GB2312" w:eastAsia="仿宋_GB2312" w:cs="DengXian-Regular"/>
          <w:sz w:val="32"/>
          <w:szCs w:val="32"/>
        </w:rPr>
      </w:pPr>
    </w:p>
    <w:p>
      <w:pPr>
        <w:spacing w:after="0" w:line="360" w:lineRule="auto"/>
        <w:ind w:firstLine="640" w:firstLineChars="200"/>
        <w:jc w:val="both"/>
        <w:rPr>
          <w:rFonts w:hint="eastAsia" w:ascii="仿宋_GB2312" w:eastAsia="仿宋_GB2312" w:cs="DengXian-Regular"/>
          <w:sz w:val="32"/>
          <w:szCs w:val="32"/>
        </w:rPr>
      </w:pPr>
    </w:p>
    <w:p>
      <w:pPr>
        <w:spacing w:after="0" w:line="360" w:lineRule="auto"/>
        <w:ind w:firstLine="643" w:firstLineChars="200"/>
        <w:jc w:val="both"/>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 xml:space="preserve">表1  </w:t>
      </w:r>
      <w:r>
        <w:rPr>
          <w:rFonts w:hint="eastAsia" w:ascii="仿宋_GB2312" w:eastAsia="仿宋_GB2312" w:cs="DengXian-Regular"/>
          <w:b/>
          <w:bCs/>
          <w:sz w:val="32"/>
          <w:szCs w:val="32"/>
        </w:rPr>
        <w:t>区</w:t>
      </w:r>
      <w:r>
        <w:rPr>
          <w:rFonts w:hint="eastAsia" w:ascii="仿宋_GB2312" w:eastAsia="仿宋_GB2312" w:cs="DengXian-Regular"/>
          <w:b/>
          <w:bCs/>
          <w:sz w:val="32"/>
          <w:szCs w:val="32"/>
          <w:lang w:eastAsia="zh-CN"/>
        </w:rPr>
        <w:t>工信局</w:t>
      </w:r>
      <w:r>
        <w:rPr>
          <w:rFonts w:hint="eastAsia" w:asciiTheme="minorEastAsia" w:hAnsiTheme="minorEastAsia" w:eastAsiaTheme="minorEastAsia" w:cstheme="minorEastAsia"/>
          <w:b/>
          <w:bCs/>
          <w:sz w:val="32"/>
          <w:szCs w:val="32"/>
        </w:rPr>
        <w:t>“三公”经费预算及决算明细表</w:t>
      </w:r>
    </w:p>
    <w:p>
      <w:pPr>
        <w:spacing w:after="0" w:line="540" w:lineRule="exact"/>
        <w:ind w:firstLine="640" w:firstLineChars="200"/>
        <w:jc w:val="both"/>
        <w:rPr>
          <w:rFonts w:asciiTheme="minorEastAsia" w:hAnsiTheme="minorEastAsia" w:eastAsiaTheme="minorEastAsia" w:cstheme="minorEastAsia"/>
          <w:sz w:val="21"/>
          <w:szCs w:val="21"/>
        </w:rPr>
      </w:pPr>
      <w:r>
        <w:rPr>
          <w:rFonts w:hint="eastAsia" w:ascii="仿宋_GB2312" w:eastAsia="仿宋_GB2312" w:cs="DengXian-Regular"/>
          <w:sz w:val="32"/>
          <w:szCs w:val="32"/>
        </w:rPr>
        <w:t xml:space="preserve">                                         </w:t>
      </w:r>
      <w:r>
        <w:rPr>
          <w:rFonts w:hint="eastAsia" w:asciiTheme="minorEastAsia" w:hAnsiTheme="minorEastAsia" w:eastAsiaTheme="minorEastAsia" w:cstheme="minorEastAsia"/>
          <w:sz w:val="21"/>
          <w:szCs w:val="21"/>
        </w:rPr>
        <w:t>单位：万元</w:t>
      </w:r>
    </w:p>
    <w:tbl>
      <w:tblPr>
        <w:tblStyle w:val="23"/>
        <w:tblW w:w="8565" w:type="dxa"/>
        <w:tblInd w:w="0" w:type="dxa"/>
        <w:tblLayout w:type="fixed"/>
        <w:tblCellMar>
          <w:top w:w="0" w:type="dxa"/>
          <w:left w:w="0" w:type="dxa"/>
          <w:bottom w:w="0" w:type="dxa"/>
          <w:right w:w="0" w:type="dxa"/>
        </w:tblCellMar>
      </w:tblPr>
      <w:tblGrid>
        <w:gridCol w:w="549"/>
        <w:gridCol w:w="1818"/>
        <w:gridCol w:w="993"/>
        <w:gridCol w:w="932"/>
        <w:gridCol w:w="1022"/>
        <w:gridCol w:w="947"/>
        <w:gridCol w:w="1158"/>
        <w:gridCol w:w="1146"/>
      </w:tblGrid>
      <w:tr>
        <w:tblPrEx>
          <w:tblCellMar>
            <w:top w:w="0" w:type="dxa"/>
            <w:left w:w="0" w:type="dxa"/>
            <w:bottom w:w="0" w:type="dxa"/>
            <w:right w:w="0" w:type="dxa"/>
          </w:tblCellMar>
        </w:tblPrEx>
        <w:trPr>
          <w:trHeight w:val="454" w:hRule="atLeast"/>
        </w:trPr>
        <w:tc>
          <w:tcPr>
            <w:tcW w:w="549"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序号</w:t>
            </w:r>
          </w:p>
        </w:tc>
        <w:tc>
          <w:tcPr>
            <w:tcW w:w="181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支出内容</w:t>
            </w:r>
          </w:p>
        </w:tc>
        <w:tc>
          <w:tcPr>
            <w:tcW w:w="1925" w:type="dxa"/>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after="0"/>
              <w:ind w:firstLine="422" w:firstLineChars="200"/>
              <w:jc w:val="center"/>
              <w:textAlignment w:val="center"/>
              <w:rPr>
                <w:rFonts w:ascii="宋体" w:hAnsi="宋体" w:eastAsia="宋体" w:cs="宋体"/>
                <w:b/>
                <w:bCs/>
                <w:color w:val="000000"/>
                <w:sz w:val="21"/>
                <w:szCs w:val="21"/>
              </w:rPr>
            </w:pPr>
            <w:r>
              <w:rPr>
                <w:rFonts w:hint="default" w:ascii="宋体" w:hAnsi="宋体" w:eastAsia="宋体" w:cs="宋体"/>
                <w:b/>
                <w:bCs/>
                <w:color w:val="000000"/>
                <w:sz w:val="21"/>
                <w:szCs w:val="21"/>
                <w:lang w:val="en-US"/>
              </w:rPr>
              <w:t>2021</w:t>
            </w:r>
            <w:r>
              <w:rPr>
                <w:rFonts w:hint="eastAsia" w:ascii="宋体" w:hAnsi="宋体" w:eastAsia="宋体" w:cs="宋体"/>
                <w:b/>
                <w:bCs/>
                <w:color w:val="000000"/>
                <w:sz w:val="21"/>
                <w:szCs w:val="21"/>
              </w:rPr>
              <w:t>年</w:t>
            </w:r>
          </w:p>
        </w:tc>
        <w:tc>
          <w:tcPr>
            <w:tcW w:w="1969" w:type="dxa"/>
            <w:gridSpan w:val="2"/>
            <w:tcBorders>
              <w:top w:val="single" w:color="000000" w:sz="4" w:space="0"/>
              <w:left w:val="single" w:color="auto" w:sz="4" w:space="0"/>
              <w:bottom w:val="single" w:color="000000" w:sz="4" w:space="0"/>
              <w:right w:val="nil"/>
            </w:tcBorders>
            <w:shd w:val="clear" w:color="auto" w:fill="auto"/>
            <w:tcMar>
              <w:top w:w="15" w:type="dxa"/>
              <w:left w:w="15" w:type="dxa"/>
              <w:right w:w="15" w:type="dxa"/>
            </w:tcMar>
            <w:vAlign w:val="center"/>
          </w:tcPr>
          <w:p>
            <w:pPr>
              <w:spacing w:after="0"/>
              <w:ind w:firstLine="422" w:firstLineChars="20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202</w:t>
            </w:r>
            <w:r>
              <w:rPr>
                <w:rFonts w:hint="default" w:ascii="宋体" w:hAnsi="宋体" w:eastAsia="宋体" w:cs="宋体"/>
                <w:b/>
                <w:bCs/>
                <w:color w:val="000000"/>
                <w:sz w:val="21"/>
                <w:szCs w:val="21"/>
                <w:lang w:val="en-US"/>
              </w:rPr>
              <w:t>2</w:t>
            </w:r>
            <w:r>
              <w:rPr>
                <w:rFonts w:hint="eastAsia" w:ascii="宋体" w:hAnsi="宋体" w:eastAsia="宋体" w:cs="宋体"/>
                <w:b/>
                <w:bCs/>
                <w:color w:val="000000"/>
                <w:sz w:val="21"/>
                <w:szCs w:val="21"/>
              </w:rPr>
              <w:t>年</w:t>
            </w:r>
          </w:p>
        </w:tc>
        <w:tc>
          <w:tcPr>
            <w:tcW w:w="23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after="0"/>
              <w:ind w:firstLine="422" w:firstLineChars="20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环比情况</w:t>
            </w:r>
          </w:p>
        </w:tc>
      </w:tr>
      <w:tr>
        <w:tblPrEx>
          <w:tblCellMar>
            <w:top w:w="0" w:type="dxa"/>
            <w:left w:w="0" w:type="dxa"/>
            <w:bottom w:w="0" w:type="dxa"/>
            <w:right w:w="0" w:type="dxa"/>
          </w:tblCellMar>
        </w:tblPrEx>
        <w:trPr>
          <w:trHeight w:val="454" w:hRule="atLeast"/>
        </w:trPr>
        <w:tc>
          <w:tcPr>
            <w:tcW w:w="549"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spacing w:after="0"/>
              <w:ind w:firstLine="422" w:firstLineChars="200"/>
              <w:jc w:val="center"/>
              <w:rPr>
                <w:rFonts w:ascii="宋体" w:hAnsi="宋体" w:eastAsia="宋体" w:cs="宋体"/>
                <w:b/>
                <w:bCs/>
                <w:color w:val="000000"/>
                <w:sz w:val="21"/>
                <w:szCs w:val="21"/>
              </w:rPr>
            </w:pPr>
          </w:p>
        </w:tc>
        <w:tc>
          <w:tcPr>
            <w:tcW w:w="181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after="0"/>
              <w:ind w:firstLine="422" w:firstLineChars="200"/>
              <w:jc w:val="center"/>
              <w:rPr>
                <w:rFonts w:ascii="宋体" w:hAnsi="宋体" w:eastAsia="宋体" w:cs="宋体"/>
                <w:b/>
                <w:bCs/>
                <w:color w:val="000000"/>
                <w:sz w:val="21"/>
                <w:szCs w:val="21"/>
              </w:rPr>
            </w:pPr>
          </w:p>
        </w:tc>
        <w:tc>
          <w:tcPr>
            <w:tcW w:w="99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预算安排</w:t>
            </w:r>
          </w:p>
        </w:tc>
        <w:tc>
          <w:tcPr>
            <w:tcW w:w="932" w:type="dxa"/>
            <w:tcBorders>
              <w:top w:val="nil"/>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实际支出</w:t>
            </w:r>
          </w:p>
        </w:tc>
        <w:tc>
          <w:tcPr>
            <w:tcW w:w="102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预算安排</w:t>
            </w:r>
          </w:p>
        </w:tc>
        <w:tc>
          <w:tcPr>
            <w:tcW w:w="94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实际支出</w:t>
            </w:r>
          </w:p>
        </w:tc>
        <w:tc>
          <w:tcPr>
            <w:tcW w:w="11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较上年预算增减金额</w:t>
            </w:r>
          </w:p>
        </w:tc>
        <w:tc>
          <w:tcPr>
            <w:tcW w:w="11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after="0"/>
              <w:jc w:val="center"/>
              <w:textAlignment w:val="center"/>
              <w:rPr>
                <w:rFonts w:ascii="宋体" w:hAnsi="宋体" w:eastAsia="宋体" w:cs="宋体"/>
                <w:b/>
                <w:bCs/>
                <w:color w:val="000000"/>
                <w:sz w:val="21"/>
                <w:szCs w:val="21"/>
              </w:rPr>
            </w:pPr>
            <w:r>
              <w:rPr>
                <w:rFonts w:hint="eastAsia" w:ascii="宋体" w:hAnsi="宋体" w:eastAsia="宋体" w:cs="宋体"/>
                <w:b/>
                <w:bCs/>
                <w:color w:val="000000"/>
                <w:sz w:val="21"/>
                <w:szCs w:val="21"/>
              </w:rPr>
              <w:t>较上年支出增减金额</w:t>
            </w:r>
          </w:p>
        </w:tc>
      </w:tr>
      <w:tr>
        <w:tblPrEx>
          <w:tblCellMar>
            <w:top w:w="0" w:type="dxa"/>
            <w:left w:w="0" w:type="dxa"/>
            <w:bottom w:w="0" w:type="dxa"/>
            <w:right w:w="0" w:type="dxa"/>
          </w:tblCellMar>
        </w:tblPrEx>
        <w:trPr>
          <w:trHeight w:val="454" w:hRule="atLeast"/>
        </w:trPr>
        <w:tc>
          <w:tcPr>
            <w:tcW w:w="54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1818" w:type="dxa"/>
            <w:tcBorders>
              <w:top w:val="single" w:color="auto"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因公出国（境）费</w:t>
            </w:r>
          </w:p>
        </w:tc>
        <w:tc>
          <w:tcPr>
            <w:tcW w:w="993"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94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114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r>
      <w:tr>
        <w:tblPrEx>
          <w:tblCellMar>
            <w:top w:w="0" w:type="dxa"/>
            <w:left w:w="0" w:type="dxa"/>
            <w:bottom w:w="0" w:type="dxa"/>
            <w:right w:w="0" w:type="dxa"/>
          </w:tblCellMar>
        </w:tblPrEx>
        <w:trPr>
          <w:trHeight w:val="454" w:hRule="atLeast"/>
        </w:trPr>
        <w:tc>
          <w:tcPr>
            <w:tcW w:w="5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w:t>
            </w:r>
          </w:p>
        </w:tc>
        <w:tc>
          <w:tcPr>
            <w:tcW w:w="181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公务用车购置及运维费</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12</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4.93</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9.72</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6</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ind w:firstLine="360" w:firstLineChars="200"/>
              <w:jc w:val="center"/>
              <w:textAlignment w:val="center"/>
              <w:rPr>
                <w:rFonts w:hint="default" w:asciiTheme="minorEastAsia" w:hAnsiTheme="minorEastAsia" w:eastAsiaTheme="minorEastAsia" w:cstheme="minorEastAsia"/>
                <w:color w:val="000000"/>
                <w:sz w:val="21"/>
                <w:szCs w:val="21"/>
                <w:lang w:val="en-US" w:eastAsia="zh-CN"/>
              </w:rPr>
            </w:pPr>
            <w:r>
              <w:rPr>
                <w:rFonts w:hint="default" w:asciiTheme="minorEastAsia" w:hAnsiTheme="minorEastAsia" w:eastAsiaTheme="minorEastAsia" w:cstheme="minorEastAsia"/>
                <w:color w:val="000000"/>
                <w:sz w:val="18"/>
                <w:szCs w:val="18"/>
                <w:lang w:val="en-US" w:eastAsia="zh-CN"/>
              </w:rPr>
              <w:t>0</w:t>
            </w:r>
          </w:p>
        </w:tc>
        <w:tc>
          <w:tcPr>
            <w:tcW w:w="114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eastAsia" w:asciiTheme="minorEastAsia" w:hAnsiTheme="minorEastAsia" w:eastAsiaTheme="minorEastAsia" w:cstheme="minorEastAsia"/>
                <w:color w:val="000000"/>
                <w:sz w:val="21"/>
                <w:szCs w:val="21"/>
                <w:lang w:eastAsia="zh-CN"/>
              </w:rPr>
              <w:t>增支</w:t>
            </w:r>
            <w:r>
              <w:rPr>
                <w:rFonts w:hint="default" w:asciiTheme="minorEastAsia" w:hAnsiTheme="minorEastAsia" w:eastAsiaTheme="minorEastAsia" w:cstheme="minorEastAsia"/>
                <w:color w:val="000000"/>
                <w:sz w:val="21"/>
                <w:szCs w:val="21"/>
                <w:lang w:val="en-US" w:eastAsia="zh-CN"/>
              </w:rPr>
              <w:t>1.07</w:t>
            </w:r>
          </w:p>
        </w:tc>
      </w:tr>
      <w:tr>
        <w:tblPrEx>
          <w:tblCellMar>
            <w:top w:w="0" w:type="dxa"/>
            <w:left w:w="0" w:type="dxa"/>
            <w:bottom w:w="0" w:type="dxa"/>
            <w:right w:w="0" w:type="dxa"/>
          </w:tblCellMar>
        </w:tblPrEx>
        <w:trPr>
          <w:trHeight w:val="454" w:hRule="atLeast"/>
        </w:trPr>
        <w:tc>
          <w:tcPr>
            <w:tcW w:w="5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w:t>
            </w:r>
          </w:p>
        </w:tc>
        <w:tc>
          <w:tcPr>
            <w:tcW w:w="1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公务接待费</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0.7</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0.08</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0.06</w:t>
            </w:r>
          </w:p>
        </w:tc>
        <w:tc>
          <w:tcPr>
            <w:tcW w:w="94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114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eastAsia="zh-CN"/>
              </w:rPr>
              <w:t>减支</w:t>
            </w:r>
            <w:r>
              <w:rPr>
                <w:rFonts w:hint="default" w:asciiTheme="minorEastAsia" w:hAnsiTheme="minorEastAsia" w:eastAsiaTheme="minorEastAsia" w:cstheme="minorEastAsia"/>
                <w:color w:val="000000"/>
                <w:sz w:val="21"/>
                <w:szCs w:val="21"/>
                <w:lang w:val="en-US" w:eastAsia="zh-CN"/>
              </w:rPr>
              <w:t>0.08</w:t>
            </w:r>
          </w:p>
        </w:tc>
      </w:tr>
      <w:tr>
        <w:tblPrEx>
          <w:tblCellMar>
            <w:top w:w="0" w:type="dxa"/>
            <w:left w:w="0" w:type="dxa"/>
            <w:bottom w:w="0" w:type="dxa"/>
            <w:right w:w="0" w:type="dxa"/>
          </w:tblCellMar>
        </w:tblPrEx>
        <w:trPr>
          <w:trHeight w:val="454" w:hRule="atLeast"/>
        </w:trPr>
        <w:tc>
          <w:tcPr>
            <w:tcW w:w="5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w:t>
            </w:r>
          </w:p>
        </w:tc>
        <w:tc>
          <w:tcPr>
            <w:tcW w:w="181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spacing w:after="0"/>
              <w:jc w:val="center"/>
              <w:textAlignment w:val="center"/>
              <w:rPr>
                <w:rFonts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合计</w:t>
            </w:r>
          </w:p>
        </w:tc>
        <w:tc>
          <w:tcPr>
            <w:tcW w:w="99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12.7</w:t>
            </w:r>
          </w:p>
        </w:tc>
        <w:tc>
          <w:tcPr>
            <w:tcW w:w="93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5.01</w:t>
            </w:r>
          </w:p>
        </w:tc>
        <w:tc>
          <w:tcPr>
            <w:tcW w:w="102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9.78</w:t>
            </w:r>
          </w:p>
        </w:tc>
        <w:tc>
          <w:tcPr>
            <w:tcW w:w="94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6</w:t>
            </w:r>
          </w:p>
        </w:tc>
        <w:tc>
          <w:tcPr>
            <w:tcW w:w="1158"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ind w:firstLine="420" w:firstLineChars="200"/>
              <w:jc w:val="center"/>
              <w:textAlignment w:val="center"/>
              <w:rPr>
                <w:rFonts w:hint="default" w:asciiTheme="minorEastAsia" w:hAnsiTheme="minorEastAsia" w:eastAsiaTheme="minorEastAsia" w:cstheme="minorEastAsia"/>
                <w:color w:val="000000"/>
                <w:sz w:val="21"/>
                <w:szCs w:val="21"/>
                <w:lang w:val="en-US"/>
              </w:rPr>
            </w:pPr>
            <w:r>
              <w:rPr>
                <w:rFonts w:hint="default" w:asciiTheme="minorEastAsia" w:hAnsiTheme="minorEastAsia" w:eastAsiaTheme="minorEastAsia" w:cstheme="minorEastAsia"/>
                <w:color w:val="000000"/>
                <w:sz w:val="21"/>
                <w:szCs w:val="21"/>
                <w:lang w:val="en-US"/>
              </w:rPr>
              <w:t>0</w:t>
            </w:r>
          </w:p>
        </w:tc>
        <w:tc>
          <w:tcPr>
            <w:tcW w:w="114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pPr>
              <w:spacing w:after="0"/>
              <w:jc w:val="center"/>
              <w:textAlignment w:val="center"/>
              <w:rPr>
                <w:rFonts w:hint="default" w:asciiTheme="minorEastAsia" w:hAnsiTheme="minorEastAsia" w:eastAsiaTheme="minorEastAsia" w:cstheme="minorEastAsia"/>
                <w:color w:val="000000"/>
                <w:sz w:val="21"/>
                <w:szCs w:val="21"/>
                <w:lang w:val="en-US"/>
              </w:rPr>
            </w:pPr>
            <w:r>
              <w:rPr>
                <w:rFonts w:hint="eastAsia" w:asciiTheme="minorEastAsia" w:hAnsiTheme="minorEastAsia" w:eastAsiaTheme="minorEastAsia" w:cstheme="minorEastAsia"/>
                <w:color w:val="000000"/>
                <w:sz w:val="21"/>
                <w:szCs w:val="21"/>
                <w:lang w:val="en-US" w:eastAsia="zh-CN"/>
              </w:rPr>
              <w:t>增支</w:t>
            </w:r>
            <w:r>
              <w:rPr>
                <w:rFonts w:hint="default" w:asciiTheme="minorEastAsia" w:hAnsiTheme="minorEastAsia" w:eastAsiaTheme="minorEastAsia" w:cstheme="minorEastAsia"/>
                <w:color w:val="000000"/>
                <w:sz w:val="21"/>
                <w:szCs w:val="21"/>
                <w:lang w:val="en-US"/>
              </w:rPr>
              <w:t>0.99</w:t>
            </w:r>
          </w:p>
        </w:tc>
      </w:tr>
    </w:tbl>
    <w:p>
      <w:pPr>
        <w:spacing w:after="0" w:line="360" w:lineRule="auto"/>
        <w:ind w:firstLine="640" w:firstLineChars="200"/>
        <w:jc w:val="both"/>
        <w:rPr>
          <w:rFonts w:hint="eastAsia" w:ascii="仿宋_GB2312" w:eastAsia="仿宋_GB2312" w:cs="DengXian-Regular"/>
          <w:sz w:val="32"/>
          <w:szCs w:val="32"/>
        </w:rPr>
      </w:pPr>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1、公务用车：202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年底区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车辆合计</w:t>
      </w:r>
      <w:r>
        <w:rPr>
          <w:rFonts w:hint="default" w:ascii="仿宋_GB2312" w:eastAsia="仿宋_GB2312" w:cs="DengXian-Regular"/>
          <w:sz w:val="32"/>
          <w:szCs w:val="32"/>
          <w:lang w:val="en-US"/>
        </w:rPr>
        <w:t>4</w:t>
      </w:r>
      <w:r>
        <w:rPr>
          <w:rFonts w:hint="eastAsia" w:ascii="仿宋_GB2312" w:eastAsia="仿宋_GB2312" w:cs="DengXian-Regular"/>
          <w:sz w:val="32"/>
          <w:szCs w:val="32"/>
        </w:rPr>
        <w:t>辆，其中机要通信用车</w:t>
      </w:r>
      <w:r>
        <w:rPr>
          <w:rFonts w:hint="default" w:ascii="仿宋_GB2312" w:eastAsia="仿宋_GB2312" w:cs="DengXian-Regular"/>
          <w:sz w:val="32"/>
          <w:szCs w:val="32"/>
          <w:lang w:val="en-US"/>
        </w:rPr>
        <w:t>2</w:t>
      </w:r>
      <w:r>
        <w:rPr>
          <w:rFonts w:hint="eastAsia" w:ascii="仿宋_GB2312" w:eastAsia="仿宋_GB2312" w:cs="DengXian-Regular"/>
          <w:sz w:val="32"/>
          <w:szCs w:val="32"/>
        </w:rPr>
        <w:t>辆，执法执勤用车2辆</w:t>
      </w:r>
      <w:r>
        <w:rPr>
          <w:rFonts w:hint="eastAsia" w:ascii="仿宋_GB2312" w:eastAsia="仿宋_GB2312" w:cs="DengXian-Regular"/>
          <w:sz w:val="32"/>
          <w:szCs w:val="32"/>
          <w:lang w:eastAsia="zh-CN"/>
        </w:rPr>
        <w:t>，</w:t>
      </w:r>
      <w:r>
        <w:rPr>
          <w:rFonts w:hint="eastAsia" w:ascii="仿宋_GB2312" w:eastAsia="仿宋_GB2312" w:cs="DengXian-Regular"/>
          <w:sz w:val="32"/>
          <w:szCs w:val="32"/>
        </w:rPr>
        <w:t>其他用车</w:t>
      </w:r>
      <w:r>
        <w:rPr>
          <w:rFonts w:hint="default" w:ascii="仿宋_GB2312" w:eastAsia="仿宋_GB2312" w:cs="DengXian-Regular"/>
          <w:sz w:val="32"/>
          <w:szCs w:val="32"/>
          <w:lang w:val="en-US"/>
        </w:rPr>
        <w:t>0</w:t>
      </w:r>
      <w:r>
        <w:rPr>
          <w:rFonts w:hint="eastAsia" w:ascii="仿宋_GB2312" w:eastAsia="仿宋_GB2312" w:cs="DengXian-Regular"/>
          <w:sz w:val="32"/>
          <w:szCs w:val="32"/>
        </w:rPr>
        <w:t>辆。202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年公务用车购置及运维费年初预算</w:t>
      </w:r>
      <w:r>
        <w:rPr>
          <w:rFonts w:hint="default" w:ascii="仿宋_GB2312" w:eastAsia="仿宋_GB2312" w:cs="DengXian-Regular"/>
          <w:sz w:val="32"/>
          <w:szCs w:val="32"/>
          <w:lang w:val="en-US"/>
        </w:rPr>
        <w:t>0</w:t>
      </w:r>
      <w:r>
        <w:rPr>
          <w:rFonts w:hint="eastAsia" w:ascii="仿宋_GB2312" w:eastAsia="仿宋_GB2312" w:cs="DengXian-Regular"/>
          <w:sz w:val="32"/>
          <w:szCs w:val="32"/>
        </w:rPr>
        <w:t>万元，全部为公务用车运行维护费，实际支出</w:t>
      </w:r>
      <w:r>
        <w:rPr>
          <w:rFonts w:hint="default" w:ascii="仿宋_GB2312" w:eastAsia="仿宋_GB2312" w:cs="DengXian-Regular"/>
          <w:sz w:val="32"/>
          <w:szCs w:val="32"/>
          <w:lang w:val="en-US"/>
        </w:rPr>
        <w:t>6</w:t>
      </w:r>
      <w:r>
        <w:rPr>
          <w:rFonts w:hint="eastAsia" w:ascii="仿宋_GB2312" w:eastAsia="仿宋_GB2312" w:cs="DengXian-Regular"/>
          <w:sz w:val="32"/>
          <w:szCs w:val="32"/>
        </w:rPr>
        <w:t>万元，比预算减少</w:t>
      </w:r>
      <w:r>
        <w:rPr>
          <w:rFonts w:hint="default" w:ascii="仿宋_GB2312" w:eastAsia="仿宋_GB2312" w:cs="DengXian-Regular"/>
          <w:sz w:val="32"/>
          <w:szCs w:val="32"/>
          <w:lang w:val="en-US"/>
        </w:rPr>
        <w:t>3.72</w:t>
      </w:r>
      <w:r>
        <w:rPr>
          <w:rFonts w:hint="eastAsia" w:ascii="仿宋_GB2312" w:eastAsia="仿宋_GB2312" w:cs="DengXian-Regular"/>
          <w:sz w:val="32"/>
          <w:szCs w:val="32"/>
        </w:rPr>
        <w:t>万元，节约率</w:t>
      </w:r>
      <w:r>
        <w:rPr>
          <w:rFonts w:hint="default" w:ascii="仿宋_GB2312" w:eastAsia="仿宋_GB2312" w:cs="DengXian-Regular"/>
          <w:sz w:val="32"/>
          <w:szCs w:val="32"/>
          <w:lang w:val="en-US"/>
        </w:rPr>
        <w:t>38.27</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年预算数与</w:t>
      </w:r>
      <w:r>
        <w:rPr>
          <w:rFonts w:ascii="仿宋_GB2312" w:eastAsia="仿宋_GB2312" w:cs="DengXian-Regular"/>
          <w:sz w:val="32"/>
          <w:szCs w:val="32"/>
        </w:rPr>
        <w:t>20</w:t>
      </w:r>
      <w:r>
        <w:rPr>
          <w:rFonts w:hint="default" w:ascii="仿宋_GB2312" w:eastAsia="仿宋_GB2312" w:cs="DengXian-Regular"/>
          <w:sz w:val="32"/>
          <w:szCs w:val="32"/>
          <w:lang w:val="en-US"/>
        </w:rPr>
        <w:t>21</w:t>
      </w:r>
      <w:r>
        <w:rPr>
          <w:rFonts w:hint="eastAsia" w:ascii="仿宋_GB2312" w:eastAsia="仿宋_GB2312" w:cs="DengXian-Regular"/>
          <w:sz w:val="32"/>
          <w:szCs w:val="32"/>
        </w:rPr>
        <w:t>年预算相比</w:t>
      </w:r>
      <w:r>
        <w:rPr>
          <w:rFonts w:hint="eastAsia" w:ascii="仿宋_GB2312" w:eastAsia="仿宋_GB2312" w:cs="DengXian-Regular"/>
          <w:sz w:val="32"/>
          <w:szCs w:val="32"/>
          <w:lang w:eastAsia="zh-CN"/>
        </w:rPr>
        <w:t>减少</w:t>
      </w:r>
      <w:r>
        <w:rPr>
          <w:rFonts w:hint="default" w:ascii="仿宋_GB2312" w:eastAsia="仿宋_GB2312" w:cs="DengXian-Regular"/>
          <w:sz w:val="32"/>
          <w:szCs w:val="32"/>
          <w:lang w:val="en-US" w:eastAsia="zh-CN"/>
        </w:rPr>
        <w:t>2.28</w:t>
      </w:r>
      <w:r>
        <w:rPr>
          <w:rFonts w:hint="eastAsia" w:ascii="仿宋_GB2312" w:eastAsia="仿宋_GB2312" w:cs="DengXian-Regular"/>
          <w:sz w:val="32"/>
          <w:szCs w:val="32"/>
        </w:rPr>
        <w:t>，决算数与</w:t>
      </w:r>
      <w:r>
        <w:rPr>
          <w:rFonts w:ascii="仿宋_GB2312" w:eastAsia="仿宋_GB2312" w:cs="DengXian-Regular"/>
          <w:sz w:val="32"/>
          <w:szCs w:val="32"/>
        </w:rPr>
        <w:t>20</w:t>
      </w:r>
      <w:r>
        <w:rPr>
          <w:rFonts w:hint="default" w:ascii="仿宋_GB2312" w:eastAsia="仿宋_GB2312" w:cs="DengXian-Regular"/>
          <w:sz w:val="32"/>
          <w:szCs w:val="32"/>
          <w:lang w:val="en-US"/>
        </w:rPr>
        <w:t>21</w:t>
      </w:r>
      <w:r>
        <w:rPr>
          <w:rFonts w:hint="eastAsia" w:ascii="仿宋_GB2312" w:eastAsia="仿宋_GB2312" w:cs="DengXian-Regular"/>
          <w:sz w:val="32"/>
          <w:szCs w:val="32"/>
        </w:rPr>
        <w:t>年实际支出相比，</w:t>
      </w:r>
      <w:r>
        <w:rPr>
          <w:rFonts w:hint="eastAsia" w:ascii="仿宋_GB2312" w:eastAsia="仿宋_GB2312" w:cs="DengXian-Regular"/>
          <w:sz w:val="32"/>
          <w:szCs w:val="32"/>
          <w:lang w:eastAsia="zh-CN"/>
        </w:rPr>
        <w:t>增加</w:t>
      </w:r>
      <w:r>
        <w:rPr>
          <w:rFonts w:hint="default" w:ascii="仿宋_GB2312" w:eastAsia="仿宋_GB2312" w:cs="DengXian-Regular"/>
          <w:sz w:val="32"/>
          <w:szCs w:val="32"/>
          <w:lang w:val="en-US" w:eastAsia="zh-CN"/>
        </w:rPr>
        <w:t>1.07</w:t>
      </w:r>
      <w:r>
        <w:rPr>
          <w:rFonts w:hint="eastAsia" w:ascii="仿宋_GB2312" w:eastAsia="仿宋_GB2312" w:cs="DengXian-Regular"/>
          <w:sz w:val="32"/>
          <w:szCs w:val="32"/>
        </w:rPr>
        <w:t>万元。</w:t>
      </w:r>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2、公务接待：202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公务接待费年初预算</w:t>
      </w:r>
      <w:r>
        <w:rPr>
          <w:rFonts w:hint="default" w:ascii="仿宋_GB2312" w:eastAsia="仿宋_GB2312" w:cs="DengXian-Regular"/>
          <w:sz w:val="32"/>
          <w:szCs w:val="32"/>
          <w:lang w:val="en-US"/>
        </w:rPr>
        <w:t>0.06</w:t>
      </w:r>
      <w:r>
        <w:rPr>
          <w:rFonts w:hint="eastAsia" w:ascii="仿宋_GB2312" w:eastAsia="仿宋_GB2312" w:cs="DengXian-Regular"/>
          <w:sz w:val="32"/>
          <w:szCs w:val="32"/>
        </w:rPr>
        <w:t>万元，实际支出</w:t>
      </w:r>
      <w:r>
        <w:rPr>
          <w:rFonts w:hint="default" w:ascii="仿宋_GB2312" w:eastAsia="仿宋_GB2312" w:cs="DengXian-Regular"/>
          <w:sz w:val="32"/>
          <w:szCs w:val="32"/>
          <w:lang w:val="en-US"/>
        </w:rPr>
        <w:t>0</w:t>
      </w:r>
      <w:r>
        <w:rPr>
          <w:rFonts w:hint="eastAsia" w:ascii="仿宋_GB2312" w:eastAsia="仿宋_GB2312" w:cs="DengXian-Regular"/>
          <w:sz w:val="32"/>
          <w:szCs w:val="32"/>
        </w:rPr>
        <w:t>万元，比预算减少了</w:t>
      </w:r>
      <w:r>
        <w:rPr>
          <w:rFonts w:hint="default" w:ascii="仿宋_GB2312" w:eastAsia="仿宋_GB2312" w:cs="DengXian-Regular"/>
          <w:sz w:val="32"/>
          <w:szCs w:val="32"/>
          <w:lang w:val="en-US"/>
        </w:rPr>
        <w:t>0.06</w:t>
      </w:r>
      <w:r>
        <w:rPr>
          <w:rFonts w:hint="eastAsia" w:ascii="仿宋_GB2312" w:eastAsia="仿宋_GB2312" w:cs="DengXian-Regular"/>
          <w:sz w:val="32"/>
          <w:szCs w:val="32"/>
        </w:rPr>
        <w:t>万元，节约率</w:t>
      </w:r>
      <w:r>
        <w:rPr>
          <w:rFonts w:hint="default" w:ascii="仿宋_GB2312" w:eastAsia="仿宋_GB2312" w:cs="DengXian-Regular"/>
          <w:sz w:val="32"/>
          <w:szCs w:val="32"/>
          <w:lang w:val="en-US"/>
        </w:rPr>
        <w:t>100</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年预算数与</w:t>
      </w:r>
      <w:r>
        <w:rPr>
          <w:rFonts w:ascii="仿宋_GB2312" w:eastAsia="仿宋_GB2312" w:cs="DengXian-Regular"/>
          <w:sz w:val="32"/>
          <w:szCs w:val="32"/>
        </w:rPr>
        <w:t>20</w:t>
      </w:r>
      <w:r>
        <w:rPr>
          <w:rFonts w:hint="default" w:ascii="仿宋_GB2312" w:eastAsia="仿宋_GB2312" w:cs="DengXian-Regular"/>
          <w:sz w:val="32"/>
          <w:szCs w:val="32"/>
          <w:lang w:val="en-US"/>
        </w:rPr>
        <w:t>21</w:t>
      </w:r>
      <w:r>
        <w:rPr>
          <w:rFonts w:hint="eastAsia" w:ascii="仿宋_GB2312" w:eastAsia="仿宋_GB2312" w:cs="DengXian-Regular"/>
          <w:sz w:val="32"/>
          <w:szCs w:val="32"/>
        </w:rPr>
        <w:t>年预算相比</w:t>
      </w:r>
      <w:r>
        <w:rPr>
          <w:rFonts w:hint="eastAsia" w:ascii="仿宋_GB2312" w:eastAsia="仿宋_GB2312" w:cs="DengXian-Regular"/>
          <w:sz w:val="32"/>
          <w:szCs w:val="32"/>
          <w:lang w:eastAsia="zh-CN"/>
        </w:rPr>
        <w:t>减少</w:t>
      </w:r>
      <w:r>
        <w:rPr>
          <w:rFonts w:hint="default" w:ascii="仿宋_GB2312" w:eastAsia="仿宋_GB2312" w:cs="DengXian-Regular"/>
          <w:sz w:val="32"/>
          <w:szCs w:val="32"/>
          <w:lang w:val="en-US" w:eastAsia="zh-CN"/>
        </w:rPr>
        <w:t>0.64</w:t>
      </w:r>
      <w:r>
        <w:rPr>
          <w:rFonts w:hint="eastAsia" w:ascii="仿宋_GB2312" w:eastAsia="仿宋_GB2312" w:cs="DengXian-Regular"/>
          <w:sz w:val="32"/>
          <w:szCs w:val="32"/>
          <w:lang w:val="en-US" w:eastAsia="zh-CN"/>
        </w:rPr>
        <w:t>万元</w:t>
      </w:r>
      <w:r>
        <w:rPr>
          <w:rFonts w:hint="eastAsia" w:ascii="仿宋_GB2312" w:eastAsia="仿宋_GB2312" w:cs="DengXian-Regular"/>
          <w:sz w:val="32"/>
          <w:szCs w:val="32"/>
        </w:rPr>
        <w:t>，决算数与</w:t>
      </w:r>
      <w:r>
        <w:rPr>
          <w:rFonts w:ascii="仿宋_GB2312" w:eastAsia="仿宋_GB2312" w:cs="DengXian-Regular"/>
          <w:sz w:val="32"/>
          <w:szCs w:val="32"/>
        </w:rPr>
        <w:t>20</w:t>
      </w:r>
      <w:r>
        <w:rPr>
          <w:rFonts w:hint="default" w:ascii="仿宋_GB2312" w:eastAsia="仿宋_GB2312" w:cs="DengXian-Regular"/>
          <w:sz w:val="32"/>
          <w:szCs w:val="32"/>
          <w:lang w:val="en-US"/>
        </w:rPr>
        <w:t>21</w:t>
      </w:r>
      <w:r>
        <w:rPr>
          <w:rFonts w:hint="eastAsia" w:ascii="仿宋_GB2312" w:eastAsia="仿宋_GB2312" w:cs="DengXian-Regular"/>
          <w:sz w:val="32"/>
          <w:szCs w:val="32"/>
        </w:rPr>
        <w:t>年实际支出相比，</w:t>
      </w:r>
      <w:r>
        <w:rPr>
          <w:rFonts w:hint="eastAsia" w:ascii="仿宋_GB2312" w:eastAsia="仿宋_GB2312" w:cs="DengXian-Regular"/>
          <w:sz w:val="32"/>
          <w:szCs w:val="32"/>
          <w:lang w:eastAsia="zh-CN"/>
        </w:rPr>
        <w:t>减少</w:t>
      </w:r>
      <w:r>
        <w:rPr>
          <w:rFonts w:hint="default" w:ascii="仿宋_GB2312" w:eastAsia="仿宋_GB2312" w:cs="DengXian-Regular"/>
          <w:sz w:val="32"/>
          <w:szCs w:val="32"/>
          <w:lang w:val="en-US" w:eastAsia="zh-CN"/>
        </w:rPr>
        <w:t>0.08</w:t>
      </w:r>
      <w:r>
        <w:rPr>
          <w:rFonts w:hint="eastAsia" w:ascii="仿宋_GB2312" w:eastAsia="仿宋_GB2312" w:cs="DengXian-Regular"/>
          <w:sz w:val="32"/>
          <w:szCs w:val="32"/>
        </w:rPr>
        <w:t>万元。</w:t>
      </w:r>
    </w:p>
    <w:p>
      <w:pPr>
        <w:pStyle w:val="3"/>
        <w:spacing w:before="0" w:after="0" w:line="360" w:lineRule="auto"/>
        <w:ind w:firstLine="643" w:firstLineChars="200"/>
        <w:rPr>
          <w:rFonts w:ascii="黑体" w:hAnsiTheme="minorEastAsia"/>
          <w:u w:color="000000"/>
        </w:rPr>
      </w:pPr>
      <w:bookmarkStart w:id="16" w:name="_Toc20454"/>
      <w:bookmarkStart w:id="17" w:name="_Toc492652770"/>
      <w:bookmarkStart w:id="18" w:name="_Toc465149504"/>
      <w:r>
        <w:rPr>
          <w:rFonts w:hint="eastAsia" w:ascii="黑体"/>
        </w:rPr>
        <w:t>二、部门整体支出绩效评价指标体系设定情况</w:t>
      </w:r>
      <w:bookmarkEnd w:id="16"/>
      <w:bookmarkEnd w:id="17"/>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根据绩效预算管理改革的有关政策和文件规定，绩效评价工作组以绩效预算架构为指导，以部门预算文本及相关资料为基础，制定了部门整体支出绩效评价指标体系。</w:t>
      </w:r>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部门整体支出绩效评价指标体系设置一级指标4个，二级指标7个，三级指标27个（详见附件3）。指标体系设定满分100分，绩效评价分值≥90为“优”；80≤分值＜90为“良”；60≤分值＜80为“中”；60分以下为“差”。评价指标体系具体构成如下：</w:t>
      </w:r>
      <w:bookmarkStart w:id="19" w:name="_Toc492652771"/>
      <w:bookmarkStart w:id="20" w:name="_Toc9569"/>
    </w:p>
    <w:p>
      <w:pPr>
        <w:spacing w:after="0" w:line="360" w:lineRule="auto"/>
        <w:ind w:firstLine="643" w:firstLineChars="200"/>
        <w:jc w:val="both"/>
        <w:rPr>
          <w:rFonts w:ascii="楷体_GB2312" w:eastAsia="楷体_GB2312" w:cs="Times New Roman" w:hAnsiTheme="minorEastAsia"/>
          <w:b/>
          <w:bCs/>
          <w:kern w:val="2"/>
          <w:sz w:val="32"/>
          <w:szCs w:val="32"/>
          <w:u w:color="000000"/>
        </w:rPr>
      </w:pPr>
      <w:r>
        <w:rPr>
          <w:rFonts w:hint="eastAsia" w:ascii="楷体_GB2312" w:eastAsia="楷体_GB2312" w:cs="Times New Roman" w:hAnsiTheme="minorEastAsia"/>
          <w:b/>
          <w:bCs/>
          <w:kern w:val="2"/>
          <w:sz w:val="32"/>
          <w:szCs w:val="32"/>
          <w:u w:color="000000"/>
        </w:rPr>
        <w:t>（一）投入（</w:t>
      </w:r>
      <w:r>
        <w:rPr>
          <w:rFonts w:hint="default" w:ascii="楷体_GB2312" w:eastAsia="楷体_GB2312" w:cs="Times New Roman" w:hAnsiTheme="minorEastAsia"/>
          <w:b/>
          <w:bCs/>
          <w:kern w:val="2"/>
          <w:sz w:val="32"/>
          <w:szCs w:val="32"/>
          <w:u w:color="000000"/>
          <w:lang w:val="en-US"/>
        </w:rPr>
        <w:t>18</w:t>
      </w:r>
      <w:r>
        <w:rPr>
          <w:rFonts w:hint="eastAsia" w:ascii="楷体_GB2312" w:eastAsia="楷体_GB2312" w:cs="Times New Roman" w:hAnsiTheme="minorEastAsia"/>
          <w:b/>
          <w:bCs/>
          <w:kern w:val="2"/>
          <w:sz w:val="32"/>
          <w:szCs w:val="32"/>
          <w:u w:color="000000"/>
        </w:rPr>
        <w:t>分）</w:t>
      </w:r>
      <w:bookmarkEnd w:id="19"/>
      <w:bookmarkEnd w:id="20"/>
    </w:p>
    <w:p>
      <w:pPr>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主要反映绩效目标设定是否合理、科学，绩效指标的制定是否清晰、可衡量，预算编制是否完整，项目预算是否细化及在职人员控制情况。</w:t>
      </w:r>
    </w:p>
    <w:p>
      <w:pPr>
        <w:keepNext/>
        <w:widowControl w:val="0"/>
        <w:spacing w:after="0" w:line="360" w:lineRule="auto"/>
        <w:ind w:firstLine="640" w:firstLineChars="200"/>
        <w:jc w:val="both"/>
        <w:rPr>
          <w:rFonts w:ascii="仿宋_GB2312" w:eastAsia="仿宋_GB2312" w:cs="DengXian-Regular"/>
          <w:sz w:val="32"/>
          <w:szCs w:val="32"/>
        </w:rPr>
      </w:pPr>
      <w:r>
        <w:rPr>
          <w:rFonts w:hint="eastAsia" w:ascii="仿宋_GB2312" w:eastAsia="仿宋_GB2312" w:cs="DengXian-Regular"/>
          <w:sz w:val="32"/>
          <w:szCs w:val="32"/>
        </w:rPr>
        <w:t>投入指标指标分值为</w:t>
      </w:r>
      <w:r>
        <w:rPr>
          <w:rFonts w:hint="default" w:ascii="仿宋_GB2312" w:eastAsia="仿宋_GB2312" w:cs="DengXian-Regular"/>
          <w:sz w:val="32"/>
          <w:szCs w:val="32"/>
          <w:lang w:val="en-US"/>
        </w:rPr>
        <w:t>18</w:t>
      </w:r>
      <w:r>
        <w:rPr>
          <w:rFonts w:hint="eastAsia" w:ascii="仿宋_GB2312" w:eastAsia="仿宋_GB2312" w:cs="DengXian-Regular"/>
          <w:sz w:val="32"/>
          <w:szCs w:val="32"/>
        </w:rPr>
        <w:t>分，下设2个二级指标：绩效目标设定和预算配置，</w:t>
      </w:r>
      <w:r>
        <w:rPr>
          <w:rFonts w:hint="default" w:ascii="仿宋_GB2312" w:eastAsia="仿宋_GB2312" w:cs="DengXian-Regular"/>
          <w:sz w:val="32"/>
          <w:szCs w:val="32"/>
          <w:lang w:val="en-US"/>
        </w:rPr>
        <w:t>5</w:t>
      </w:r>
      <w:r>
        <w:rPr>
          <w:rFonts w:hint="eastAsia" w:ascii="仿宋_GB2312" w:eastAsia="仿宋_GB2312" w:cs="DengXian-Regular"/>
          <w:sz w:val="32"/>
          <w:szCs w:val="32"/>
        </w:rPr>
        <w:t>个三级指标：绩效目标合理性、绩效指标明确性、在职人员控制率</w:t>
      </w:r>
      <w:r>
        <w:rPr>
          <w:rFonts w:hint="eastAsia" w:ascii="仿宋_GB2312" w:eastAsia="仿宋_GB2312" w:cs="DengXian-Regular"/>
          <w:sz w:val="32"/>
          <w:szCs w:val="32"/>
          <w:lang w:eastAsia="zh-CN"/>
        </w:rPr>
        <w:t>、“三公经费”变动率、重点支出安排率</w:t>
      </w:r>
      <w:r>
        <w:rPr>
          <w:rFonts w:hint="eastAsia" w:ascii="仿宋_GB2312" w:eastAsia="仿宋_GB2312" w:cs="DengXian-Regular"/>
          <w:sz w:val="32"/>
          <w:szCs w:val="32"/>
        </w:rPr>
        <w:t>。</w:t>
      </w:r>
    </w:p>
    <w:p>
      <w:pPr>
        <w:pStyle w:val="4"/>
        <w:spacing w:before="0" w:after="0"/>
        <w:ind w:firstLine="643" w:firstLineChars="200"/>
        <w:jc w:val="both"/>
        <w:rPr>
          <w:rFonts w:ascii="楷体" w:hAnsi="楷体" w:eastAsia="楷体"/>
          <w:sz w:val="32"/>
        </w:rPr>
      </w:pPr>
      <w:bookmarkStart w:id="21" w:name="_Toc30221"/>
      <w:bookmarkStart w:id="22" w:name="_Toc492652772"/>
      <w:r>
        <w:rPr>
          <w:rFonts w:hint="eastAsia" w:ascii="楷体" w:hAnsi="楷体" w:eastAsia="楷体"/>
          <w:kern w:val="2"/>
          <w:sz w:val="32"/>
        </w:rPr>
        <w:t>（二）过程（4</w:t>
      </w:r>
      <w:r>
        <w:rPr>
          <w:rFonts w:hint="default" w:ascii="楷体" w:hAnsi="楷体" w:eastAsia="楷体"/>
          <w:kern w:val="2"/>
          <w:sz w:val="32"/>
          <w:lang w:val="en-US"/>
        </w:rPr>
        <w:t>6</w:t>
      </w:r>
      <w:r>
        <w:rPr>
          <w:rFonts w:hint="eastAsia" w:ascii="楷体" w:hAnsi="楷体" w:eastAsia="楷体"/>
          <w:kern w:val="2"/>
          <w:sz w:val="32"/>
        </w:rPr>
        <w:t>分）</w:t>
      </w:r>
      <w:bookmarkEnd w:id="21"/>
      <w:bookmarkEnd w:id="22"/>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主要反映预算调整、收入及支出完成情况，“三公”经费、政府采购执行情况，财务管理是否规范、资金使用是否合规，决算真实性。</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过程指标指标分值为</w:t>
      </w:r>
      <w:r>
        <w:rPr>
          <w:rFonts w:hint="default" w:ascii="仿宋_GB2312" w:eastAsia="仿宋_GB2312" w:cs="DengXian-Regular"/>
          <w:sz w:val="32"/>
          <w:szCs w:val="32"/>
          <w:lang w:val="en-US"/>
        </w:rPr>
        <w:t>46</w:t>
      </w:r>
      <w:r>
        <w:rPr>
          <w:rFonts w:hint="eastAsia" w:ascii="仿宋_GB2312" w:eastAsia="仿宋_GB2312" w:cs="DengXian-Regular"/>
          <w:sz w:val="32"/>
          <w:szCs w:val="32"/>
        </w:rPr>
        <w:t>分，下设3个二级指标：预算执行、预算管理和</w:t>
      </w:r>
      <w:r>
        <w:rPr>
          <w:rFonts w:hint="eastAsia" w:ascii="仿宋_GB2312" w:eastAsia="仿宋_GB2312" w:cs="DengXian-Regular"/>
          <w:sz w:val="32"/>
          <w:szCs w:val="32"/>
          <w:lang w:eastAsia="zh-CN"/>
        </w:rPr>
        <w:t>资产管理</w:t>
      </w:r>
      <w:r>
        <w:rPr>
          <w:rFonts w:hint="eastAsia" w:ascii="仿宋_GB2312" w:eastAsia="仿宋_GB2312" w:cs="DengXian-Regular"/>
          <w:sz w:val="32"/>
          <w:szCs w:val="32"/>
        </w:rPr>
        <w:t>，1</w:t>
      </w:r>
      <w:r>
        <w:rPr>
          <w:rFonts w:hint="default" w:ascii="仿宋_GB2312" w:eastAsia="仿宋_GB2312" w:cs="DengXian-Regular"/>
          <w:sz w:val="32"/>
          <w:szCs w:val="32"/>
          <w:lang w:val="en-US"/>
        </w:rPr>
        <w:t>5</w:t>
      </w:r>
      <w:r>
        <w:rPr>
          <w:rFonts w:hint="eastAsia" w:ascii="仿宋_GB2312" w:eastAsia="仿宋_GB2312" w:cs="DengXian-Regular"/>
          <w:sz w:val="32"/>
          <w:szCs w:val="32"/>
        </w:rPr>
        <w:t>个三级指标：预算调整率、支付进度率、预算完成率、结转结余率、结转结余变动率、公用经费控制率、“三公”经费控制率、政府采购执行率、管理制度健全性、资金使用合规性、预决算信息公开性、基础信息完整性、管理制度健全性、资产管理安全性、固定资产利用率。</w:t>
      </w:r>
    </w:p>
    <w:p>
      <w:pPr>
        <w:pStyle w:val="4"/>
        <w:spacing w:before="0" w:after="0"/>
        <w:ind w:firstLine="643" w:firstLineChars="200"/>
        <w:jc w:val="both"/>
        <w:rPr>
          <w:rFonts w:ascii="楷体" w:hAnsi="楷体" w:eastAsia="楷体"/>
          <w:kern w:val="2"/>
          <w:sz w:val="32"/>
        </w:rPr>
      </w:pPr>
      <w:bookmarkStart w:id="23" w:name="_Toc492652773"/>
      <w:bookmarkStart w:id="24" w:name="_Toc24932"/>
      <w:r>
        <w:rPr>
          <w:rFonts w:hint="eastAsia" w:ascii="楷体" w:hAnsi="楷体" w:eastAsia="楷体"/>
          <w:kern w:val="2"/>
          <w:sz w:val="32"/>
        </w:rPr>
        <w:t>（三）产出（2</w:t>
      </w:r>
      <w:r>
        <w:rPr>
          <w:rFonts w:hint="default" w:ascii="楷体" w:hAnsi="楷体" w:eastAsia="楷体"/>
          <w:kern w:val="2"/>
          <w:sz w:val="32"/>
          <w:lang w:val="en-US"/>
        </w:rPr>
        <w:t>0</w:t>
      </w:r>
      <w:r>
        <w:rPr>
          <w:rFonts w:hint="eastAsia" w:ascii="楷体" w:hAnsi="楷体" w:eastAsia="楷体"/>
          <w:kern w:val="2"/>
          <w:sz w:val="32"/>
        </w:rPr>
        <w:t>分）</w:t>
      </w:r>
      <w:bookmarkEnd w:id="23"/>
      <w:bookmarkEnd w:id="24"/>
    </w:p>
    <w:p>
      <w:pPr>
        <w:spacing w:after="0" w:line="360" w:lineRule="auto"/>
        <w:ind w:firstLine="640" w:firstLineChars="200"/>
        <w:jc w:val="both"/>
        <w:textAlignment w:val="baseline"/>
        <w:rPr>
          <w:rFonts w:ascii="仿宋_GB2312" w:eastAsia="仿宋_GB2312" w:cs="DengXian-Regular"/>
          <w:sz w:val="32"/>
          <w:szCs w:val="32"/>
        </w:rPr>
      </w:pPr>
      <w:bookmarkStart w:id="25" w:name="_Toc492652774"/>
      <w:r>
        <w:rPr>
          <w:rFonts w:hint="eastAsia" w:ascii="仿宋_GB2312" w:eastAsia="仿宋_GB2312" w:cs="DengXian-Regular"/>
          <w:sz w:val="32"/>
          <w:szCs w:val="32"/>
        </w:rPr>
        <w:t>主要反映部门202</w:t>
      </w:r>
      <w:r>
        <w:rPr>
          <w:rFonts w:hint="default" w:ascii="仿宋_GB2312" w:eastAsia="仿宋_GB2312" w:cs="DengXian-Regular"/>
          <w:sz w:val="32"/>
          <w:szCs w:val="32"/>
          <w:lang w:val="en-US"/>
        </w:rPr>
        <w:t>1</w:t>
      </w:r>
      <w:r>
        <w:rPr>
          <w:rFonts w:hint="eastAsia" w:ascii="仿宋_GB2312" w:eastAsia="仿宋_GB2312" w:cs="DengXian-Regular"/>
          <w:sz w:val="32"/>
          <w:szCs w:val="32"/>
        </w:rPr>
        <w:t>年在履职尽责过程中，目标工作任务的完成情况。</w:t>
      </w:r>
    </w:p>
    <w:p>
      <w:pPr>
        <w:pageBreakBefore w:val="0"/>
        <w:widowControl w:val="0"/>
        <w:kinsoku/>
        <w:wordWrap/>
        <w:overflowPunct/>
        <w:topLinePunct w:val="0"/>
        <w:autoSpaceDE/>
        <w:autoSpaceDN/>
        <w:bidi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产出指标分值为2</w:t>
      </w:r>
      <w:r>
        <w:rPr>
          <w:rFonts w:hint="default" w:ascii="仿宋_GB2312" w:eastAsia="仿宋_GB2312" w:cs="DengXian-Regular"/>
          <w:sz w:val="32"/>
          <w:szCs w:val="32"/>
          <w:lang w:val="en-US"/>
        </w:rPr>
        <w:t>0</w:t>
      </w:r>
      <w:r>
        <w:rPr>
          <w:rFonts w:hint="eastAsia" w:ascii="仿宋_GB2312" w:eastAsia="仿宋_GB2312" w:cs="DengXian-Regular"/>
          <w:sz w:val="32"/>
          <w:szCs w:val="32"/>
        </w:rPr>
        <w:t>分，下设1个二级指标：</w:t>
      </w:r>
      <w:r>
        <w:rPr>
          <w:rFonts w:hint="eastAsia" w:ascii="仿宋_GB2312" w:eastAsia="仿宋_GB2312" w:cs="DengXian-Regular"/>
          <w:sz w:val="32"/>
          <w:szCs w:val="32"/>
          <w:lang w:eastAsia="zh-CN"/>
        </w:rPr>
        <w:t>职责</w:t>
      </w:r>
      <w:r>
        <w:rPr>
          <w:rFonts w:hint="eastAsia" w:ascii="仿宋_GB2312" w:eastAsia="仿宋_GB2312" w:cs="DengXian-Regular"/>
          <w:sz w:val="32"/>
          <w:szCs w:val="32"/>
        </w:rPr>
        <w:t>履行，</w:t>
      </w:r>
      <w:r>
        <w:rPr>
          <w:rFonts w:hint="default" w:ascii="仿宋_GB2312" w:eastAsia="仿宋_GB2312" w:cs="DengXian-Regular"/>
          <w:sz w:val="32"/>
          <w:szCs w:val="32"/>
          <w:lang w:val="en-US"/>
        </w:rPr>
        <w:t>4</w:t>
      </w:r>
      <w:r>
        <w:rPr>
          <w:rFonts w:hint="eastAsia" w:ascii="仿宋_GB2312" w:eastAsia="仿宋_GB2312" w:cs="DengXian-Regular"/>
          <w:sz w:val="32"/>
          <w:szCs w:val="32"/>
        </w:rPr>
        <w:t>个三级指标：</w:t>
      </w:r>
      <w:r>
        <w:rPr>
          <w:rFonts w:hint="eastAsia" w:ascii="仿宋_GB2312" w:eastAsia="仿宋_GB2312" w:cs="DengXian-Regular"/>
          <w:sz w:val="32"/>
          <w:szCs w:val="32"/>
          <w:lang w:eastAsia="zh-CN"/>
        </w:rPr>
        <w:t>实际完成</w:t>
      </w:r>
      <w:r>
        <w:rPr>
          <w:rFonts w:hint="eastAsia" w:ascii="仿宋_GB2312" w:eastAsia="仿宋_GB2312" w:cs="DengXian-Regular"/>
          <w:sz w:val="32"/>
          <w:szCs w:val="32"/>
        </w:rPr>
        <w:t>率、</w:t>
      </w:r>
      <w:r>
        <w:rPr>
          <w:rFonts w:hint="eastAsia" w:ascii="仿宋_GB2312" w:eastAsia="仿宋_GB2312" w:cs="DengXian-Regular"/>
          <w:sz w:val="32"/>
          <w:szCs w:val="32"/>
          <w:lang w:eastAsia="zh-CN"/>
        </w:rPr>
        <w:t>完成及时率、质量达标率、重点工作办结</w:t>
      </w:r>
      <w:r>
        <w:rPr>
          <w:rFonts w:hint="eastAsia" w:ascii="仿宋_GB2312" w:eastAsia="仿宋_GB2312" w:cs="DengXian-Regular"/>
          <w:sz w:val="32"/>
          <w:szCs w:val="32"/>
        </w:rPr>
        <w:t>率。</w:t>
      </w:r>
    </w:p>
    <w:p>
      <w:pPr>
        <w:pStyle w:val="4"/>
        <w:pageBreakBefore w:val="0"/>
        <w:widowControl w:val="0"/>
        <w:kinsoku/>
        <w:wordWrap/>
        <w:overflowPunct/>
        <w:topLinePunct w:val="0"/>
        <w:autoSpaceDE/>
        <w:autoSpaceDN/>
        <w:bidi w:val="0"/>
        <w:spacing w:before="0" w:after="0"/>
        <w:ind w:firstLine="643" w:firstLineChars="200"/>
        <w:jc w:val="both"/>
        <w:textAlignment w:val="baseline"/>
        <w:rPr>
          <w:rFonts w:ascii="楷体_GB2312" w:eastAsia="楷体_GB2312" w:hAnsiTheme="minorEastAsia"/>
          <w:sz w:val="32"/>
        </w:rPr>
      </w:pPr>
      <w:bookmarkStart w:id="26" w:name="_Toc21821"/>
      <w:r>
        <w:rPr>
          <w:rFonts w:hint="eastAsia" w:ascii="楷体_GB2312" w:eastAsia="楷体_GB2312" w:hAnsiTheme="minorEastAsia"/>
          <w:kern w:val="2"/>
          <w:sz w:val="32"/>
        </w:rPr>
        <w:t>（四）效果（1</w:t>
      </w:r>
      <w:r>
        <w:rPr>
          <w:rFonts w:hint="default" w:ascii="楷体_GB2312" w:eastAsia="楷体_GB2312" w:hAnsiTheme="minorEastAsia"/>
          <w:kern w:val="2"/>
          <w:sz w:val="32"/>
          <w:lang w:val="en-US"/>
        </w:rPr>
        <w:t>6</w:t>
      </w:r>
      <w:r>
        <w:rPr>
          <w:rFonts w:hint="eastAsia" w:ascii="楷体_GB2312" w:eastAsia="楷体_GB2312" w:hAnsiTheme="minorEastAsia"/>
          <w:kern w:val="2"/>
          <w:sz w:val="32"/>
        </w:rPr>
        <w:t>分）</w:t>
      </w:r>
      <w:bookmarkEnd w:id="25"/>
      <w:bookmarkEnd w:id="26"/>
    </w:p>
    <w:p>
      <w:pPr>
        <w:pageBreakBefore w:val="0"/>
        <w:widowControl w:val="0"/>
        <w:kinsoku/>
        <w:wordWrap/>
        <w:overflowPunct/>
        <w:topLinePunct w:val="0"/>
        <w:autoSpaceDE/>
        <w:autoSpaceDN/>
        <w:bidi w:val="0"/>
        <w:spacing w:after="0" w:line="360" w:lineRule="auto"/>
        <w:ind w:firstLine="640" w:firstLineChars="200"/>
        <w:jc w:val="both"/>
        <w:textAlignment w:val="baseline"/>
        <w:rPr>
          <w:rFonts w:ascii="仿宋_GB2312" w:eastAsia="仿宋_GB2312" w:cs="DengXian-Regular"/>
          <w:sz w:val="32"/>
          <w:szCs w:val="32"/>
        </w:rPr>
      </w:pPr>
      <w:bookmarkStart w:id="27" w:name="_Toc492652775"/>
      <w:r>
        <w:rPr>
          <w:rFonts w:hint="eastAsia" w:ascii="仿宋_GB2312" w:eastAsia="仿宋_GB2312" w:cs="DengXian-Regular"/>
          <w:sz w:val="32"/>
          <w:szCs w:val="32"/>
        </w:rPr>
        <w:t>主要反映部门履行职责对社会发展所带来的直接或间接效益及社会公众或部门的服务对象对部门履职效果的满意程度。</w:t>
      </w:r>
    </w:p>
    <w:p>
      <w:pPr>
        <w:spacing w:after="0" w:line="360" w:lineRule="auto"/>
        <w:ind w:firstLine="640" w:firstLineChars="200"/>
        <w:jc w:val="both"/>
        <w:textAlignment w:val="baseline"/>
        <w:rPr>
          <w:rFonts w:ascii="仿宋_GB2312" w:eastAsia="仿宋_GB2312" w:cs="DengXian-Regular"/>
          <w:sz w:val="32"/>
          <w:szCs w:val="32"/>
        </w:rPr>
      </w:pPr>
      <w:bookmarkStart w:id="28" w:name="_Toc11842"/>
      <w:r>
        <w:rPr>
          <w:rFonts w:hint="eastAsia" w:ascii="仿宋_GB2312" w:eastAsia="仿宋_GB2312" w:cs="DengXian-Regular"/>
          <w:sz w:val="32"/>
          <w:szCs w:val="32"/>
        </w:rPr>
        <w:t>效果指标指标分值16分，下设1个二级指标：履职效益，3个三级指标：经济效益、社会效益和服务对象满意度。</w:t>
      </w:r>
    </w:p>
    <w:p>
      <w:pPr>
        <w:pStyle w:val="3"/>
        <w:spacing w:before="0" w:after="0" w:line="360" w:lineRule="auto"/>
        <w:ind w:firstLine="643" w:firstLineChars="200"/>
        <w:rPr>
          <w:rFonts w:ascii="黑体"/>
        </w:rPr>
      </w:pPr>
      <w:r>
        <w:rPr>
          <w:rFonts w:hint="eastAsia" w:ascii="黑体"/>
        </w:rPr>
        <w:t>三、综合绩效评价工作情况</w:t>
      </w:r>
      <w:bookmarkEnd w:id="18"/>
      <w:bookmarkEnd w:id="27"/>
      <w:bookmarkEnd w:id="28"/>
      <w:bookmarkStart w:id="29" w:name="_Toc492652776"/>
      <w:bookmarkStart w:id="30" w:name="_Toc465149505"/>
    </w:p>
    <w:p>
      <w:pPr>
        <w:pStyle w:val="4"/>
        <w:spacing w:before="0" w:after="0"/>
        <w:ind w:firstLine="643" w:firstLineChars="200"/>
        <w:jc w:val="both"/>
        <w:rPr>
          <w:rFonts w:ascii="楷体_GB2312" w:eastAsia="楷体_GB2312" w:hAnsiTheme="minorEastAsia"/>
          <w:sz w:val="32"/>
        </w:rPr>
      </w:pPr>
      <w:bookmarkStart w:id="31" w:name="_Toc17138"/>
      <w:r>
        <w:rPr>
          <w:rFonts w:hint="eastAsia" w:ascii="楷体_GB2312" w:eastAsia="楷体_GB2312" w:hAnsiTheme="minorEastAsia"/>
          <w:kern w:val="2"/>
          <w:sz w:val="32"/>
        </w:rPr>
        <w:t>（一）绩效评价目的</w:t>
      </w:r>
      <w:bookmarkEnd w:id="29"/>
      <w:bookmarkEnd w:id="30"/>
      <w:bookmarkEnd w:id="31"/>
    </w:p>
    <w:p>
      <w:pPr>
        <w:spacing w:after="0" w:line="360" w:lineRule="auto"/>
        <w:ind w:firstLine="640" w:firstLineChars="200"/>
        <w:jc w:val="both"/>
        <w:textAlignment w:val="baseline"/>
        <w:rPr>
          <w:rFonts w:ascii="仿宋_GB2312" w:eastAsia="仿宋_GB2312" w:cs="DengXian-Regular"/>
          <w:sz w:val="32"/>
          <w:szCs w:val="32"/>
        </w:rPr>
      </w:pPr>
      <w:bookmarkStart w:id="32" w:name="_Toc465149506"/>
      <w:bookmarkStart w:id="33" w:name="_Toc492652777"/>
      <w:bookmarkStart w:id="34" w:name="_Toc11607"/>
      <w:r>
        <w:rPr>
          <w:rFonts w:hint="eastAsia" w:ascii="仿宋_GB2312" w:eastAsia="仿宋_GB2312" w:cs="DengXian-Regular"/>
          <w:sz w:val="32"/>
          <w:szCs w:val="32"/>
        </w:rPr>
        <w:t>通过对区工信局202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年部门整体支出绩效评价，了解部门整体资金预算情况、实际收支情况及结转结余情况；绩效目标和指标的设置及完成情况；部门履职对社会发展所带来的直接或间接影响及服务对象对部门履职效果的满意程度。</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部门整体支出绩效评价工作促使相关部门根据绩效评价过程中发现的问题，及时整改并总结经验，提高部门管理水平，牢固树立预算绩效理念，强化部门支出责任，提高预算执行效率和财政资金使用效益。</w:t>
      </w:r>
    </w:p>
    <w:p>
      <w:pPr>
        <w:pStyle w:val="4"/>
        <w:spacing w:before="0" w:after="0"/>
        <w:ind w:firstLine="643" w:firstLineChars="200"/>
        <w:jc w:val="both"/>
        <w:rPr>
          <w:rFonts w:ascii="楷体_GB2312" w:eastAsia="楷体_GB2312" w:hAnsiTheme="minorEastAsia"/>
          <w:kern w:val="2"/>
          <w:sz w:val="32"/>
        </w:rPr>
      </w:pPr>
      <w:r>
        <w:rPr>
          <w:rFonts w:hint="eastAsia" w:ascii="楷体_GB2312" w:eastAsia="楷体_GB2312" w:hAnsiTheme="minorEastAsia"/>
          <w:kern w:val="2"/>
          <w:sz w:val="32"/>
        </w:rPr>
        <w:t>（二）绩效评价依据</w:t>
      </w:r>
      <w:bookmarkEnd w:id="32"/>
      <w:bookmarkEnd w:id="33"/>
      <w:bookmarkEnd w:id="34"/>
    </w:p>
    <w:p>
      <w:pPr>
        <w:spacing w:after="0" w:line="360" w:lineRule="auto"/>
        <w:ind w:firstLine="640" w:firstLineChars="200"/>
        <w:jc w:val="both"/>
        <w:textAlignment w:val="baseline"/>
        <w:rPr>
          <w:rFonts w:ascii="仿宋_GB2312" w:eastAsia="仿宋_GB2312" w:cs="DengXian-Regular"/>
          <w:sz w:val="32"/>
          <w:szCs w:val="32"/>
        </w:rPr>
      </w:pPr>
      <w:bookmarkStart w:id="35" w:name="_Toc465149507"/>
      <w:r>
        <w:rPr>
          <w:rFonts w:hint="eastAsia" w:ascii="仿宋_GB2312" w:eastAsia="仿宋_GB2312" w:cs="DengXian-Regular"/>
          <w:sz w:val="32"/>
          <w:szCs w:val="32"/>
        </w:rPr>
        <w:t>1.</w:t>
      </w:r>
      <w:r>
        <w:rPr>
          <w:rFonts w:ascii="仿宋_GB2312" w:eastAsia="仿宋_GB2312" w:cs="DengXian-Regular"/>
          <w:sz w:val="32"/>
          <w:szCs w:val="32"/>
        </w:rPr>
        <w:t>《中华人民共和国预算法》；</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2.中共中央国务院《关于全面实施预算绩效管理的意见》（中发〔2018〕34号）；</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w:t>
      </w:r>
      <w:r>
        <w:rPr>
          <w:rFonts w:ascii="仿宋_GB2312" w:eastAsia="仿宋_GB2312" w:cs="DengXian-Regular"/>
          <w:sz w:val="32"/>
          <w:szCs w:val="32"/>
        </w:rPr>
        <w:t>《河北省财政支出绩效评价管理办法》（冀财预</w:t>
      </w:r>
      <w:r>
        <w:rPr>
          <w:rFonts w:hint="eastAsia" w:ascii="仿宋_GB2312" w:eastAsia="仿宋_GB2312" w:cs="DengXian-Regular"/>
          <w:sz w:val="32"/>
          <w:szCs w:val="32"/>
        </w:rPr>
        <w:t xml:space="preserve">〔2011〕68号）； </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4.中共河北省委河北省人民政府</w:t>
      </w:r>
      <w:r>
        <w:rPr>
          <w:rFonts w:ascii="仿宋_GB2312" w:eastAsia="仿宋_GB2312" w:cs="DengXian-Regular"/>
          <w:sz w:val="32"/>
          <w:szCs w:val="32"/>
        </w:rPr>
        <w:t>《</w:t>
      </w:r>
      <w:r>
        <w:rPr>
          <w:rFonts w:hint="eastAsia" w:ascii="仿宋_GB2312" w:eastAsia="仿宋_GB2312" w:cs="DengXian-Regular"/>
          <w:sz w:val="32"/>
          <w:szCs w:val="32"/>
        </w:rPr>
        <w:t>关于全面实施预算绩效管理的实施意见</w:t>
      </w:r>
      <w:r>
        <w:rPr>
          <w:rFonts w:ascii="仿宋_GB2312" w:eastAsia="仿宋_GB2312" w:cs="DengXian-Regular"/>
          <w:sz w:val="32"/>
          <w:szCs w:val="32"/>
        </w:rPr>
        <w:t>》（冀</w:t>
      </w:r>
      <w:r>
        <w:rPr>
          <w:rFonts w:hint="eastAsia" w:ascii="仿宋_GB2312" w:eastAsia="仿宋_GB2312" w:cs="DengXian-Regular"/>
          <w:sz w:val="32"/>
          <w:szCs w:val="32"/>
        </w:rPr>
        <w:t>发〔2018〕54</w:t>
      </w:r>
      <w:r>
        <w:rPr>
          <w:rFonts w:ascii="仿宋_GB2312" w:eastAsia="仿宋_GB2312" w:cs="DengXian-Regular"/>
          <w:sz w:val="32"/>
          <w:szCs w:val="32"/>
        </w:rPr>
        <w:t>号）</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5.保定市徐水区财政局《关于印发绩效评价工作规划（2016-2020年）的通知》（徐政财字〔2016〕45号）；</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6.保定市徐水区财政局《关于印发&lt;全面实施预算绩效管理推进工作方案&gt;的通知》（徐政财字〔2019〕33号）；</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7</w:t>
      </w:r>
      <w:r>
        <w:rPr>
          <w:rFonts w:ascii="仿宋_GB2312" w:eastAsia="仿宋_GB2312" w:cs="DengXian-Regular"/>
          <w:sz w:val="32"/>
          <w:szCs w:val="32"/>
        </w:rPr>
        <w:t>.</w:t>
      </w:r>
      <w:r>
        <w:rPr>
          <w:rFonts w:hint="eastAsia"/>
        </w:rPr>
        <w:t xml:space="preserve"> </w:t>
      </w:r>
      <w:r>
        <w:rPr>
          <w:rFonts w:hint="eastAsia" w:ascii="仿宋_GB2312" w:eastAsia="仿宋_GB2312" w:cs="DengXian-Regular"/>
          <w:sz w:val="32"/>
          <w:szCs w:val="32"/>
        </w:rPr>
        <w:t>保定市徐水区财政局《关于印发保定市徐水区区级部门预算项目绩效自评管理办法的通知》（徐政财字〔2020〕9号）</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8.其他与部门绩效评价工作相关的文件。</w:t>
      </w:r>
      <w:bookmarkStart w:id="36" w:name="_Toc492652778"/>
    </w:p>
    <w:p>
      <w:pPr>
        <w:pStyle w:val="4"/>
        <w:spacing w:before="0" w:after="0"/>
        <w:ind w:firstLine="643" w:firstLineChars="200"/>
        <w:jc w:val="both"/>
        <w:rPr>
          <w:rFonts w:ascii="楷体_GB2312" w:eastAsia="楷体_GB2312" w:hAnsiTheme="minorEastAsia"/>
          <w:kern w:val="2"/>
          <w:sz w:val="32"/>
        </w:rPr>
      </w:pPr>
      <w:bookmarkStart w:id="37" w:name="_Toc7609"/>
      <w:r>
        <w:rPr>
          <w:rFonts w:hint="eastAsia" w:ascii="楷体_GB2312" w:eastAsia="楷体_GB2312" w:hAnsiTheme="minorEastAsia"/>
          <w:kern w:val="2"/>
          <w:sz w:val="32"/>
        </w:rPr>
        <w:t>（三）绩效评价</w:t>
      </w:r>
      <w:bookmarkEnd w:id="36"/>
      <w:r>
        <w:rPr>
          <w:rFonts w:hint="eastAsia" w:ascii="楷体_GB2312" w:eastAsia="楷体_GB2312" w:hAnsiTheme="minorEastAsia"/>
          <w:kern w:val="2"/>
          <w:sz w:val="32"/>
        </w:rPr>
        <w:t>内容</w:t>
      </w:r>
      <w:bookmarkEnd w:id="37"/>
    </w:p>
    <w:bookmarkEnd w:id="35"/>
    <w:p>
      <w:pPr>
        <w:spacing w:after="0" w:line="360" w:lineRule="auto"/>
        <w:ind w:firstLine="640" w:firstLineChars="200"/>
        <w:jc w:val="both"/>
        <w:textAlignment w:val="baseline"/>
        <w:rPr>
          <w:rFonts w:ascii="仿宋_GB2312" w:eastAsia="仿宋_GB2312" w:cs="DengXian-Regular"/>
          <w:sz w:val="32"/>
          <w:szCs w:val="32"/>
        </w:rPr>
      </w:pPr>
      <w:bookmarkStart w:id="38" w:name="_Toc465149508"/>
      <w:bookmarkStart w:id="39" w:name="_Toc492652779"/>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年部门整体支出绩效目标和指标的设置及完成情况；资金预算情况、实际收支情况及结转结余情况；部门履职对社会发展所带来的直接或间接影响及服务对象对部门履职效果的满意程度。</w:t>
      </w:r>
    </w:p>
    <w:p>
      <w:pPr>
        <w:pStyle w:val="4"/>
        <w:spacing w:before="0" w:after="0"/>
        <w:ind w:firstLine="643" w:firstLineChars="200"/>
        <w:jc w:val="both"/>
        <w:rPr>
          <w:rFonts w:ascii="楷体_GB2312" w:eastAsia="楷体_GB2312" w:hAnsiTheme="minorEastAsia"/>
          <w:kern w:val="2"/>
          <w:sz w:val="32"/>
        </w:rPr>
      </w:pPr>
      <w:bookmarkStart w:id="40" w:name="_Toc789"/>
      <w:r>
        <w:rPr>
          <w:rFonts w:hint="eastAsia" w:ascii="楷体_GB2312" w:eastAsia="楷体_GB2312" w:hAnsiTheme="minorEastAsia"/>
          <w:kern w:val="2"/>
          <w:sz w:val="32"/>
        </w:rPr>
        <w:t>（四）绩效评价原则</w:t>
      </w:r>
      <w:bookmarkEnd w:id="40"/>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1.价值导向原则：财政支出绩效评价体系应能够反映财政支出的经济性、效益性、有效性原则，体现财政部门和项目主管部门的价值导向。</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2.重要性原则：根据指标在整个指标体系中的地位和作用进行筛选，选择最具代表性、最能反映评价要求的指标。</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3.综合性原则：将定性指标和定量指标相结合，定性分析是定量分析的基础，定量分析是定性分析的深化，两者相结合系统反映财政支出所产生的社会效益。</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4.经济性原则：指标的选取要考虑现实条件及可操作性，数据的获得应符合成本效益原则，在合理成本的基础上收集信息。</w:t>
      </w:r>
    </w:p>
    <w:p>
      <w:pPr>
        <w:pStyle w:val="4"/>
        <w:spacing w:before="0" w:after="0"/>
        <w:ind w:firstLine="643" w:firstLineChars="200"/>
        <w:jc w:val="both"/>
        <w:rPr>
          <w:rFonts w:ascii="楷体_GB2312" w:eastAsia="楷体_GB2312" w:hAnsiTheme="minorEastAsia"/>
          <w:kern w:val="2"/>
          <w:sz w:val="32"/>
        </w:rPr>
      </w:pPr>
      <w:bookmarkStart w:id="41" w:name="_Toc8171"/>
      <w:r>
        <w:rPr>
          <w:rFonts w:hint="eastAsia" w:ascii="楷体_GB2312" w:eastAsia="楷体_GB2312" w:hAnsiTheme="minorEastAsia"/>
          <w:kern w:val="2"/>
          <w:sz w:val="32"/>
        </w:rPr>
        <w:t>（五）</w:t>
      </w:r>
      <w:bookmarkEnd w:id="38"/>
      <w:bookmarkStart w:id="42" w:name="_Toc465149509"/>
      <w:r>
        <w:rPr>
          <w:rFonts w:hint="eastAsia" w:ascii="楷体_GB2312" w:eastAsia="楷体_GB2312" w:hAnsiTheme="minorEastAsia"/>
          <w:kern w:val="2"/>
          <w:sz w:val="32"/>
        </w:rPr>
        <w:t>绩效评价方法</w:t>
      </w:r>
      <w:bookmarkEnd w:id="39"/>
      <w:bookmarkEnd w:id="41"/>
      <w:bookmarkEnd w:id="42"/>
    </w:p>
    <w:p>
      <w:pPr>
        <w:spacing w:after="0" w:line="360" w:lineRule="auto"/>
        <w:ind w:firstLine="640" w:firstLineChars="200"/>
        <w:jc w:val="both"/>
        <w:textAlignment w:val="baseline"/>
        <w:rPr>
          <w:rFonts w:ascii="仿宋_GB2312" w:eastAsia="仿宋_GB2312" w:cs="DengXian-Regular"/>
          <w:sz w:val="32"/>
          <w:szCs w:val="32"/>
        </w:rPr>
      </w:pPr>
      <w:bookmarkStart w:id="43" w:name="_Toc422314152"/>
      <w:bookmarkStart w:id="44" w:name="_Toc421623217"/>
      <w:bookmarkStart w:id="45" w:name="_Toc465149510"/>
      <w:bookmarkStart w:id="46" w:name="_Toc492652780"/>
      <w:r>
        <w:rPr>
          <w:rFonts w:ascii="仿宋_GB2312" w:eastAsia="仿宋_GB2312" w:cs="DengXian-Regular"/>
          <w:sz w:val="32"/>
          <w:szCs w:val="32"/>
        </w:rPr>
        <w:t>本次评价采取</w:t>
      </w:r>
      <w:r>
        <w:rPr>
          <w:rFonts w:hint="eastAsia" w:ascii="仿宋_GB2312" w:eastAsia="仿宋_GB2312" w:cs="DengXian-Regular"/>
          <w:sz w:val="32"/>
          <w:szCs w:val="32"/>
        </w:rPr>
        <w:t>目标比较法、</w:t>
      </w:r>
      <w:r>
        <w:rPr>
          <w:rFonts w:ascii="仿宋_GB2312" w:eastAsia="仿宋_GB2312" w:cs="DengXian-Regular"/>
          <w:sz w:val="32"/>
          <w:szCs w:val="32"/>
        </w:rPr>
        <w:t>定量和定性评价相结合和综合评价相结合</w:t>
      </w:r>
      <w:r>
        <w:rPr>
          <w:rFonts w:hint="eastAsia" w:ascii="仿宋_GB2312" w:eastAsia="仿宋_GB2312" w:cs="DengXian-Regular"/>
          <w:sz w:val="32"/>
          <w:szCs w:val="32"/>
        </w:rPr>
        <w:t>的方式</w:t>
      </w:r>
      <w:r>
        <w:rPr>
          <w:rFonts w:ascii="仿宋_GB2312" w:eastAsia="仿宋_GB2312" w:cs="DengXian-Regular"/>
          <w:sz w:val="32"/>
          <w:szCs w:val="32"/>
        </w:rPr>
        <w:t>，运用审查、</w:t>
      </w:r>
      <w:r>
        <w:rPr>
          <w:rFonts w:hint="eastAsia" w:ascii="仿宋_GB2312" w:eastAsia="仿宋_GB2312" w:cs="DengXian-Regular"/>
          <w:sz w:val="32"/>
          <w:szCs w:val="32"/>
        </w:rPr>
        <w:t>询问查证和问卷调查</w:t>
      </w:r>
      <w:r>
        <w:rPr>
          <w:rFonts w:ascii="仿宋_GB2312" w:eastAsia="仿宋_GB2312" w:cs="DengXian-Regular"/>
          <w:sz w:val="32"/>
          <w:szCs w:val="32"/>
        </w:rPr>
        <w:t>等方法开展</w:t>
      </w:r>
      <w:r>
        <w:rPr>
          <w:rFonts w:hint="eastAsia" w:ascii="仿宋_GB2312" w:eastAsia="仿宋_GB2312" w:cs="DengXian-Regular"/>
          <w:sz w:val="32"/>
          <w:szCs w:val="32"/>
        </w:rPr>
        <w:t>绩效</w:t>
      </w:r>
      <w:r>
        <w:rPr>
          <w:rFonts w:ascii="仿宋_GB2312" w:eastAsia="仿宋_GB2312" w:cs="DengXian-Regular"/>
          <w:sz w:val="32"/>
          <w:szCs w:val="32"/>
        </w:rPr>
        <w:t>评价工作。</w:t>
      </w:r>
      <w:bookmarkEnd w:id="43"/>
      <w:bookmarkEnd w:id="44"/>
    </w:p>
    <w:p>
      <w:pPr>
        <w:spacing w:after="0" w:line="360" w:lineRule="auto"/>
        <w:ind w:firstLine="640" w:firstLineChars="200"/>
        <w:jc w:val="both"/>
        <w:textAlignment w:val="baseline"/>
        <w:rPr>
          <w:rFonts w:ascii="仿宋_GB2312" w:eastAsia="仿宋_GB2312" w:cs="DengXian-Regular"/>
          <w:sz w:val="32"/>
          <w:szCs w:val="32"/>
        </w:rPr>
      </w:pPr>
      <w:bookmarkStart w:id="47" w:name="_Toc421623218"/>
      <w:bookmarkStart w:id="48" w:name="_Toc422314153"/>
      <w:r>
        <w:rPr>
          <w:rFonts w:ascii="仿宋_GB2312" w:eastAsia="仿宋_GB2312" w:cs="DengXian-Regular"/>
          <w:sz w:val="32"/>
          <w:szCs w:val="32"/>
        </w:rPr>
        <w:t>1</w:t>
      </w:r>
      <w:r>
        <w:rPr>
          <w:rFonts w:hint="eastAsia" w:ascii="仿宋_GB2312" w:eastAsia="仿宋_GB2312" w:cs="DengXian-Regular"/>
          <w:sz w:val="32"/>
          <w:szCs w:val="32"/>
        </w:rPr>
        <w:t>.</w:t>
      </w:r>
      <w:r>
        <w:rPr>
          <w:rFonts w:ascii="仿宋_GB2312" w:eastAsia="仿宋_GB2312" w:cs="DengXian-Regular"/>
          <w:sz w:val="32"/>
          <w:szCs w:val="32"/>
        </w:rPr>
        <w:t>审查法：通过审查被评价单位的</w:t>
      </w:r>
      <w:r>
        <w:rPr>
          <w:rFonts w:hint="eastAsia" w:ascii="仿宋_GB2312" w:eastAsia="仿宋_GB2312" w:cs="DengXian-Regular"/>
          <w:sz w:val="32"/>
          <w:szCs w:val="32"/>
        </w:rPr>
        <w:t>预算文本</w:t>
      </w:r>
      <w:r>
        <w:rPr>
          <w:rFonts w:ascii="仿宋_GB2312" w:eastAsia="仿宋_GB2312" w:cs="DengXian-Regular"/>
          <w:sz w:val="32"/>
          <w:szCs w:val="32"/>
        </w:rPr>
        <w:t>、</w:t>
      </w:r>
      <w:r>
        <w:rPr>
          <w:rFonts w:hint="eastAsia" w:ascii="仿宋_GB2312" w:eastAsia="仿宋_GB2312" w:cs="DengXian-Regular"/>
          <w:sz w:val="32"/>
          <w:szCs w:val="32"/>
        </w:rPr>
        <w:t>决算文本</w:t>
      </w:r>
      <w:r>
        <w:rPr>
          <w:rFonts w:ascii="仿宋_GB2312" w:eastAsia="仿宋_GB2312" w:cs="DengXian-Regular"/>
          <w:sz w:val="32"/>
          <w:szCs w:val="32"/>
        </w:rPr>
        <w:t>、</w:t>
      </w:r>
      <w:r>
        <w:rPr>
          <w:rFonts w:hint="eastAsia" w:ascii="仿宋_GB2312" w:eastAsia="仿宋_GB2312" w:cs="DengXian-Regular"/>
          <w:sz w:val="32"/>
          <w:szCs w:val="32"/>
        </w:rPr>
        <w:t>会计账簿、支出凭证、项目完成情况</w:t>
      </w:r>
      <w:r>
        <w:rPr>
          <w:rFonts w:ascii="仿宋_GB2312" w:eastAsia="仿宋_GB2312" w:cs="DengXian-Regular"/>
          <w:sz w:val="32"/>
          <w:szCs w:val="32"/>
        </w:rPr>
        <w:t>等</w:t>
      </w:r>
      <w:r>
        <w:rPr>
          <w:rFonts w:hint="eastAsia" w:ascii="仿宋_GB2312" w:eastAsia="仿宋_GB2312" w:cs="DengXian-Regular"/>
          <w:sz w:val="32"/>
          <w:szCs w:val="32"/>
        </w:rPr>
        <w:t>相关</w:t>
      </w:r>
      <w:r>
        <w:rPr>
          <w:rFonts w:ascii="仿宋_GB2312" w:eastAsia="仿宋_GB2312" w:cs="DengXian-Regular"/>
          <w:sz w:val="32"/>
          <w:szCs w:val="32"/>
        </w:rPr>
        <w:t>资料，分析资金</w:t>
      </w:r>
      <w:r>
        <w:rPr>
          <w:rFonts w:hint="eastAsia" w:ascii="仿宋_GB2312" w:eastAsia="仿宋_GB2312" w:cs="DengXian-Regular"/>
          <w:sz w:val="32"/>
          <w:szCs w:val="32"/>
        </w:rPr>
        <w:t>收</w:t>
      </w:r>
      <w:r>
        <w:rPr>
          <w:rFonts w:ascii="仿宋_GB2312" w:eastAsia="仿宋_GB2312" w:cs="DengXian-Regular"/>
          <w:sz w:val="32"/>
          <w:szCs w:val="32"/>
        </w:rPr>
        <w:t>支的合理性</w:t>
      </w:r>
      <w:r>
        <w:rPr>
          <w:rFonts w:hint="eastAsia" w:ascii="仿宋_GB2312" w:eastAsia="仿宋_GB2312" w:cs="DengXian-Regular"/>
          <w:sz w:val="32"/>
          <w:szCs w:val="32"/>
        </w:rPr>
        <w:t>和</w:t>
      </w:r>
      <w:r>
        <w:rPr>
          <w:rFonts w:ascii="仿宋_GB2312" w:eastAsia="仿宋_GB2312" w:cs="DengXian-Regular"/>
          <w:sz w:val="32"/>
          <w:szCs w:val="32"/>
        </w:rPr>
        <w:t>合规性</w:t>
      </w:r>
      <w:r>
        <w:rPr>
          <w:rFonts w:hint="eastAsia" w:ascii="仿宋_GB2312" w:eastAsia="仿宋_GB2312" w:cs="DengXian-Regular"/>
          <w:sz w:val="32"/>
          <w:szCs w:val="32"/>
        </w:rPr>
        <w:t>、预算执行及管理情况、绩效目标和指标的设置及完成情况、部门整体效益</w:t>
      </w:r>
      <w:r>
        <w:rPr>
          <w:rFonts w:ascii="仿宋_GB2312" w:eastAsia="仿宋_GB2312" w:cs="DengXian-Regular"/>
          <w:sz w:val="32"/>
          <w:szCs w:val="32"/>
        </w:rPr>
        <w:t>。</w:t>
      </w:r>
      <w:bookmarkEnd w:id="47"/>
      <w:bookmarkEnd w:id="48"/>
    </w:p>
    <w:p>
      <w:pPr>
        <w:spacing w:after="0" w:line="360" w:lineRule="auto"/>
        <w:ind w:firstLine="640" w:firstLineChars="200"/>
        <w:jc w:val="both"/>
        <w:textAlignment w:val="baseline"/>
        <w:rPr>
          <w:rFonts w:ascii="仿宋_GB2312" w:eastAsia="仿宋_GB2312" w:cs="DengXian-Regular"/>
          <w:sz w:val="32"/>
          <w:szCs w:val="32"/>
        </w:rPr>
      </w:pPr>
      <w:bookmarkStart w:id="49" w:name="_Toc422314155"/>
      <w:bookmarkStart w:id="50" w:name="_Toc421623220"/>
      <w:r>
        <w:rPr>
          <w:rFonts w:hint="eastAsia" w:ascii="仿宋_GB2312" w:eastAsia="仿宋_GB2312" w:cs="DengXian-Regular"/>
          <w:sz w:val="32"/>
          <w:szCs w:val="32"/>
        </w:rPr>
        <w:t>2.询问查证</w:t>
      </w:r>
      <w:r>
        <w:rPr>
          <w:rFonts w:ascii="仿宋_GB2312" w:eastAsia="仿宋_GB2312" w:cs="DengXian-Regular"/>
          <w:sz w:val="32"/>
          <w:szCs w:val="32"/>
        </w:rPr>
        <w:t>法：</w:t>
      </w:r>
      <w:r>
        <w:rPr>
          <w:rFonts w:hint="eastAsia" w:ascii="仿宋_GB2312" w:eastAsia="仿宋_GB2312" w:cs="DengXian-Regular"/>
          <w:sz w:val="32"/>
          <w:szCs w:val="32"/>
        </w:rPr>
        <w:t>在比较分析相关资料的基础上，通过询问的形式，核查项目资料是否真实、合理，从而对部门整体支出情况作出初步的判断和评价</w:t>
      </w:r>
      <w:r>
        <w:rPr>
          <w:rFonts w:ascii="仿宋_GB2312" w:eastAsia="仿宋_GB2312" w:cs="DengXian-Regular"/>
          <w:sz w:val="32"/>
          <w:szCs w:val="32"/>
        </w:rPr>
        <w:t>。</w:t>
      </w:r>
      <w:bookmarkEnd w:id="49"/>
      <w:bookmarkEnd w:id="50"/>
    </w:p>
    <w:p>
      <w:pPr>
        <w:spacing w:after="0" w:line="360" w:lineRule="auto"/>
        <w:ind w:firstLine="640" w:firstLineChars="200"/>
        <w:jc w:val="both"/>
        <w:textAlignment w:val="baseline"/>
        <w:rPr>
          <w:rFonts w:ascii="仿宋_GB2312" w:eastAsia="仿宋_GB2312" w:cs="DengXian-Regular"/>
          <w:sz w:val="32"/>
          <w:szCs w:val="32"/>
        </w:rPr>
      </w:pPr>
      <w:bookmarkStart w:id="51" w:name="_Toc421623221"/>
      <w:bookmarkStart w:id="52" w:name="_Toc422314156"/>
      <w:r>
        <w:rPr>
          <w:rFonts w:hint="eastAsia" w:ascii="仿宋_GB2312" w:eastAsia="仿宋_GB2312" w:cs="DengXian-Regular"/>
          <w:sz w:val="32"/>
          <w:szCs w:val="32"/>
        </w:rPr>
        <w:t>3.问卷调查</w:t>
      </w:r>
      <w:r>
        <w:rPr>
          <w:rFonts w:ascii="仿宋_GB2312" w:eastAsia="仿宋_GB2312" w:cs="DengXian-Regular"/>
          <w:sz w:val="32"/>
          <w:szCs w:val="32"/>
        </w:rPr>
        <w:t>法：通过</w:t>
      </w:r>
      <w:r>
        <w:rPr>
          <w:rFonts w:hint="eastAsia" w:ascii="仿宋_GB2312" w:eastAsia="仿宋_GB2312" w:cs="DengXian-Regular"/>
          <w:sz w:val="32"/>
          <w:szCs w:val="32"/>
        </w:rPr>
        <w:t>设计调查问卷，在一定范围内随机发放，并收集分析调查问卷，</w:t>
      </w:r>
      <w:r>
        <w:rPr>
          <w:rFonts w:ascii="仿宋_GB2312" w:eastAsia="仿宋_GB2312" w:cs="DengXian-Regular"/>
          <w:sz w:val="32"/>
          <w:szCs w:val="32"/>
        </w:rPr>
        <w:t>对财政支出的效果进行</w:t>
      </w:r>
      <w:r>
        <w:rPr>
          <w:rFonts w:hint="eastAsia" w:ascii="仿宋_GB2312" w:eastAsia="仿宋_GB2312" w:cs="DengXian-Regular"/>
          <w:sz w:val="32"/>
          <w:szCs w:val="32"/>
        </w:rPr>
        <w:t>评价</w:t>
      </w:r>
      <w:r>
        <w:rPr>
          <w:rFonts w:ascii="仿宋_GB2312" w:eastAsia="仿宋_GB2312" w:cs="DengXian-Regular"/>
          <w:sz w:val="32"/>
          <w:szCs w:val="32"/>
        </w:rPr>
        <w:t>，</w:t>
      </w:r>
      <w:r>
        <w:rPr>
          <w:rFonts w:hint="eastAsia" w:ascii="仿宋_GB2312" w:eastAsia="仿宋_GB2312" w:cs="DengXian-Regular"/>
          <w:sz w:val="32"/>
          <w:szCs w:val="32"/>
        </w:rPr>
        <w:t>了解服务对象对部门履职效果</w:t>
      </w:r>
      <w:r>
        <w:rPr>
          <w:rFonts w:ascii="仿宋_GB2312" w:eastAsia="仿宋_GB2312" w:cs="DengXian-Regular"/>
          <w:sz w:val="32"/>
          <w:szCs w:val="32"/>
        </w:rPr>
        <w:t>的满意</w:t>
      </w:r>
      <w:r>
        <w:rPr>
          <w:rFonts w:hint="eastAsia" w:ascii="仿宋_GB2312" w:eastAsia="仿宋_GB2312" w:cs="DengXian-Regular"/>
          <w:sz w:val="32"/>
          <w:szCs w:val="32"/>
        </w:rPr>
        <w:t>程</w:t>
      </w:r>
      <w:r>
        <w:rPr>
          <w:rFonts w:ascii="仿宋_GB2312" w:eastAsia="仿宋_GB2312" w:cs="DengXian-Regular"/>
          <w:sz w:val="32"/>
          <w:szCs w:val="32"/>
        </w:rPr>
        <w:t>度。</w:t>
      </w:r>
      <w:bookmarkEnd w:id="51"/>
      <w:bookmarkEnd w:id="52"/>
      <w:bookmarkStart w:id="53" w:name="_Toc20821"/>
    </w:p>
    <w:p>
      <w:pPr>
        <w:keepNext w:val="0"/>
        <w:keepLines w:val="0"/>
        <w:pageBreakBefore w:val="0"/>
        <w:widowControl w:val="0"/>
        <w:kinsoku/>
        <w:wordWrap/>
        <w:overflowPunct/>
        <w:topLinePunct w:val="0"/>
        <w:autoSpaceDE/>
        <w:autoSpaceDN/>
        <w:bidi w:val="0"/>
        <w:adjustRightInd w:val="0"/>
        <w:snapToGrid w:val="0"/>
        <w:spacing w:after="0" w:line="360" w:lineRule="auto"/>
        <w:ind w:firstLine="643" w:firstLineChars="200"/>
        <w:jc w:val="both"/>
        <w:textAlignment w:val="baseline"/>
        <w:rPr>
          <w:rFonts w:ascii="楷体_GB2312" w:eastAsia="楷体_GB2312" w:hAnsiTheme="minorEastAsia"/>
          <w:b/>
          <w:bCs/>
          <w:kern w:val="2"/>
          <w:sz w:val="32"/>
        </w:rPr>
      </w:pPr>
      <w:r>
        <w:rPr>
          <w:rFonts w:hint="eastAsia" w:ascii="楷体_GB2312" w:eastAsia="楷体_GB2312" w:hAnsiTheme="minorEastAsia"/>
          <w:b/>
          <w:bCs/>
          <w:kern w:val="2"/>
          <w:sz w:val="32"/>
        </w:rPr>
        <w:t>（六）绩效评价工作过程</w:t>
      </w:r>
      <w:bookmarkEnd w:id="45"/>
      <w:bookmarkEnd w:id="46"/>
      <w:bookmarkEnd w:id="53"/>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本次绩效评价工作经过了前期准备、绩效评价实施方案和指标体系制定、组织实施、绩效评价报告撰写四个阶段。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1.前期准备阶段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充分收集相关资料，主要包括部门职责、工作活动、预决算文本、相关管理制度、资金使用等相关资料，为制定绩效评价实施方案和指标体系奠定了基础。</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2.制定绩效评价实施方案和体系</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lang w:eastAsia="zh-CN"/>
        </w:rPr>
        <w:t>成立绩效评价工作小组</w:t>
      </w:r>
      <w:r>
        <w:rPr>
          <w:rFonts w:hint="eastAsia" w:ascii="仿宋_GB2312" w:eastAsia="仿宋_GB2312" w:cs="DengXian-Regular"/>
          <w:sz w:val="32"/>
          <w:szCs w:val="32"/>
        </w:rPr>
        <w:t>，</w:t>
      </w:r>
      <w:r>
        <w:rPr>
          <w:rFonts w:hint="eastAsia" w:ascii="仿宋_GB2312" w:eastAsia="仿宋_GB2312" w:cs="DengXian-Regular"/>
          <w:sz w:val="32"/>
          <w:szCs w:val="32"/>
          <w:lang w:eastAsia="zh-CN"/>
        </w:rPr>
        <w:t>研究</w:t>
      </w:r>
      <w:r>
        <w:rPr>
          <w:rFonts w:hint="eastAsia" w:ascii="仿宋_GB2312" w:eastAsia="仿宋_GB2312" w:cs="DengXian-Regular"/>
          <w:sz w:val="32"/>
          <w:szCs w:val="32"/>
        </w:rPr>
        <w:t>制定绩效评价实施方案和</w:t>
      </w:r>
      <w:r>
        <w:rPr>
          <w:rFonts w:hint="eastAsia" w:ascii="仿宋_GB2312" w:eastAsia="仿宋_GB2312" w:cs="DengXian-Regular"/>
          <w:sz w:val="32"/>
          <w:szCs w:val="32"/>
          <w:lang w:eastAsia="zh-CN"/>
        </w:rPr>
        <w:t>指标</w:t>
      </w:r>
      <w:r>
        <w:rPr>
          <w:rFonts w:hint="eastAsia" w:ascii="仿宋_GB2312" w:eastAsia="仿宋_GB2312" w:cs="DengXian-Regular"/>
          <w:sz w:val="32"/>
          <w:szCs w:val="32"/>
        </w:rPr>
        <w:t>体系,确定最终方案。</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3.组织实施阶段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根据绩效评价实施方案和指标体系，对区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开展评价工作，包括查看预决算文本及部门工作活动绩效目标和指标；比对预决算的调整及执行情况；核查固定资产管理的规范性；核查明细账与决算报表项目的一致性；对项目产出情况进行了解查看；随机选取服务对象进行满意度调查；对一些专业的问题咨询相关专家等。根据收集的数据、资料进行核对、比较、计算，对部门整体支出进行评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4.撰写绩效评价报告</w:t>
      </w:r>
      <w:bookmarkStart w:id="54" w:name="_Toc492652781"/>
      <w:bookmarkStart w:id="55" w:name="_Toc465149511"/>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在完成对各评价指标评分定级的基础上，开始进行报告撰写工作。</w:t>
      </w:r>
    </w:p>
    <w:p>
      <w:pPr>
        <w:pStyle w:val="3"/>
        <w:spacing w:before="0" w:after="0" w:line="360" w:lineRule="auto"/>
        <w:ind w:firstLine="643" w:firstLineChars="200"/>
        <w:rPr>
          <w:rFonts w:ascii="黑体"/>
        </w:rPr>
      </w:pPr>
      <w:bookmarkStart w:id="56" w:name="_Toc6467"/>
      <w:r>
        <w:rPr>
          <w:rFonts w:hint="eastAsia" w:ascii="黑体"/>
        </w:rPr>
        <w:t>四、</w:t>
      </w:r>
      <w:bookmarkEnd w:id="54"/>
      <w:bookmarkEnd w:id="55"/>
      <w:bookmarkStart w:id="57" w:name="_Toc492652782"/>
      <w:r>
        <w:rPr>
          <w:rFonts w:hint="eastAsia" w:ascii="黑体"/>
        </w:rPr>
        <w:t>绩效评价评分情况</w:t>
      </w:r>
      <w:bookmarkEnd w:id="56"/>
    </w:p>
    <w:bookmarkEnd w:id="57"/>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DengXian-Regular"/>
          <w:sz w:val="32"/>
          <w:szCs w:val="32"/>
        </w:rPr>
        <w:t>部门整体支出绩效评价总得分为</w:t>
      </w:r>
      <w:r>
        <w:rPr>
          <w:rFonts w:hint="default" w:ascii="仿宋_GB2312" w:eastAsia="仿宋_GB2312" w:cs="DengXian-Regular"/>
          <w:sz w:val="32"/>
          <w:szCs w:val="32"/>
          <w:highlight w:val="none"/>
          <w:lang w:val="en-US"/>
        </w:rPr>
        <w:t>92</w:t>
      </w:r>
      <w:r>
        <w:rPr>
          <w:rFonts w:hint="eastAsia" w:ascii="仿宋_GB2312" w:eastAsia="仿宋_GB2312" w:cs="DengXian-Regular"/>
          <w:sz w:val="32"/>
          <w:szCs w:val="32"/>
        </w:rPr>
        <w:t>分，综合绩效评价等级为“</w:t>
      </w:r>
      <w:r>
        <w:rPr>
          <w:rFonts w:hint="eastAsia" w:ascii="仿宋_GB2312" w:eastAsia="仿宋_GB2312" w:cs="DengXian-Regular"/>
          <w:sz w:val="32"/>
          <w:szCs w:val="32"/>
          <w:lang w:eastAsia="zh-CN"/>
        </w:rPr>
        <w:t>优</w:t>
      </w:r>
      <w:r>
        <w:rPr>
          <w:rFonts w:hint="eastAsia" w:ascii="仿宋_GB2312" w:eastAsia="仿宋_GB2312" w:cs="DengXian-Regular"/>
          <w:sz w:val="32"/>
          <w:szCs w:val="32"/>
        </w:rPr>
        <w:t>”。各项得分情况如下</w:t>
      </w:r>
      <w:r>
        <w:rPr>
          <w:rFonts w:hint="eastAsia" w:ascii="仿宋_GB2312" w:eastAsia="仿宋_GB2312" w:cs="Times New Roman" w:hAnsiTheme="minorEastAsia"/>
          <w:sz w:val="32"/>
          <w:szCs w:val="32"/>
          <w:u w:color="000000"/>
        </w:rPr>
        <w:t>：</w:t>
      </w:r>
      <w:r>
        <w:rPr>
          <w:rFonts w:ascii="仿宋_GB2312" w:eastAsia="仿宋_GB2312" w:cs="Times New Roman" w:hAnsiTheme="minorEastAsia"/>
          <w:sz w:val="32"/>
          <w:szCs w:val="32"/>
          <w:u w:color="000000"/>
        </w:rPr>
        <w:t xml:space="preserve"> </w:t>
      </w:r>
    </w:p>
    <w:p>
      <w:pPr>
        <w:pStyle w:val="4"/>
        <w:spacing w:before="0" w:after="0"/>
        <w:ind w:firstLine="643" w:firstLineChars="200"/>
        <w:jc w:val="both"/>
        <w:rPr>
          <w:rFonts w:ascii="楷体_GB2312" w:eastAsia="楷体_GB2312" w:hAnsiTheme="minorEastAsia"/>
          <w:kern w:val="2"/>
          <w:sz w:val="32"/>
        </w:rPr>
      </w:pPr>
      <w:bookmarkStart w:id="58" w:name="_Toc492652783"/>
      <w:bookmarkStart w:id="59" w:name="_Toc4390"/>
      <w:r>
        <w:rPr>
          <w:rFonts w:hint="eastAsia" w:ascii="楷体_GB2312" w:eastAsia="楷体_GB2312" w:hAnsiTheme="minorEastAsia"/>
          <w:kern w:val="2"/>
          <w:sz w:val="32"/>
        </w:rPr>
        <w:t>（一）</w:t>
      </w:r>
      <w:bookmarkEnd w:id="58"/>
      <w:r>
        <w:rPr>
          <w:rFonts w:hint="eastAsia" w:ascii="楷体_GB2312" w:eastAsia="楷体_GB2312" w:hAnsiTheme="minorEastAsia"/>
          <w:kern w:val="2"/>
          <w:sz w:val="32"/>
        </w:rPr>
        <w:t>投入（</w:t>
      </w:r>
      <w:r>
        <w:rPr>
          <w:rFonts w:hint="default" w:ascii="楷体_GB2312" w:eastAsia="楷体_GB2312" w:hAnsiTheme="minorEastAsia"/>
          <w:kern w:val="2"/>
          <w:sz w:val="32"/>
          <w:lang w:val="en-US"/>
        </w:rPr>
        <w:t>18</w:t>
      </w:r>
      <w:r>
        <w:rPr>
          <w:rFonts w:hint="eastAsia" w:ascii="楷体_GB2312" w:eastAsia="楷体_GB2312" w:hAnsiTheme="minorEastAsia"/>
          <w:kern w:val="2"/>
          <w:sz w:val="32"/>
        </w:rPr>
        <w:t>分）</w:t>
      </w:r>
      <w:bookmarkEnd w:id="59"/>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bookmarkStart w:id="60" w:name="_Toc464638478"/>
      <w:bookmarkStart w:id="61" w:name="_Toc465149513"/>
      <w:r>
        <w:rPr>
          <w:rFonts w:hint="eastAsia" w:ascii="仿宋_GB2312" w:eastAsia="仿宋_GB2312" w:cs="DengXian-Regular"/>
          <w:sz w:val="32"/>
          <w:szCs w:val="32"/>
        </w:rPr>
        <w:t>该一级指标包含绩效目标设定和预算配置两个二级指标，主要反映绩效目标设定是否合理、科学，绩效指标的制定是否清晰、可衡量，预算编制是否完整，“三公经费”变动、重点支出安排及在职人员控制情况。</w:t>
      </w:r>
      <w:r>
        <w:rPr>
          <w:rFonts w:hint="eastAsia" w:ascii="仿宋_GB2312" w:eastAsia="仿宋_GB2312" w:cs="Times New Roman" w:hAnsiTheme="minorEastAsia"/>
          <w:sz w:val="32"/>
          <w:szCs w:val="32"/>
          <w:u w:color="000000"/>
        </w:rPr>
        <w:tab/>
      </w:r>
    </w:p>
    <w:p>
      <w:pPr>
        <w:spacing w:after="0" w:line="360" w:lineRule="auto"/>
        <w:jc w:val="center"/>
        <w:textAlignment w:val="baseline"/>
        <w:rPr>
          <w:rFonts w:asciiTheme="minorEastAsia" w:hAnsiTheme="minorEastAsia" w:eastAsiaTheme="minorEastAsia" w:cstheme="minorEastAsia"/>
          <w:b/>
          <w:bCs/>
          <w:sz w:val="32"/>
          <w:szCs w:val="32"/>
          <w:u w:color="000000"/>
        </w:rPr>
      </w:pPr>
      <w:r>
        <w:rPr>
          <w:rFonts w:hint="eastAsia" w:asciiTheme="minorEastAsia" w:hAnsiTheme="minorEastAsia" w:eastAsiaTheme="minorEastAsia" w:cstheme="minorEastAsia"/>
          <w:b/>
          <w:bCs/>
          <w:sz w:val="32"/>
          <w:szCs w:val="32"/>
          <w:u w:color="000000"/>
        </w:rPr>
        <w:t>表2  投入指标及得分情况表</w:t>
      </w:r>
    </w:p>
    <w:tbl>
      <w:tblPr>
        <w:tblStyle w:val="23"/>
        <w:tblW w:w="0" w:type="auto"/>
        <w:tblInd w:w="7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59"/>
        <w:gridCol w:w="1247"/>
        <w:gridCol w:w="2410"/>
        <w:gridCol w:w="738"/>
        <w:gridCol w:w="15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1559" w:type="dxa"/>
            <w:vAlign w:val="center"/>
          </w:tcPr>
          <w:p>
            <w:pPr>
              <w:spacing w:line="420" w:lineRule="exact"/>
              <w:jc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一级指标</w:t>
            </w:r>
          </w:p>
        </w:tc>
        <w:tc>
          <w:tcPr>
            <w:tcW w:w="1247" w:type="dxa"/>
            <w:vAlign w:val="center"/>
          </w:tcPr>
          <w:p>
            <w:pPr>
              <w:spacing w:line="420" w:lineRule="exact"/>
              <w:jc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二级指标</w:t>
            </w:r>
          </w:p>
        </w:tc>
        <w:tc>
          <w:tcPr>
            <w:tcW w:w="2410" w:type="dxa"/>
            <w:vAlign w:val="center"/>
          </w:tcPr>
          <w:p>
            <w:pPr>
              <w:spacing w:line="420" w:lineRule="exact"/>
              <w:jc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三级指标</w:t>
            </w:r>
          </w:p>
        </w:tc>
        <w:tc>
          <w:tcPr>
            <w:tcW w:w="738" w:type="dxa"/>
            <w:vAlign w:val="center"/>
          </w:tcPr>
          <w:p>
            <w:pPr>
              <w:spacing w:line="420" w:lineRule="exact"/>
              <w:jc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分值权重</w:t>
            </w:r>
          </w:p>
        </w:tc>
        <w:tc>
          <w:tcPr>
            <w:tcW w:w="1530" w:type="dxa"/>
            <w:vAlign w:val="center"/>
          </w:tcPr>
          <w:p>
            <w:pPr>
              <w:spacing w:line="420" w:lineRule="exact"/>
              <w:jc w:val="center"/>
              <w:rPr>
                <w:rFonts w:cs="宋体" w:asciiTheme="minorEastAsia" w:hAnsiTheme="minorEastAsia" w:eastAsiaTheme="minorEastAsia"/>
                <w:b/>
                <w:sz w:val="21"/>
                <w:szCs w:val="21"/>
              </w:rPr>
            </w:pPr>
            <w:r>
              <w:rPr>
                <w:rFonts w:hint="eastAsia" w:cs="宋体" w:asciiTheme="minorEastAsia" w:hAnsiTheme="minorEastAsia" w:eastAsiaTheme="minorEastAsia"/>
                <w:b/>
                <w:sz w:val="21"/>
                <w:szCs w:val="21"/>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1559" w:type="dxa"/>
            <w:vMerge w:val="restart"/>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投入</w:t>
            </w:r>
          </w:p>
          <w:p>
            <w:pPr>
              <w:spacing w:line="420" w:lineRule="exact"/>
              <w:jc w:val="center"/>
              <w:rPr>
                <w:rFonts w:cs="宋体" w:asciiTheme="minorEastAsia" w:hAnsiTheme="minorEastAsia" w:eastAsiaTheme="minorEastAsia"/>
                <w:sz w:val="21"/>
                <w:szCs w:val="21"/>
                <w:highlight w:val="yellow"/>
              </w:rPr>
            </w:pPr>
            <w:r>
              <w:rPr>
                <w:rFonts w:hint="eastAsia" w:cs="宋体" w:asciiTheme="minorEastAsia" w:hAnsiTheme="minorEastAsia" w:eastAsiaTheme="minorEastAsia"/>
                <w:sz w:val="21"/>
                <w:szCs w:val="21"/>
              </w:rPr>
              <w:t>（18分）</w:t>
            </w:r>
          </w:p>
        </w:tc>
        <w:tc>
          <w:tcPr>
            <w:tcW w:w="1247" w:type="dxa"/>
            <w:vMerge w:val="restart"/>
            <w:vAlign w:val="center"/>
          </w:tcPr>
          <w:p>
            <w:pPr>
              <w:spacing w:line="420" w:lineRule="exact"/>
              <w:jc w:val="center"/>
              <w:rPr>
                <w:rFonts w:cs="宋体" w:asciiTheme="minorEastAsia" w:hAnsiTheme="minorEastAsia" w:eastAsiaTheme="minorEastAsia"/>
                <w:sz w:val="21"/>
                <w:szCs w:val="21"/>
                <w:highlight w:val="yellow"/>
              </w:rPr>
            </w:pPr>
            <w:r>
              <w:rPr>
                <w:rFonts w:hint="eastAsia" w:cs="宋体" w:asciiTheme="minorEastAsia" w:hAnsiTheme="minorEastAsia" w:eastAsiaTheme="minorEastAsia"/>
                <w:sz w:val="21"/>
                <w:szCs w:val="21"/>
              </w:rPr>
              <w:t>目标设定（7分）</w:t>
            </w:r>
          </w:p>
        </w:tc>
        <w:tc>
          <w:tcPr>
            <w:tcW w:w="241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绩效目标合理性</w:t>
            </w:r>
          </w:p>
        </w:tc>
        <w:tc>
          <w:tcPr>
            <w:tcW w:w="738"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c>
          <w:tcPr>
            <w:tcW w:w="153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1559"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1247"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241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绩效指标明确性</w:t>
            </w:r>
          </w:p>
        </w:tc>
        <w:tc>
          <w:tcPr>
            <w:tcW w:w="738"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4</w:t>
            </w:r>
          </w:p>
        </w:tc>
        <w:tc>
          <w:tcPr>
            <w:tcW w:w="153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1559"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1247" w:type="dxa"/>
            <w:vMerge w:val="restart"/>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预算配置</w:t>
            </w:r>
          </w:p>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（11分）</w:t>
            </w:r>
          </w:p>
        </w:tc>
        <w:tc>
          <w:tcPr>
            <w:tcW w:w="241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在职人员控制率</w:t>
            </w:r>
          </w:p>
        </w:tc>
        <w:tc>
          <w:tcPr>
            <w:tcW w:w="738" w:type="dxa"/>
            <w:vAlign w:val="center"/>
          </w:tcPr>
          <w:p>
            <w:pPr>
              <w:spacing w:line="420" w:lineRule="exact"/>
              <w:jc w:val="center"/>
              <w:rPr>
                <w:rFonts w:cs="宋体" w:asciiTheme="minorEastAsia" w:hAnsiTheme="minorEastAsia" w:eastAsiaTheme="minorEastAsia"/>
                <w:sz w:val="21"/>
                <w:szCs w:val="21"/>
              </w:rPr>
            </w:pPr>
            <w:r>
              <w:rPr>
                <w:rFonts w:hint="default" w:cs="宋体" w:asciiTheme="minorEastAsia" w:hAnsiTheme="minorEastAsia" w:eastAsiaTheme="minorEastAsia"/>
                <w:sz w:val="21"/>
                <w:szCs w:val="21"/>
                <w:lang w:val="en-US"/>
              </w:rPr>
              <w:t>3</w:t>
            </w:r>
          </w:p>
        </w:tc>
        <w:tc>
          <w:tcPr>
            <w:tcW w:w="153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1559"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1247"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241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“三公经费”变动率</w:t>
            </w:r>
          </w:p>
        </w:tc>
        <w:tc>
          <w:tcPr>
            <w:tcW w:w="738" w:type="dxa"/>
            <w:vAlign w:val="center"/>
          </w:tcPr>
          <w:p>
            <w:pPr>
              <w:spacing w:line="420" w:lineRule="exact"/>
              <w:jc w:val="center"/>
              <w:rPr>
                <w:rFonts w:cs="宋体" w:asciiTheme="minorEastAsia" w:hAnsiTheme="minorEastAsia" w:eastAsiaTheme="minorEastAsia"/>
                <w:sz w:val="21"/>
                <w:szCs w:val="21"/>
              </w:rPr>
            </w:pPr>
            <w:r>
              <w:rPr>
                <w:rFonts w:hint="default" w:cs="宋体" w:asciiTheme="minorEastAsia" w:hAnsiTheme="minorEastAsia" w:eastAsiaTheme="minorEastAsia"/>
                <w:sz w:val="21"/>
                <w:szCs w:val="21"/>
                <w:lang w:val="en-US"/>
              </w:rPr>
              <w:t>3</w:t>
            </w:r>
          </w:p>
        </w:tc>
        <w:tc>
          <w:tcPr>
            <w:tcW w:w="1530" w:type="dxa"/>
            <w:vAlign w:val="center"/>
          </w:tcPr>
          <w:p>
            <w:pPr>
              <w:spacing w:line="420" w:lineRule="exact"/>
              <w:jc w:val="center"/>
              <w:rPr>
                <w:rFonts w:hint="default" w:cs="宋体" w:asciiTheme="minorEastAsia" w:hAnsiTheme="minorEastAsia" w:eastAsiaTheme="minorEastAsia"/>
                <w:sz w:val="21"/>
                <w:szCs w:val="21"/>
                <w:lang w:val="en-US"/>
              </w:rPr>
            </w:pPr>
            <w:r>
              <w:rPr>
                <w:rFonts w:hint="default" w:cs="宋体" w:asciiTheme="minorEastAsia" w:hAnsiTheme="minorEastAsia" w:eastAsiaTheme="minorEastAsia"/>
                <w:sz w:val="21"/>
                <w:szCs w:val="21"/>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1559"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1247" w:type="dxa"/>
            <w:vMerge w:val="continue"/>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241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重点支出安排率</w:t>
            </w:r>
          </w:p>
        </w:tc>
        <w:tc>
          <w:tcPr>
            <w:tcW w:w="738"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1530"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exact"/>
        </w:trPr>
        <w:tc>
          <w:tcPr>
            <w:tcW w:w="2806" w:type="dxa"/>
            <w:gridSpan w:val="2"/>
            <w:vAlign w:val="center"/>
          </w:tcPr>
          <w:p>
            <w:pPr>
              <w:spacing w:line="420" w:lineRule="exact"/>
              <w:ind w:firstLine="420" w:firstLineChars="200"/>
              <w:jc w:val="center"/>
              <w:rPr>
                <w:rFonts w:cs="宋体" w:asciiTheme="minorEastAsia" w:hAnsiTheme="minorEastAsia" w:eastAsiaTheme="minorEastAsia"/>
                <w:sz w:val="21"/>
                <w:szCs w:val="21"/>
                <w:highlight w:val="yellow"/>
              </w:rPr>
            </w:pPr>
            <w:r>
              <w:rPr>
                <w:rFonts w:hint="eastAsia" w:cs="宋体" w:asciiTheme="minorEastAsia" w:hAnsiTheme="minorEastAsia" w:eastAsiaTheme="minorEastAsia"/>
                <w:sz w:val="21"/>
                <w:szCs w:val="21"/>
              </w:rPr>
              <w:t>合计</w:t>
            </w:r>
          </w:p>
        </w:tc>
        <w:tc>
          <w:tcPr>
            <w:tcW w:w="2410" w:type="dxa"/>
            <w:vAlign w:val="center"/>
          </w:tcPr>
          <w:p>
            <w:pPr>
              <w:spacing w:line="420" w:lineRule="exact"/>
              <w:ind w:firstLine="420" w:firstLineChars="200"/>
              <w:jc w:val="center"/>
              <w:rPr>
                <w:rFonts w:cs="宋体" w:asciiTheme="minorEastAsia" w:hAnsiTheme="minorEastAsia" w:eastAsiaTheme="minorEastAsia"/>
                <w:sz w:val="21"/>
                <w:szCs w:val="21"/>
                <w:highlight w:val="yellow"/>
              </w:rPr>
            </w:pPr>
          </w:p>
        </w:tc>
        <w:tc>
          <w:tcPr>
            <w:tcW w:w="738"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18</w:t>
            </w:r>
          </w:p>
        </w:tc>
        <w:tc>
          <w:tcPr>
            <w:tcW w:w="1530" w:type="dxa"/>
            <w:vAlign w:val="center"/>
          </w:tcPr>
          <w:p>
            <w:pPr>
              <w:spacing w:line="420" w:lineRule="exact"/>
              <w:jc w:val="center"/>
              <w:rPr>
                <w:rFonts w:hint="default" w:cs="宋体" w:asciiTheme="minorEastAsia" w:hAnsiTheme="minorEastAsia" w:eastAsiaTheme="minorEastAsia"/>
                <w:sz w:val="21"/>
                <w:szCs w:val="21"/>
                <w:lang w:val="en-US"/>
              </w:rPr>
            </w:pPr>
            <w:r>
              <w:rPr>
                <w:rFonts w:hint="default" w:cs="宋体" w:asciiTheme="minorEastAsia" w:hAnsiTheme="minorEastAsia" w:eastAsiaTheme="minorEastAsia"/>
                <w:sz w:val="21"/>
                <w:szCs w:val="21"/>
                <w:lang w:val="en-US"/>
              </w:rPr>
              <w:t>12</w:t>
            </w:r>
          </w:p>
        </w:tc>
      </w:tr>
    </w:tbl>
    <w:p>
      <w:pPr>
        <w:spacing w:after="0" w:line="360" w:lineRule="auto"/>
        <w:ind w:firstLine="640" w:firstLineChars="200"/>
        <w:jc w:val="both"/>
        <w:textAlignment w:val="baseline"/>
        <w:rPr>
          <w:rFonts w:hint="eastAsia" w:ascii="仿宋_GB2312" w:eastAsia="仿宋_GB2312" w:cs="DengXian-Regular"/>
          <w:sz w:val="32"/>
          <w:szCs w:val="32"/>
        </w:rPr>
      </w:pP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1.绩效目标设定（</w:t>
      </w:r>
      <w:r>
        <w:rPr>
          <w:rFonts w:hint="default" w:ascii="仿宋_GB2312" w:eastAsia="仿宋_GB2312" w:cs="DengXian-Regular"/>
          <w:sz w:val="32"/>
          <w:szCs w:val="32"/>
          <w:lang w:val="en-US"/>
        </w:rPr>
        <w:t>7</w:t>
      </w:r>
      <w:r>
        <w:rPr>
          <w:rFonts w:hint="eastAsia" w:ascii="仿宋_GB2312" w:eastAsia="仿宋_GB2312" w:cs="DengXian-Regular"/>
          <w:sz w:val="32"/>
          <w:szCs w:val="32"/>
        </w:rPr>
        <w:t>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（1）绩效目标合理性(3分)</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的职责设定是否符合“三定”方案中所赋予的职责；工作活动是否与部门职责、工作规划和重点工作相关；工作活动项下确定的预算项目是否合理，是否与工作活动密切相关；工作活动和项目预算安排是否合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通过对比保定市徐水区委办公室及保定市徐水区人民政府办公室印发的《保定市徐水区工业和信息化局职能配置、内设机构和人员编制规定》和徐水区工业和信息化局202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文本—部门职责工作活动绩效目标及绩效目标一览表，评价区工信局部门职责符合“三定”方案中所赋予的职责，绩效目标设立依据充分，符合客观实际，与部门职责、工作规划和重点工作相关，工作活动和项目预算安排合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（3）绩效指标明确性（4分）</w:t>
      </w:r>
    </w:p>
    <w:p>
      <w:pPr>
        <w:spacing w:after="0" w:line="360" w:lineRule="auto"/>
        <w:ind w:firstLine="640" w:firstLineChars="200"/>
        <w:jc w:val="both"/>
        <w:textAlignment w:val="baseline"/>
        <w:rPr>
          <w:rFonts w:ascii="仿宋_GB2312" w:eastAsia="仿宋_GB2312" w:cs="DengXian-Regular"/>
          <w:sz w:val="32"/>
          <w:szCs w:val="32"/>
          <w:highlight w:val="yellow"/>
        </w:rPr>
      </w:pPr>
      <w:r>
        <w:rPr>
          <w:rFonts w:hint="eastAsia" w:ascii="仿宋_GB2312" w:eastAsia="仿宋_GB2312" w:cs="DengXian-Regular"/>
          <w:sz w:val="32"/>
          <w:szCs w:val="32"/>
        </w:rPr>
        <w:t>该指标主要评价是否将部门整体的绩效目标细化分解为具体的工作任务，工作活动、预算项目绩效指标是否清晰、细化、可评价、可衡量；工作活动、预算项目绩效指标的评价标准是否清晰、可衡量；是否与部门年度的任务数或计划数相对应。</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根据区工业和信息化局202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年预算文本—部门职责工作活动绩效目标及绩效目标一览表,该指标实际得分4分。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2.预算配置（</w:t>
      </w:r>
      <w:r>
        <w:rPr>
          <w:rFonts w:hint="default" w:ascii="仿宋_GB2312" w:eastAsia="仿宋_GB2312" w:cs="DengXian-Regular"/>
          <w:sz w:val="32"/>
          <w:szCs w:val="32"/>
          <w:lang w:val="en-US"/>
        </w:rPr>
        <w:t>11</w:t>
      </w:r>
      <w:r>
        <w:rPr>
          <w:rFonts w:hint="eastAsia" w:ascii="仿宋_GB2312" w:eastAsia="仿宋_GB2312" w:cs="DengXian-Regular"/>
          <w:sz w:val="32"/>
          <w:szCs w:val="32"/>
        </w:rPr>
        <w:t>分）</w:t>
      </w:r>
    </w:p>
    <w:bookmarkEnd w:id="60"/>
    <w:bookmarkEnd w:id="61"/>
    <w:p>
      <w:pPr>
        <w:spacing w:after="0" w:line="360" w:lineRule="auto"/>
        <w:ind w:firstLine="640" w:firstLineChars="200"/>
        <w:jc w:val="both"/>
        <w:textAlignment w:val="baseline"/>
        <w:rPr>
          <w:rFonts w:ascii="仿宋_GB2312" w:eastAsia="仿宋_GB2312" w:cs="DengXian-Regular"/>
          <w:sz w:val="32"/>
          <w:szCs w:val="32"/>
        </w:rPr>
      </w:pPr>
      <w:bookmarkStart w:id="62" w:name="_Toc19940"/>
      <w:r>
        <w:rPr>
          <w:rFonts w:hint="eastAsia" w:ascii="仿宋_GB2312" w:eastAsia="仿宋_GB2312" w:cs="DengXian-Regular"/>
          <w:sz w:val="32"/>
          <w:szCs w:val="32"/>
        </w:rPr>
        <w:t>（1）在职人员控制率（</w:t>
      </w:r>
      <w:r>
        <w:rPr>
          <w:rFonts w:hint="default" w:ascii="仿宋_GB2312" w:eastAsia="仿宋_GB2312" w:cs="DengXian-Regular"/>
          <w:sz w:val="32"/>
          <w:szCs w:val="32"/>
          <w:lang w:val="en-US"/>
        </w:rPr>
        <w:t>3</w:t>
      </w:r>
      <w:r>
        <w:rPr>
          <w:rFonts w:hint="eastAsia" w:ascii="仿宋_GB2312" w:eastAsia="仿宋_GB2312" w:cs="DengXian-Regular"/>
          <w:sz w:val="32"/>
          <w:szCs w:val="32"/>
        </w:rPr>
        <w:t>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该指标主要考核截至202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年底区工信局在职人员控制情况，通过在职人员控制率衡量。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在职人员控制率=决算在职人员/编制数×100%。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根据保定市徐水区委办公室及保定市徐水区人民政府办公室关于印发《保定市徐水区工业和信息化职能配置、内设机构和人员编制规定》的通知，徐水区工信局人员编制为</w:t>
      </w:r>
      <w:r>
        <w:rPr>
          <w:rFonts w:hint="default" w:ascii="仿宋_GB2312" w:eastAsia="仿宋_GB2312" w:cs="DengXian-Regular"/>
          <w:sz w:val="32"/>
          <w:szCs w:val="32"/>
          <w:lang w:val="en-US"/>
        </w:rPr>
        <w:t>20</w:t>
      </w:r>
      <w:r>
        <w:rPr>
          <w:rFonts w:hint="eastAsia" w:ascii="仿宋_GB2312" w:eastAsia="仿宋_GB2312" w:cs="DengXian-Regular"/>
          <w:sz w:val="32"/>
          <w:szCs w:val="32"/>
        </w:rPr>
        <w:t>人，根据区工信局202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年决算-部门基本数字表，截至202年底，在职人员</w:t>
      </w:r>
      <w:r>
        <w:rPr>
          <w:rFonts w:hint="default" w:ascii="仿宋_GB2312" w:eastAsia="仿宋_GB2312" w:cs="DengXian-Regular"/>
          <w:sz w:val="32"/>
          <w:szCs w:val="32"/>
          <w:lang w:val="en-US"/>
        </w:rPr>
        <w:t>46</w:t>
      </w:r>
      <w:r>
        <w:rPr>
          <w:rFonts w:hint="eastAsia" w:ascii="仿宋_GB2312" w:eastAsia="仿宋_GB2312" w:cs="DengXian-Regular"/>
          <w:sz w:val="32"/>
          <w:szCs w:val="32"/>
        </w:rPr>
        <w:t>人，在职人员控制率=（4</w:t>
      </w:r>
      <w:r>
        <w:rPr>
          <w:rFonts w:hint="default" w:ascii="仿宋_GB2312" w:eastAsia="仿宋_GB2312" w:cs="DengXian-Regular"/>
          <w:sz w:val="32"/>
          <w:szCs w:val="32"/>
          <w:lang w:val="en-US"/>
        </w:rPr>
        <w:t>6</w:t>
      </w:r>
      <w:r>
        <w:rPr>
          <w:rFonts w:hint="eastAsia" w:ascii="仿宋_GB2312" w:eastAsia="仿宋_GB2312" w:cs="DengXian-Regular"/>
          <w:sz w:val="32"/>
          <w:szCs w:val="32"/>
        </w:rPr>
        <w:t>/</w:t>
      </w:r>
      <w:r>
        <w:rPr>
          <w:rFonts w:hint="default" w:ascii="仿宋_GB2312" w:eastAsia="仿宋_GB2312" w:cs="DengXian-Regular"/>
          <w:sz w:val="32"/>
          <w:szCs w:val="32"/>
          <w:lang w:val="en-US"/>
        </w:rPr>
        <w:t>20</w:t>
      </w:r>
      <w:r>
        <w:rPr>
          <w:rFonts w:hint="eastAsia" w:ascii="仿宋_GB2312" w:eastAsia="仿宋_GB2312" w:cs="DengXian-Regular"/>
          <w:sz w:val="32"/>
          <w:szCs w:val="32"/>
        </w:rPr>
        <w:t>）*100%=</w:t>
      </w:r>
      <w:r>
        <w:rPr>
          <w:rFonts w:hint="default" w:ascii="仿宋_GB2312" w:eastAsia="仿宋_GB2312" w:cs="DengXian-Regular"/>
          <w:sz w:val="32"/>
          <w:szCs w:val="32"/>
          <w:lang w:val="en-US"/>
        </w:rPr>
        <w:t>230</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该指标实际得分0分。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（2）“三公经费”变动率（</w:t>
      </w:r>
      <w:r>
        <w:rPr>
          <w:rFonts w:hint="default" w:ascii="仿宋_GB2312" w:eastAsia="仿宋_GB2312" w:cs="DengXian-Regular"/>
          <w:sz w:val="32"/>
          <w:szCs w:val="32"/>
          <w:lang w:val="en-US"/>
        </w:rPr>
        <w:t>3</w:t>
      </w:r>
      <w:r>
        <w:rPr>
          <w:rFonts w:hint="eastAsia" w:ascii="仿宋_GB2312" w:eastAsia="仿宋_GB2312" w:cs="DengXian-Regular"/>
          <w:sz w:val="32"/>
          <w:szCs w:val="32"/>
        </w:rPr>
        <w:t>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 “三公经费”支出与上年度“三公经费”支出相比增减变化情况，通过“三公经费”变动率衡量。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“三公经费”变动率=（202</w:t>
      </w:r>
      <w:r>
        <w:rPr>
          <w:rFonts w:hint="default" w:ascii="仿宋_GB2312" w:eastAsia="仿宋_GB2312" w:cs="DengXian-Regular"/>
          <w:sz w:val="32"/>
          <w:szCs w:val="32"/>
          <w:lang w:val="en-US"/>
        </w:rPr>
        <w:t>2</w:t>
      </w:r>
      <w:r>
        <w:rPr>
          <w:rFonts w:hint="eastAsia" w:ascii="仿宋_GB2312" w:eastAsia="仿宋_GB2312" w:cs="DengXian-Regular"/>
          <w:sz w:val="32"/>
          <w:szCs w:val="32"/>
        </w:rPr>
        <w:t>年“三公经费”支出金额-20</w:t>
      </w:r>
      <w:r>
        <w:rPr>
          <w:rFonts w:hint="default" w:ascii="仿宋_GB2312" w:eastAsia="仿宋_GB2312" w:cs="DengXian-Regular"/>
          <w:sz w:val="32"/>
          <w:szCs w:val="32"/>
          <w:lang w:val="en-US"/>
        </w:rPr>
        <w:t>21</w:t>
      </w:r>
      <w:r>
        <w:rPr>
          <w:rFonts w:hint="eastAsia" w:ascii="仿宋_GB2312" w:eastAsia="仿宋_GB2312" w:cs="DengXian-Regular"/>
          <w:sz w:val="32"/>
          <w:szCs w:val="32"/>
        </w:rPr>
        <w:t>年“三公经费”支出金额）/20</w:t>
      </w:r>
      <w:r>
        <w:rPr>
          <w:rFonts w:hint="default" w:ascii="仿宋_GB2312" w:eastAsia="仿宋_GB2312" w:cs="DengXian-Regular"/>
          <w:sz w:val="32"/>
          <w:szCs w:val="32"/>
          <w:lang w:val="en-US"/>
        </w:rPr>
        <w:t>21</w:t>
      </w:r>
      <w:r>
        <w:rPr>
          <w:rFonts w:hint="eastAsia" w:ascii="仿宋_GB2312" w:eastAsia="仿宋_GB2312" w:cs="DengXian-Regular"/>
          <w:sz w:val="32"/>
          <w:szCs w:val="32"/>
        </w:rPr>
        <w:t>年“三公经费”支出金额×100%。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w:t>
      </w:r>
      <w:r>
        <w:rPr>
          <w:rFonts w:hint="default" w:ascii="仿宋_GB2312" w:eastAsia="仿宋_GB2312" w:cs="DengXian-Regular"/>
          <w:sz w:val="32"/>
          <w:szCs w:val="32"/>
          <w:lang w:val="en-US"/>
        </w:rPr>
        <w:t>21</w:t>
      </w:r>
      <w:r>
        <w:rPr>
          <w:rFonts w:hint="eastAsia" w:ascii="仿宋_GB2312" w:eastAsia="仿宋_GB2312" w:cs="DengXian-Regular"/>
          <w:sz w:val="32"/>
          <w:szCs w:val="32"/>
        </w:rPr>
        <w:t>年和202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年决算“机构运行信息表”，区工信局20</w:t>
      </w:r>
      <w:r>
        <w:rPr>
          <w:rFonts w:hint="default" w:ascii="仿宋_GB2312" w:eastAsia="仿宋_GB2312" w:cs="DengXian-Regular"/>
          <w:sz w:val="32"/>
          <w:szCs w:val="32"/>
          <w:lang w:val="en-US"/>
        </w:rPr>
        <w:t>21</w:t>
      </w:r>
      <w:r>
        <w:rPr>
          <w:rFonts w:hint="eastAsia" w:ascii="仿宋_GB2312" w:eastAsia="仿宋_GB2312" w:cs="DengXian-Regular"/>
          <w:sz w:val="32"/>
          <w:szCs w:val="32"/>
        </w:rPr>
        <w:t>年“三公经费”支出</w:t>
      </w:r>
      <w:r>
        <w:rPr>
          <w:rFonts w:hint="default" w:ascii="仿宋_GB2312" w:eastAsia="仿宋_GB2312" w:cs="DengXian-Regular"/>
          <w:sz w:val="32"/>
          <w:szCs w:val="32"/>
          <w:lang w:val="en-US"/>
        </w:rPr>
        <w:t>5.01</w:t>
      </w:r>
      <w:r>
        <w:rPr>
          <w:rFonts w:hint="eastAsia" w:ascii="仿宋_GB2312" w:eastAsia="仿宋_GB2312" w:cs="DengXian-Regular"/>
          <w:sz w:val="32"/>
          <w:szCs w:val="32"/>
        </w:rPr>
        <w:t>万元，202</w:t>
      </w:r>
      <w:r>
        <w:rPr>
          <w:rFonts w:hint="default" w:ascii="仿宋_GB2312" w:eastAsia="仿宋_GB2312" w:cs="DengXian-Regular"/>
          <w:sz w:val="32"/>
          <w:szCs w:val="32"/>
          <w:lang w:val="en-US"/>
        </w:rPr>
        <w:t>2</w:t>
      </w:r>
      <w:r>
        <w:rPr>
          <w:rFonts w:hint="eastAsia" w:ascii="仿宋_GB2312" w:eastAsia="仿宋_GB2312" w:cs="DengXian-Regular"/>
          <w:sz w:val="32"/>
          <w:szCs w:val="32"/>
        </w:rPr>
        <w:t>年 “三公经费”支出</w:t>
      </w:r>
      <w:r>
        <w:rPr>
          <w:rFonts w:hint="default" w:ascii="仿宋_GB2312" w:eastAsia="仿宋_GB2312" w:cs="DengXian-Regular"/>
          <w:sz w:val="32"/>
          <w:szCs w:val="32"/>
          <w:lang w:val="en-US"/>
        </w:rPr>
        <w:t>6</w:t>
      </w:r>
      <w:r>
        <w:rPr>
          <w:rFonts w:hint="eastAsia" w:ascii="仿宋_GB2312" w:eastAsia="仿宋_GB2312" w:cs="DengXian-Regular"/>
          <w:sz w:val="32"/>
          <w:szCs w:val="32"/>
        </w:rPr>
        <w:t>万元。</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“三公经费”变动率=（</w:t>
      </w:r>
      <w:r>
        <w:rPr>
          <w:rFonts w:hint="default" w:ascii="仿宋_GB2312" w:eastAsia="仿宋_GB2312" w:cs="DengXian-Regular"/>
          <w:sz w:val="32"/>
          <w:szCs w:val="32"/>
          <w:lang w:val="en-US"/>
        </w:rPr>
        <w:t>6</w:t>
      </w:r>
      <w:r>
        <w:rPr>
          <w:rFonts w:hint="eastAsia" w:ascii="仿宋_GB2312" w:eastAsia="仿宋_GB2312" w:cs="DengXian-Regular"/>
          <w:sz w:val="32"/>
          <w:szCs w:val="32"/>
        </w:rPr>
        <w:t>-</w:t>
      </w:r>
      <w:r>
        <w:rPr>
          <w:rFonts w:hint="default" w:ascii="仿宋_GB2312" w:eastAsia="仿宋_GB2312" w:cs="DengXian-Regular"/>
          <w:sz w:val="32"/>
          <w:szCs w:val="32"/>
          <w:lang w:val="en-US"/>
        </w:rPr>
        <w:t>5.01</w:t>
      </w:r>
      <w:r>
        <w:rPr>
          <w:rFonts w:hint="eastAsia" w:ascii="仿宋_GB2312" w:eastAsia="仿宋_GB2312" w:cs="DengXian-Regular"/>
          <w:sz w:val="32"/>
          <w:szCs w:val="32"/>
        </w:rPr>
        <w:t>）/</w:t>
      </w:r>
      <w:r>
        <w:rPr>
          <w:rFonts w:hint="default" w:ascii="仿宋_GB2312" w:eastAsia="仿宋_GB2312" w:cs="DengXian-Regular"/>
          <w:sz w:val="32"/>
          <w:szCs w:val="32"/>
          <w:lang w:val="en-US"/>
        </w:rPr>
        <w:t>5.01</w:t>
      </w:r>
      <w:r>
        <w:rPr>
          <w:rFonts w:hint="eastAsia" w:ascii="仿宋_GB2312" w:eastAsia="仿宋_GB2312" w:cs="DengXian-Regular"/>
          <w:sz w:val="32"/>
          <w:szCs w:val="32"/>
        </w:rPr>
        <w:t>*100%=</w:t>
      </w:r>
      <w:r>
        <w:rPr>
          <w:rFonts w:hint="default" w:ascii="仿宋_GB2312" w:eastAsia="仿宋_GB2312" w:cs="DengXian-Regular"/>
          <w:sz w:val="32"/>
          <w:szCs w:val="32"/>
          <w:lang w:val="en-US"/>
        </w:rPr>
        <w:t>19.76</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w:t>
      </w:r>
      <w:r>
        <w:rPr>
          <w:rFonts w:hint="default" w:ascii="仿宋_GB2312" w:eastAsia="仿宋_GB2312" w:cs="DengXian-Regular"/>
          <w:sz w:val="32"/>
          <w:szCs w:val="32"/>
          <w:lang w:val="en-US"/>
        </w:rPr>
        <w:t>0</w:t>
      </w:r>
      <w:r>
        <w:rPr>
          <w:rFonts w:hint="eastAsia" w:ascii="仿宋_GB2312" w:eastAsia="仿宋_GB2312" w:cs="DengXian-Regular"/>
          <w:sz w:val="32"/>
          <w:szCs w:val="32"/>
        </w:rPr>
        <w:t>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（3）重点支出安排率（5分）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年重点项目支出所占项目总支出的比重，通过重点支出安排率衡量。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重点支出安排率=（重点项目支出/项目总支出）×100%。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年项目支出决算表，区工信局202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年项目总支出</w:t>
      </w:r>
      <w:r>
        <w:rPr>
          <w:rFonts w:hint="default" w:ascii="仿宋_GB2312" w:eastAsia="仿宋_GB2312" w:cs="DengXian-Regular"/>
          <w:sz w:val="32"/>
          <w:szCs w:val="32"/>
          <w:lang w:val="en-US"/>
        </w:rPr>
        <w:t>1501.16</w:t>
      </w:r>
      <w:r>
        <w:rPr>
          <w:rFonts w:hint="eastAsia" w:ascii="仿宋_GB2312" w:eastAsia="仿宋_GB2312" w:cs="DengXian-Regular"/>
          <w:sz w:val="32"/>
          <w:szCs w:val="32"/>
        </w:rPr>
        <w:t>万元，其中重点项目支出</w:t>
      </w:r>
      <w:r>
        <w:rPr>
          <w:rFonts w:hint="default" w:ascii="仿宋_GB2312" w:eastAsia="仿宋_GB2312" w:cs="DengXian-Regular"/>
          <w:sz w:val="32"/>
          <w:szCs w:val="32"/>
          <w:lang w:val="en-US"/>
        </w:rPr>
        <w:t>1462.69</w:t>
      </w:r>
      <w:r>
        <w:rPr>
          <w:rFonts w:hint="eastAsia" w:ascii="仿宋_GB2312" w:eastAsia="仿宋_GB2312" w:cs="DengXian-Regular"/>
          <w:sz w:val="32"/>
          <w:szCs w:val="32"/>
        </w:rPr>
        <w:t>万元。重点支出安排率=（</w:t>
      </w:r>
      <w:r>
        <w:rPr>
          <w:rFonts w:hint="default" w:ascii="仿宋_GB2312" w:eastAsia="仿宋_GB2312" w:cs="DengXian-Regular"/>
          <w:sz w:val="32"/>
          <w:szCs w:val="32"/>
          <w:lang w:val="en-US"/>
        </w:rPr>
        <w:t>1462.69</w:t>
      </w:r>
      <w:r>
        <w:rPr>
          <w:rFonts w:hint="eastAsia" w:ascii="仿宋_GB2312" w:eastAsia="仿宋_GB2312" w:cs="DengXian-Regular"/>
          <w:sz w:val="32"/>
          <w:szCs w:val="32"/>
        </w:rPr>
        <w:t>/</w:t>
      </w:r>
      <w:r>
        <w:rPr>
          <w:rFonts w:hint="default" w:ascii="仿宋_GB2312" w:eastAsia="仿宋_GB2312" w:cs="DengXian-Regular"/>
          <w:sz w:val="32"/>
          <w:szCs w:val="32"/>
          <w:lang w:val="en-US"/>
        </w:rPr>
        <w:t>1501.16</w:t>
      </w:r>
      <w:r>
        <w:rPr>
          <w:rFonts w:hint="eastAsia" w:ascii="仿宋_GB2312" w:eastAsia="仿宋_GB2312" w:cs="DengXian-Regular"/>
          <w:sz w:val="32"/>
          <w:szCs w:val="32"/>
        </w:rPr>
        <w:t>）*100%=</w:t>
      </w:r>
      <w:r>
        <w:rPr>
          <w:rFonts w:hint="default" w:ascii="仿宋_GB2312" w:eastAsia="仿宋_GB2312" w:cs="DengXian-Regular"/>
          <w:sz w:val="32"/>
          <w:szCs w:val="32"/>
          <w:lang w:val="en-US"/>
        </w:rPr>
        <w:t>97.44</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该指标实际得分5分。</w:t>
      </w:r>
    </w:p>
    <w:p>
      <w:pPr>
        <w:pStyle w:val="4"/>
        <w:spacing w:before="0" w:after="0"/>
        <w:ind w:firstLine="643" w:firstLineChars="200"/>
        <w:jc w:val="both"/>
        <w:rPr>
          <w:rFonts w:ascii="楷体" w:hAnsi="楷体" w:eastAsia="楷体"/>
          <w:sz w:val="32"/>
          <w:highlight w:val="none"/>
        </w:rPr>
      </w:pPr>
      <w:r>
        <w:rPr>
          <w:rFonts w:hint="eastAsia" w:ascii="楷体" w:hAnsi="楷体" w:eastAsia="楷体"/>
          <w:sz w:val="32"/>
        </w:rPr>
        <w:t>（二）过</w:t>
      </w:r>
      <w:r>
        <w:rPr>
          <w:rFonts w:hint="eastAsia" w:ascii="楷体" w:hAnsi="楷体" w:eastAsia="楷体"/>
          <w:sz w:val="32"/>
          <w:highlight w:val="none"/>
        </w:rPr>
        <w:t>程（4</w:t>
      </w:r>
      <w:r>
        <w:rPr>
          <w:rFonts w:hint="default" w:ascii="楷体" w:hAnsi="楷体" w:eastAsia="楷体"/>
          <w:sz w:val="32"/>
          <w:highlight w:val="none"/>
          <w:lang w:val="en-US"/>
        </w:rPr>
        <w:t>6</w:t>
      </w:r>
      <w:r>
        <w:rPr>
          <w:rFonts w:hint="eastAsia" w:ascii="楷体" w:hAnsi="楷体" w:eastAsia="楷体"/>
          <w:sz w:val="32"/>
          <w:highlight w:val="none"/>
        </w:rPr>
        <w:t>分）</w:t>
      </w:r>
      <w:bookmarkEnd w:id="62"/>
    </w:p>
    <w:p>
      <w:pPr>
        <w:spacing w:after="0" w:line="360" w:lineRule="auto"/>
        <w:ind w:firstLine="640" w:firstLineChars="200"/>
        <w:jc w:val="both"/>
        <w:textAlignment w:val="baseline"/>
        <w:rPr>
          <w:rFonts w:hint="eastAsia" w:ascii="仿宋_GB2312" w:eastAsia="仿宋_GB2312" w:cs="DengXian-Regular"/>
          <w:sz w:val="32"/>
          <w:szCs w:val="32"/>
        </w:rPr>
      </w:pPr>
      <w:bookmarkStart w:id="63" w:name="_Toc464638480"/>
      <w:bookmarkStart w:id="64" w:name="_Toc464638487"/>
      <w:bookmarkStart w:id="65" w:name="_Toc465149514"/>
      <w:r>
        <w:rPr>
          <w:rFonts w:hint="eastAsia" w:ascii="仿宋_GB2312" w:eastAsia="仿宋_GB2312" w:cs="DengXian-Regular"/>
          <w:sz w:val="32"/>
          <w:szCs w:val="32"/>
        </w:rPr>
        <w:t>该一级指标包含预算执行、预算管理和资产管理三个二级指标，主要反映预算调整、收入支出完成情况，“三公”经费、政府采购执行情况，财务管理是否规范、资金使用是否合规、资产管理是否全面及决算的真实性。</w:t>
      </w:r>
    </w:p>
    <w:p>
      <w:pPr>
        <w:spacing w:after="0" w:line="360" w:lineRule="auto"/>
        <w:jc w:val="center"/>
        <w:textAlignment w:val="baseline"/>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表3  过程指标及得分情况表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557"/>
        <w:gridCol w:w="1388"/>
        <w:gridCol w:w="2277"/>
        <w:gridCol w:w="115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一级指标</w:t>
            </w:r>
          </w:p>
        </w:tc>
        <w:tc>
          <w:tcPr>
            <w:tcW w:w="1388" w:type="dxa"/>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二级指标</w:t>
            </w:r>
          </w:p>
        </w:tc>
        <w:tc>
          <w:tcPr>
            <w:tcW w:w="2277" w:type="dxa"/>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三级指标</w:t>
            </w:r>
          </w:p>
        </w:tc>
        <w:tc>
          <w:tcPr>
            <w:tcW w:w="1155" w:type="dxa"/>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分数权重</w:t>
            </w:r>
          </w:p>
        </w:tc>
        <w:tc>
          <w:tcPr>
            <w:tcW w:w="1276" w:type="dxa"/>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restart"/>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过程（46分）</w:t>
            </w:r>
          </w:p>
        </w:tc>
        <w:tc>
          <w:tcPr>
            <w:tcW w:w="1388" w:type="dxa"/>
            <w:vMerge w:val="restart"/>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预算执行</w:t>
            </w:r>
          </w:p>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（23分）</w:t>
            </w: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预算调整率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支付进度率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预算完成率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结转结余率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结转结余变动率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公用经费控制率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“三公经费”控制率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10</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政府采购执行率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restart"/>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预算管理</w:t>
            </w:r>
          </w:p>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（13分）</w:t>
            </w: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管理制度健全性</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资金使用合规性</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预决算信息公开</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基础信息完</w:t>
            </w:r>
            <w:r>
              <w:rPr>
                <w:rFonts w:hint="eastAsia" w:cs="宋体" w:asciiTheme="minorEastAsia" w:hAnsiTheme="minorEastAsia" w:eastAsiaTheme="minorEastAsia"/>
                <w:sz w:val="21"/>
                <w:szCs w:val="21"/>
                <w:lang w:eastAsia="zh-CN"/>
              </w:rPr>
              <w:t>整</w:t>
            </w:r>
            <w:r>
              <w:rPr>
                <w:rFonts w:hint="eastAsia" w:cs="宋体" w:asciiTheme="minorEastAsia" w:hAnsiTheme="minorEastAsia" w:eastAsiaTheme="minorEastAsia"/>
                <w:sz w:val="21"/>
                <w:szCs w:val="21"/>
              </w:rPr>
              <w:t>性</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67"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restart"/>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资产管理</w:t>
            </w:r>
          </w:p>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（10分）</w:t>
            </w: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管理制度健全性</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2"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资产管理安全性</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1276"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2" w:hRule="exact"/>
          <w:jc w:val="center"/>
        </w:trPr>
        <w:tc>
          <w:tcPr>
            <w:tcW w:w="1557" w:type="dxa"/>
            <w:vMerge w:val="continue"/>
            <w:vAlign w:val="center"/>
          </w:tcPr>
          <w:p>
            <w:pPr>
              <w:spacing w:line="420" w:lineRule="exact"/>
              <w:jc w:val="center"/>
              <w:rPr>
                <w:rFonts w:cs="宋体" w:asciiTheme="minorEastAsia" w:hAnsiTheme="minorEastAsia" w:eastAsiaTheme="minorEastAsia"/>
                <w:sz w:val="21"/>
                <w:szCs w:val="21"/>
              </w:rPr>
            </w:pPr>
          </w:p>
        </w:tc>
        <w:tc>
          <w:tcPr>
            <w:tcW w:w="1388" w:type="dxa"/>
            <w:vMerge w:val="continue"/>
            <w:vAlign w:val="center"/>
          </w:tcPr>
          <w:p>
            <w:pPr>
              <w:spacing w:line="420" w:lineRule="exact"/>
              <w:jc w:val="center"/>
              <w:rPr>
                <w:rFonts w:cs="宋体" w:asciiTheme="minorEastAsia" w:hAnsiTheme="minorEastAsia" w:eastAsiaTheme="minorEastAsia"/>
                <w:sz w:val="21"/>
                <w:szCs w:val="21"/>
              </w:rPr>
            </w:pPr>
          </w:p>
        </w:tc>
        <w:tc>
          <w:tcPr>
            <w:tcW w:w="2277"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固定资产利用率</w:t>
            </w: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w:t>
            </w:r>
          </w:p>
        </w:tc>
        <w:tc>
          <w:tcPr>
            <w:tcW w:w="1276" w:type="dxa"/>
            <w:vAlign w:val="center"/>
          </w:tcPr>
          <w:p>
            <w:pPr>
              <w:spacing w:line="420" w:lineRule="exact"/>
              <w:jc w:val="center"/>
              <w:rPr>
                <w:rFonts w:hint="default" w:cs="宋体" w:asciiTheme="minorEastAsia" w:hAnsiTheme="minorEastAsia" w:eastAsiaTheme="minorEastAsia"/>
                <w:sz w:val="21"/>
                <w:szCs w:val="21"/>
                <w:lang w:val="en-US"/>
              </w:rPr>
            </w:pPr>
            <w:r>
              <w:rPr>
                <w:rFonts w:hint="default" w:cs="宋体" w:asciiTheme="minorEastAsia" w:hAnsiTheme="minorEastAsia" w:eastAsiaTheme="minorEastAsia"/>
                <w:sz w:val="21"/>
                <w:szCs w:val="21"/>
                <w:lang w:val="en-US"/>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exact"/>
          <w:jc w:val="center"/>
        </w:trPr>
        <w:tc>
          <w:tcPr>
            <w:tcW w:w="2945" w:type="dxa"/>
            <w:gridSpan w:val="2"/>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合计</w:t>
            </w:r>
          </w:p>
        </w:tc>
        <w:tc>
          <w:tcPr>
            <w:tcW w:w="2277" w:type="dxa"/>
            <w:vAlign w:val="center"/>
          </w:tcPr>
          <w:p>
            <w:pPr>
              <w:spacing w:line="420" w:lineRule="exact"/>
              <w:jc w:val="center"/>
              <w:rPr>
                <w:rFonts w:cs="宋体" w:asciiTheme="minorEastAsia" w:hAnsiTheme="minorEastAsia" w:eastAsiaTheme="minorEastAsia"/>
                <w:sz w:val="21"/>
                <w:szCs w:val="21"/>
              </w:rPr>
            </w:pPr>
          </w:p>
        </w:tc>
        <w:tc>
          <w:tcPr>
            <w:tcW w:w="1155" w:type="dxa"/>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46</w:t>
            </w:r>
          </w:p>
        </w:tc>
        <w:tc>
          <w:tcPr>
            <w:tcW w:w="1276" w:type="dxa"/>
            <w:vAlign w:val="center"/>
          </w:tcPr>
          <w:p>
            <w:pPr>
              <w:spacing w:line="420" w:lineRule="exact"/>
              <w:jc w:val="center"/>
              <w:rPr>
                <w:rFonts w:hint="default" w:cs="宋体" w:asciiTheme="minorEastAsia" w:hAnsiTheme="minorEastAsia" w:eastAsiaTheme="minorEastAsia"/>
                <w:sz w:val="21"/>
                <w:szCs w:val="21"/>
                <w:lang w:val="en-US"/>
              </w:rPr>
            </w:pPr>
            <w:r>
              <w:rPr>
                <w:rFonts w:hint="eastAsia" w:cs="宋体" w:asciiTheme="minorEastAsia" w:hAnsiTheme="minorEastAsia" w:eastAsiaTheme="minorEastAsia"/>
                <w:sz w:val="21"/>
                <w:szCs w:val="21"/>
              </w:rPr>
              <w:t>4</w:t>
            </w:r>
            <w:r>
              <w:rPr>
                <w:rFonts w:hint="default" w:cs="宋体" w:asciiTheme="minorEastAsia" w:hAnsiTheme="minorEastAsia" w:eastAsiaTheme="minorEastAsia"/>
                <w:sz w:val="21"/>
                <w:szCs w:val="21"/>
                <w:lang w:val="en-US"/>
              </w:rPr>
              <w:t>4</w:t>
            </w:r>
          </w:p>
        </w:tc>
      </w:tr>
      <w:bookmarkEnd w:id="63"/>
      <w:bookmarkEnd w:id="64"/>
      <w:bookmarkEnd w:id="65"/>
    </w:tbl>
    <w:p>
      <w:pPr>
        <w:spacing w:after="0" w:line="360" w:lineRule="auto"/>
        <w:ind w:firstLine="640" w:firstLineChars="200"/>
        <w:jc w:val="both"/>
        <w:textAlignment w:val="baseline"/>
        <w:rPr>
          <w:rFonts w:hint="eastAsia" w:ascii="仿宋_GB2312" w:eastAsia="仿宋_GB2312" w:cs="DengXian-Regular"/>
          <w:sz w:val="32"/>
          <w:szCs w:val="32"/>
        </w:rPr>
      </w:pPr>
      <w:bookmarkStart w:id="66" w:name="_Toc12330"/>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1.预算执行（23分）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（1）预算调整率（2分）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该指标主要评价预算收入的调整情况，进而衡量预算收入编制的准确性，通过预算收入调整率衡量。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预算收入调整率=（调整预算数-年初预算数）/年初预算数*100%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根据区工信局的预算指标文件，其中主要几项：徐财预指[202</w:t>
      </w:r>
      <w:r>
        <w:rPr>
          <w:rFonts w:hint="default" w:ascii="仿宋_GB2312" w:eastAsia="仿宋_GB2312" w:cs="DengXian-Regular"/>
          <w:sz w:val="32"/>
          <w:szCs w:val="32"/>
          <w:lang w:val="en-US"/>
        </w:rPr>
        <w:t>2</w:t>
      </w:r>
      <w:r>
        <w:rPr>
          <w:rFonts w:hint="eastAsia" w:ascii="仿宋_GB2312" w:eastAsia="仿宋_GB2312" w:cs="DengXian-Regular"/>
          <w:sz w:val="32"/>
          <w:szCs w:val="32"/>
        </w:rPr>
        <w:t>]</w:t>
      </w:r>
      <w:r>
        <w:rPr>
          <w:rFonts w:hint="default" w:ascii="仿宋_GB2312" w:eastAsia="仿宋_GB2312" w:cs="DengXian-Regular"/>
          <w:sz w:val="32"/>
          <w:szCs w:val="32"/>
          <w:lang w:val="en-US"/>
        </w:rPr>
        <w:t>2</w:t>
      </w:r>
      <w:r>
        <w:rPr>
          <w:rFonts w:hint="eastAsia" w:ascii="仿宋_GB2312" w:eastAsia="仿宋_GB2312" w:cs="DengXian-Regular"/>
          <w:sz w:val="32"/>
          <w:szCs w:val="32"/>
        </w:rPr>
        <w:t>-</w:t>
      </w:r>
      <w:r>
        <w:rPr>
          <w:rFonts w:hint="default" w:ascii="仿宋_GB2312" w:eastAsia="仿宋_GB2312" w:cs="DengXian-Regular"/>
          <w:sz w:val="32"/>
          <w:szCs w:val="32"/>
          <w:lang w:val="en-US"/>
        </w:rPr>
        <w:t>1164</w:t>
      </w:r>
      <w:r>
        <w:rPr>
          <w:rFonts w:hint="eastAsia" w:ascii="仿宋_GB2312" w:eastAsia="仿宋_GB2312" w:cs="DengXian-Regular"/>
          <w:sz w:val="32"/>
          <w:szCs w:val="32"/>
        </w:rPr>
        <w:t>号追加</w:t>
      </w:r>
      <w:r>
        <w:rPr>
          <w:rFonts w:hint="eastAsia" w:ascii="仿宋_GB2312" w:eastAsia="仿宋_GB2312" w:cs="DengXian-Regular"/>
          <w:sz w:val="32"/>
          <w:szCs w:val="32"/>
          <w:lang w:eastAsia="zh-CN"/>
        </w:rPr>
        <w:t>下达</w:t>
      </w:r>
      <w:r>
        <w:rPr>
          <w:rFonts w:hint="default" w:ascii="仿宋_GB2312" w:eastAsia="仿宋_GB2312" w:cs="DengXian-Regular"/>
          <w:sz w:val="32"/>
          <w:szCs w:val="32"/>
          <w:lang w:val="en-US" w:eastAsia="zh-CN"/>
        </w:rPr>
        <w:t>2022</w:t>
      </w:r>
      <w:r>
        <w:rPr>
          <w:rFonts w:hint="eastAsia" w:ascii="仿宋_GB2312" w:eastAsia="仿宋_GB2312" w:cs="DengXian-Regular"/>
          <w:sz w:val="32"/>
          <w:szCs w:val="32"/>
          <w:lang w:val="en-US" w:eastAsia="zh-CN"/>
        </w:rPr>
        <w:t>年省级工业转型升级（技改）专项资金（第三批）</w:t>
      </w:r>
      <w:r>
        <w:rPr>
          <w:rFonts w:hint="default" w:ascii="仿宋_GB2312" w:eastAsia="仿宋_GB2312" w:cs="DengXian-Regular"/>
          <w:sz w:val="32"/>
          <w:szCs w:val="32"/>
          <w:lang w:val="en-US" w:eastAsia="zh-CN"/>
        </w:rPr>
        <w:t>83</w:t>
      </w:r>
      <w:r>
        <w:rPr>
          <w:rFonts w:hint="eastAsia" w:ascii="仿宋_GB2312" w:eastAsia="仿宋_GB2312" w:cs="DengXian-Regular"/>
          <w:sz w:val="32"/>
          <w:szCs w:val="32"/>
          <w:lang w:val="en-US" w:eastAsia="zh-CN"/>
        </w:rPr>
        <w:t>万元</w:t>
      </w:r>
      <w:r>
        <w:rPr>
          <w:rFonts w:hint="eastAsia" w:ascii="仿宋_GB2312" w:eastAsia="仿宋_GB2312" w:cs="DengXian-Regular"/>
          <w:sz w:val="32"/>
          <w:szCs w:val="32"/>
        </w:rPr>
        <w:t>；徐财预指[202</w:t>
      </w:r>
      <w:r>
        <w:rPr>
          <w:rFonts w:hint="default" w:ascii="仿宋_GB2312" w:eastAsia="仿宋_GB2312" w:cs="DengXian-Regular"/>
          <w:sz w:val="32"/>
          <w:szCs w:val="32"/>
          <w:lang w:val="en-US"/>
        </w:rPr>
        <w:t>2</w:t>
      </w:r>
      <w:r>
        <w:rPr>
          <w:rFonts w:hint="eastAsia" w:ascii="仿宋_GB2312" w:eastAsia="仿宋_GB2312" w:cs="DengXian-Regular"/>
          <w:sz w:val="32"/>
          <w:szCs w:val="32"/>
        </w:rPr>
        <w:t>]2-11</w:t>
      </w:r>
      <w:r>
        <w:rPr>
          <w:rFonts w:hint="default" w:ascii="仿宋_GB2312" w:eastAsia="仿宋_GB2312" w:cs="DengXian-Regular"/>
          <w:sz w:val="32"/>
          <w:szCs w:val="32"/>
          <w:lang w:val="en-US"/>
        </w:rPr>
        <w:t>67</w:t>
      </w:r>
      <w:r>
        <w:rPr>
          <w:rFonts w:hint="eastAsia" w:ascii="仿宋_GB2312" w:eastAsia="仿宋_GB2312" w:cs="DengXian-Regular"/>
          <w:sz w:val="32"/>
          <w:szCs w:val="32"/>
        </w:rPr>
        <w:t>号追加下达</w:t>
      </w:r>
      <w:r>
        <w:rPr>
          <w:rFonts w:hint="default" w:ascii="仿宋_GB2312" w:eastAsia="仿宋_GB2312" w:cs="DengXian-Regular"/>
          <w:sz w:val="32"/>
          <w:szCs w:val="32"/>
          <w:lang w:val="en-US"/>
        </w:rPr>
        <w:t>2022</w:t>
      </w:r>
      <w:r>
        <w:rPr>
          <w:rFonts w:hint="eastAsia" w:ascii="仿宋_GB2312" w:eastAsia="仿宋_GB2312" w:cs="DengXian-Regular"/>
          <w:sz w:val="32"/>
          <w:szCs w:val="32"/>
          <w:lang w:val="en-US" w:eastAsia="zh-CN"/>
        </w:rPr>
        <w:t>年支持市县科技创新和科学普及专项资金（科技企业研发投入后补助）</w:t>
      </w:r>
      <w:r>
        <w:rPr>
          <w:rFonts w:hint="default" w:ascii="仿宋_GB2312" w:eastAsia="仿宋_GB2312" w:cs="DengXian-Regular"/>
          <w:sz w:val="32"/>
          <w:szCs w:val="32"/>
          <w:lang w:val="en-US" w:eastAsia="zh-CN"/>
        </w:rPr>
        <w:t>557.6876</w:t>
      </w:r>
      <w:r>
        <w:rPr>
          <w:rFonts w:hint="eastAsia" w:ascii="仿宋_GB2312" w:eastAsia="仿宋_GB2312" w:cs="DengXian-Regular"/>
          <w:sz w:val="32"/>
          <w:szCs w:val="32"/>
        </w:rPr>
        <w:t>万元；徐财预指[202</w:t>
      </w:r>
      <w:r>
        <w:rPr>
          <w:rFonts w:hint="default" w:ascii="仿宋_GB2312" w:eastAsia="仿宋_GB2312" w:cs="DengXian-Regular"/>
          <w:sz w:val="32"/>
          <w:szCs w:val="32"/>
          <w:lang w:val="en-US"/>
        </w:rPr>
        <w:t>2</w:t>
      </w:r>
      <w:r>
        <w:rPr>
          <w:rFonts w:hint="eastAsia" w:ascii="仿宋_GB2312" w:eastAsia="仿宋_GB2312" w:cs="DengXian-Regular"/>
          <w:sz w:val="32"/>
          <w:szCs w:val="32"/>
        </w:rPr>
        <w:t>]2-</w:t>
      </w:r>
      <w:r>
        <w:rPr>
          <w:rFonts w:hint="default" w:ascii="仿宋_GB2312" w:eastAsia="仿宋_GB2312" w:cs="DengXian-Regular"/>
          <w:sz w:val="32"/>
          <w:szCs w:val="32"/>
          <w:lang w:val="en-US"/>
        </w:rPr>
        <w:t>1127</w:t>
      </w:r>
      <w:r>
        <w:rPr>
          <w:rFonts w:hint="eastAsia" w:ascii="仿宋_GB2312" w:eastAsia="仿宋_GB2312" w:cs="DengXian-Regular"/>
          <w:sz w:val="32"/>
          <w:szCs w:val="32"/>
        </w:rPr>
        <w:t>号追加下达</w:t>
      </w:r>
      <w:r>
        <w:rPr>
          <w:rFonts w:hint="default" w:ascii="仿宋_GB2312" w:eastAsia="仿宋_GB2312" w:cs="DengXian-Regular"/>
          <w:sz w:val="32"/>
          <w:szCs w:val="32"/>
          <w:lang w:val="en-US"/>
        </w:rPr>
        <w:t>2022</w:t>
      </w:r>
      <w:r>
        <w:rPr>
          <w:rFonts w:hint="eastAsia" w:ascii="仿宋_GB2312" w:eastAsia="仿宋_GB2312" w:cs="DengXian-Regular"/>
          <w:sz w:val="32"/>
          <w:szCs w:val="32"/>
          <w:lang w:val="en-US" w:eastAsia="zh-CN"/>
        </w:rPr>
        <w:t>年省级工业转型升级（技改）专项资金（第一批）</w:t>
      </w:r>
      <w:r>
        <w:rPr>
          <w:rFonts w:hint="default" w:ascii="仿宋_GB2312" w:eastAsia="仿宋_GB2312" w:cs="DengXian-Regular"/>
          <w:sz w:val="32"/>
          <w:szCs w:val="32"/>
          <w:lang w:val="en-US" w:eastAsia="zh-CN"/>
        </w:rPr>
        <w:t>270</w:t>
      </w:r>
      <w:r>
        <w:rPr>
          <w:rFonts w:hint="eastAsia" w:ascii="仿宋_GB2312" w:eastAsia="仿宋_GB2312" w:cs="DengXian-Regular"/>
          <w:sz w:val="32"/>
          <w:szCs w:val="32"/>
        </w:rPr>
        <w:t>万元</w:t>
      </w:r>
      <w:r>
        <w:rPr>
          <w:rFonts w:hint="eastAsia" w:ascii="仿宋_GB2312" w:eastAsia="仿宋_GB2312" w:cs="DengXian-Regular"/>
          <w:sz w:val="32"/>
          <w:szCs w:val="32"/>
          <w:lang w:eastAsia="zh-CN"/>
        </w:rPr>
        <w:t>；</w:t>
      </w:r>
      <w:r>
        <w:rPr>
          <w:rFonts w:hint="eastAsia" w:ascii="仿宋_GB2312" w:eastAsia="仿宋_GB2312" w:cs="DengXian-Regular"/>
          <w:sz w:val="32"/>
          <w:szCs w:val="32"/>
        </w:rPr>
        <w:t>徐财预指[202</w:t>
      </w:r>
      <w:r>
        <w:rPr>
          <w:rFonts w:hint="default" w:ascii="仿宋_GB2312" w:eastAsia="仿宋_GB2312" w:cs="DengXian-Regular"/>
          <w:sz w:val="32"/>
          <w:szCs w:val="32"/>
          <w:lang w:val="en-US"/>
        </w:rPr>
        <w:t>2</w:t>
      </w:r>
      <w:r>
        <w:rPr>
          <w:rFonts w:hint="eastAsia" w:ascii="仿宋_GB2312" w:eastAsia="仿宋_GB2312" w:cs="DengXian-Regular"/>
          <w:sz w:val="32"/>
          <w:szCs w:val="32"/>
        </w:rPr>
        <w:t>]</w:t>
      </w:r>
      <w:r>
        <w:rPr>
          <w:rFonts w:hint="default" w:ascii="仿宋_GB2312" w:eastAsia="仿宋_GB2312" w:cs="DengXian-Regular"/>
          <w:sz w:val="32"/>
          <w:szCs w:val="32"/>
          <w:lang w:val="en-US"/>
        </w:rPr>
        <w:t>2</w:t>
      </w:r>
      <w:r>
        <w:rPr>
          <w:rFonts w:hint="eastAsia" w:ascii="仿宋_GB2312" w:eastAsia="仿宋_GB2312" w:cs="DengXian-Regular"/>
          <w:sz w:val="32"/>
          <w:szCs w:val="32"/>
        </w:rPr>
        <w:t>-1</w:t>
      </w:r>
      <w:r>
        <w:rPr>
          <w:rFonts w:hint="default" w:ascii="仿宋_GB2312" w:eastAsia="仿宋_GB2312" w:cs="DengXian-Regular"/>
          <w:sz w:val="32"/>
          <w:szCs w:val="32"/>
          <w:lang w:val="en-US"/>
        </w:rPr>
        <w:t>128</w:t>
      </w:r>
      <w:r>
        <w:rPr>
          <w:rFonts w:hint="eastAsia" w:ascii="仿宋_GB2312" w:eastAsia="仿宋_GB2312" w:cs="DengXian-Regular"/>
          <w:sz w:val="32"/>
          <w:szCs w:val="32"/>
        </w:rPr>
        <w:t>号追加下达</w:t>
      </w:r>
      <w:r>
        <w:rPr>
          <w:rFonts w:hint="default" w:ascii="仿宋_GB2312" w:eastAsia="仿宋_GB2312" w:cs="DengXian-Regular"/>
          <w:sz w:val="32"/>
          <w:szCs w:val="32"/>
          <w:lang w:val="en-US" w:eastAsia="zh-CN"/>
        </w:rPr>
        <w:t>2022</w:t>
      </w:r>
      <w:r>
        <w:rPr>
          <w:rFonts w:hint="eastAsia" w:ascii="仿宋_GB2312" w:eastAsia="仿宋_GB2312" w:cs="DengXian-Regular"/>
          <w:sz w:val="32"/>
          <w:szCs w:val="32"/>
          <w:lang w:val="en-US" w:eastAsia="zh-CN"/>
        </w:rPr>
        <w:t>年省级中小企业发展专项资金（第一批）</w:t>
      </w:r>
      <w:r>
        <w:rPr>
          <w:rFonts w:hint="default" w:ascii="仿宋_GB2312" w:eastAsia="仿宋_GB2312" w:cs="DengXian-Regular"/>
          <w:sz w:val="32"/>
          <w:szCs w:val="32"/>
          <w:lang w:val="en-US" w:eastAsia="zh-CN"/>
        </w:rPr>
        <w:t>100</w:t>
      </w:r>
      <w:r>
        <w:rPr>
          <w:rFonts w:hint="eastAsia" w:ascii="仿宋_GB2312" w:eastAsia="仿宋_GB2312" w:cs="DengXian-Regular"/>
          <w:sz w:val="32"/>
          <w:szCs w:val="32"/>
        </w:rPr>
        <w:t>万元</w:t>
      </w:r>
      <w:r>
        <w:rPr>
          <w:rFonts w:hint="eastAsia" w:ascii="仿宋_GB2312" w:eastAsia="仿宋_GB2312" w:cs="DengXian-Regular"/>
          <w:sz w:val="32"/>
          <w:szCs w:val="32"/>
          <w:lang w:eastAsia="zh-CN"/>
        </w:rPr>
        <w:t>；徐财预指</w:t>
      </w: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w:t>
      </w:r>
      <w:r>
        <w:rPr>
          <w:rFonts w:hint="default" w:ascii="仿宋_GB2312" w:eastAsia="仿宋_GB2312" w:cs="DengXian-Regular"/>
          <w:sz w:val="32"/>
          <w:szCs w:val="32"/>
          <w:lang w:val="en-US"/>
        </w:rPr>
        <w:t>2-1129</w:t>
      </w:r>
      <w:r>
        <w:rPr>
          <w:rFonts w:hint="eastAsia" w:ascii="仿宋_GB2312" w:eastAsia="仿宋_GB2312" w:cs="DengXian-Regular"/>
          <w:sz w:val="32"/>
          <w:szCs w:val="32"/>
          <w:lang w:val="en-US" w:eastAsia="zh-CN"/>
        </w:rPr>
        <w:t>号下达</w:t>
      </w:r>
      <w:r>
        <w:rPr>
          <w:rFonts w:hint="default" w:ascii="仿宋_GB2312" w:eastAsia="仿宋_GB2312" w:cs="DengXian-Regular"/>
          <w:sz w:val="32"/>
          <w:szCs w:val="32"/>
          <w:lang w:val="en-US" w:eastAsia="zh-CN"/>
        </w:rPr>
        <w:t>2022</w:t>
      </w:r>
      <w:r>
        <w:rPr>
          <w:rFonts w:hint="eastAsia" w:ascii="仿宋_GB2312" w:eastAsia="仿宋_GB2312" w:cs="DengXian-Regular"/>
          <w:sz w:val="32"/>
          <w:szCs w:val="32"/>
          <w:lang w:val="en-US" w:eastAsia="zh-CN"/>
        </w:rPr>
        <w:t>年省级工业设计发展专项资金（第二批）</w:t>
      </w:r>
      <w:r>
        <w:rPr>
          <w:rFonts w:hint="default" w:ascii="仿宋_GB2312" w:eastAsia="仿宋_GB2312" w:cs="DengXian-Regular"/>
          <w:sz w:val="32"/>
          <w:szCs w:val="32"/>
          <w:lang w:val="en-US" w:eastAsia="zh-CN"/>
        </w:rPr>
        <w:t>100</w:t>
      </w:r>
      <w:r>
        <w:rPr>
          <w:rFonts w:hint="eastAsia" w:ascii="仿宋_GB2312" w:eastAsia="仿宋_GB2312" w:cs="DengXian-Regular"/>
          <w:sz w:val="32"/>
          <w:szCs w:val="32"/>
          <w:lang w:val="en-US" w:eastAsia="zh-CN"/>
        </w:rPr>
        <w:t>万元</w:t>
      </w:r>
      <w:r>
        <w:rPr>
          <w:rFonts w:hint="eastAsia" w:ascii="仿宋_GB2312" w:eastAsia="仿宋_GB2312" w:cs="DengXian-Regular"/>
          <w:sz w:val="32"/>
          <w:szCs w:val="32"/>
        </w:rPr>
        <w:t>。区工信局预算调整主要原因为上级下达的专项资金增加。</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该项指标实际得分2分。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（2）支付进度率（1分）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该指标主要评价部门支出进度的完成情况，用以反映部门预算支出的完成程度，通过支付进度率衡量。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支付进度率=（实际支付进度/既定支付进度）×100%。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年工信局支出进度基本达到要求。</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（3）预算完成率（1分）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年部门实际完成的预算数完成财政部门批复的年初预算数情况，通过预算完成率衡量。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预算完成率=（预算完成数/年初预算数）*100%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年预算文本及相关表格，202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年年初财政部门批复预算</w:t>
      </w:r>
      <w:r>
        <w:rPr>
          <w:rFonts w:hint="default" w:ascii="仿宋_GB2312" w:eastAsia="仿宋_GB2312" w:cs="DengXian-Regular"/>
          <w:sz w:val="32"/>
          <w:szCs w:val="32"/>
          <w:lang w:val="en-US"/>
        </w:rPr>
        <w:t>1312.83</w:t>
      </w:r>
      <w:r>
        <w:rPr>
          <w:rFonts w:hint="eastAsia" w:ascii="仿宋_GB2312" w:eastAsia="仿宋_GB2312" w:cs="DengXian-Regular"/>
          <w:sz w:val="32"/>
          <w:szCs w:val="32"/>
        </w:rPr>
        <w:t>万元，实际完成预算</w:t>
      </w:r>
      <w:r>
        <w:rPr>
          <w:rFonts w:hint="default" w:ascii="仿宋_GB2312" w:eastAsia="仿宋_GB2312" w:cs="DengXian-Regular"/>
          <w:sz w:val="32"/>
          <w:szCs w:val="32"/>
          <w:lang w:val="en-US"/>
        </w:rPr>
        <w:t>2754.51</w:t>
      </w:r>
      <w:r>
        <w:rPr>
          <w:rFonts w:hint="eastAsia" w:ascii="仿宋_GB2312" w:eastAsia="仿宋_GB2312" w:cs="DengXian-Regular"/>
          <w:sz w:val="32"/>
          <w:szCs w:val="32"/>
        </w:rPr>
        <w:t>万元。预算完成率=</w:t>
      </w:r>
      <w:r>
        <w:rPr>
          <w:rFonts w:hint="default" w:ascii="仿宋_GB2312" w:eastAsia="仿宋_GB2312" w:cs="DengXian-Regular"/>
          <w:sz w:val="32"/>
          <w:szCs w:val="32"/>
          <w:lang w:val="en-US"/>
        </w:rPr>
        <w:t>2754.51</w:t>
      </w:r>
      <w:r>
        <w:rPr>
          <w:rFonts w:hint="eastAsia" w:ascii="仿宋_GB2312" w:eastAsia="仿宋_GB2312" w:cs="DengXian-Regular"/>
          <w:sz w:val="32"/>
          <w:szCs w:val="32"/>
        </w:rPr>
        <w:t>/</w:t>
      </w:r>
      <w:r>
        <w:rPr>
          <w:rFonts w:hint="default" w:ascii="仿宋_GB2312" w:eastAsia="仿宋_GB2312" w:cs="DengXian-Regular"/>
          <w:sz w:val="32"/>
          <w:szCs w:val="32"/>
          <w:lang w:val="en-US"/>
        </w:rPr>
        <w:t>1312.83</w:t>
      </w:r>
      <w:r>
        <w:rPr>
          <w:rFonts w:hint="eastAsia" w:ascii="仿宋_GB2312" w:eastAsia="仿宋_GB2312" w:cs="DengXian-Regular"/>
          <w:sz w:val="32"/>
          <w:szCs w:val="32"/>
        </w:rPr>
        <w:t>*100%=</w:t>
      </w:r>
      <w:r>
        <w:rPr>
          <w:rFonts w:hint="default" w:ascii="仿宋_GB2312" w:eastAsia="仿宋_GB2312" w:cs="DengXian-Regular"/>
          <w:sz w:val="32"/>
          <w:szCs w:val="32"/>
          <w:lang w:val="en-US"/>
        </w:rPr>
        <w:t>209.81</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（4）结转结余率（1分）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该指标主要评价部门结转结余数占支出预算数的比重，通过结转结余率来衡量。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结转结余率=（结转结余总额/支出预算数）*100%。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年部门决算总表，区工信局202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年部门总支出预算数</w:t>
      </w:r>
      <w:r>
        <w:rPr>
          <w:rFonts w:hint="default" w:ascii="仿宋_GB2312" w:eastAsia="仿宋_GB2312" w:cs="DengXian-Regular"/>
          <w:sz w:val="32"/>
          <w:szCs w:val="32"/>
          <w:lang w:val="en-US"/>
        </w:rPr>
        <w:t>2754.51</w:t>
      </w:r>
      <w:r>
        <w:rPr>
          <w:rFonts w:hint="eastAsia" w:ascii="仿宋_GB2312" w:eastAsia="仿宋_GB2312" w:cs="DengXian-Regular"/>
          <w:sz w:val="32"/>
          <w:szCs w:val="32"/>
        </w:rPr>
        <w:t>万元，结转结余</w:t>
      </w:r>
      <w:r>
        <w:rPr>
          <w:rFonts w:hint="default" w:ascii="仿宋_GB2312" w:eastAsia="仿宋_GB2312" w:cs="DengXian-Regular"/>
          <w:sz w:val="32"/>
          <w:szCs w:val="32"/>
          <w:lang w:val="en-US"/>
        </w:rPr>
        <w:t>0</w:t>
      </w:r>
      <w:r>
        <w:rPr>
          <w:rFonts w:hint="eastAsia" w:ascii="仿宋_GB2312" w:eastAsia="仿宋_GB2312" w:cs="DengXian-Regular"/>
          <w:sz w:val="32"/>
          <w:szCs w:val="32"/>
        </w:rPr>
        <w:t>万元。结转结余率=（</w:t>
      </w:r>
      <w:r>
        <w:rPr>
          <w:rFonts w:hint="default" w:ascii="仿宋_GB2312" w:eastAsia="仿宋_GB2312" w:cs="DengXian-Regular"/>
          <w:sz w:val="32"/>
          <w:szCs w:val="32"/>
          <w:lang w:val="en-US"/>
        </w:rPr>
        <w:t>0</w:t>
      </w:r>
      <w:r>
        <w:rPr>
          <w:rFonts w:hint="eastAsia" w:ascii="仿宋_GB2312" w:eastAsia="仿宋_GB2312" w:cs="DengXian-Regular"/>
          <w:sz w:val="32"/>
          <w:szCs w:val="32"/>
        </w:rPr>
        <w:t>/</w:t>
      </w:r>
      <w:r>
        <w:rPr>
          <w:rFonts w:hint="default" w:ascii="仿宋_GB2312" w:eastAsia="仿宋_GB2312" w:cs="DengXian-Regular"/>
          <w:sz w:val="32"/>
          <w:szCs w:val="32"/>
          <w:lang w:val="en-US"/>
        </w:rPr>
        <w:t>2754.51</w:t>
      </w:r>
      <w:r>
        <w:rPr>
          <w:rFonts w:hint="eastAsia" w:ascii="仿宋_GB2312" w:eastAsia="仿宋_GB2312" w:cs="DengXian-Regular"/>
          <w:sz w:val="32"/>
          <w:szCs w:val="32"/>
        </w:rPr>
        <w:t>）*100%=</w:t>
      </w:r>
      <w:r>
        <w:rPr>
          <w:rFonts w:hint="default" w:ascii="仿宋_GB2312" w:eastAsia="仿宋_GB2312" w:cs="DengXian-Regular"/>
          <w:sz w:val="32"/>
          <w:szCs w:val="32"/>
          <w:lang w:val="en-US"/>
        </w:rPr>
        <w:t>0</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（5)结转结余变动率（1分）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该指标主要评价202</w:t>
      </w:r>
      <w:r>
        <w:rPr>
          <w:rFonts w:hint="default" w:ascii="仿宋_GB2312" w:eastAsia="仿宋_GB2312" w:cs="DengXian-Regular"/>
          <w:sz w:val="32"/>
          <w:szCs w:val="32"/>
          <w:lang w:val="en-US"/>
        </w:rPr>
        <w:t>2</w:t>
      </w:r>
      <w:r>
        <w:rPr>
          <w:rFonts w:hint="eastAsia" w:ascii="仿宋_GB2312" w:eastAsia="仿宋_GB2312" w:cs="DengXian-Regular"/>
          <w:sz w:val="32"/>
          <w:szCs w:val="32"/>
        </w:rPr>
        <w:t>年结转结余资金总额较20</w:t>
      </w:r>
      <w:r>
        <w:rPr>
          <w:rFonts w:hint="default" w:ascii="仿宋_GB2312" w:eastAsia="仿宋_GB2312" w:cs="DengXian-Regular"/>
          <w:sz w:val="32"/>
          <w:szCs w:val="32"/>
          <w:lang w:val="en-US"/>
        </w:rPr>
        <w:t>21</w:t>
      </w:r>
      <w:r>
        <w:rPr>
          <w:rFonts w:hint="eastAsia" w:ascii="仿宋_GB2312" w:eastAsia="仿宋_GB2312" w:cs="DengXian-Regular"/>
          <w:sz w:val="32"/>
          <w:szCs w:val="32"/>
        </w:rPr>
        <w:t>年结转结余资金总额增减变化情况，通过结转结余变动率来衡量。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结转结余变动率=（本年度结转结余总额-上年度结转结余总额）/上年度结转结余资金总额/100%。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根据20</w:t>
      </w:r>
      <w:r>
        <w:rPr>
          <w:rFonts w:hint="default" w:ascii="仿宋_GB2312" w:eastAsia="仿宋_GB2312" w:cs="DengXian-Regular"/>
          <w:sz w:val="32"/>
          <w:szCs w:val="32"/>
          <w:lang w:val="en-US"/>
        </w:rPr>
        <w:t>21</w:t>
      </w:r>
      <w:r>
        <w:rPr>
          <w:rFonts w:hint="eastAsia" w:ascii="仿宋_GB2312" w:eastAsia="仿宋_GB2312" w:cs="DengXian-Regular"/>
          <w:sz w:val="32"/>
          <w:szCs w:val="32"/>
        </w:rPr>
        <w:t>年和202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年决算收支总表，区工信局20</w:t>
      </w:r>
      <w:r>
        <w:rPr>
          <w:rFonts w:hint="default" w:ascii="仿宋_GB2312" w:eastAsia="仿宋_GB2312" w:cs="DengXian-Regular"/>
          <w:sz w:val="32"/>
          <w:szCs w:val="32"/>
          <w:lang w:val="en-US"/>
        </w:rPr>
        <w:t>21</w:t>
      </w:r>
      <w:r>
        <w:rPr>
          <w:rFonts w:hint="eastAsia" w:ascii="仿宋_GB2312" w:eastAsia="仿宋_GB2312" w:cs="DengXian-Regular"/>
          <w:sz w:val="32"/>
          <w:szCs w:val="32"/>
        </w:rPr>
        <w:t>年结转结余资金总额</w:t>
      </w:r>
      <w:r>
        <w:rPr>
          <w:rFonts w:hint="default" w:ascii="仿宋_GB2312" w:eastAsia="仿宋_GB2312" w:cs="DengXian-Regular"/>
          <w:sz w:val="32"/>
          <w:szCs w:val="32"/>
          <w:lang w:val="en-US"/>
        </w:rPr>
        <w:t>0</w:t>
      </w:r>
      <w:r>
        <w:rPr>
          <w:rFonts w:hint="eastAsia" w:ascii="仿宋_GB2312" w:eastAsia="仿宋_GB2312" w:cs="DengXian-Regular"/>
          <w:sz w:val="32"/>
          <w:szCs w:val="32"/>
        </w:rPr>
        <w:t>元，202</w:t>
      </w:r>
      <w:r>
        <w:rPr>
          <w:rFonts w:hint="default" w:ascii="仿宋_GB2312" w:eastAsia="仿宋_GB2312" w:cs="DengXian-Regular"/>
          <w:sz w:val="32"/>
          <w:szCs w:val="32"/>
          <w:lang w:val="en-US"/>
        </w:rPr>
        <w:t>2</w:t>
      </w:r>
      <w:r>
        <w:rPr>
          <w:rFonts w:hint="eastAsia" w:ascii="仿宋_GB2312" w:eastAsia="仿宋_GB2312" w:cs="DengXian-Regular"/>
          <w:sz w:val="32"/>
          <w:szCs w:val="32"/>
        </w:rPr>
        <w:t>年结转结余资金总额</w:t>
      </w:r>
      <w:r>
        <w:rPr>
          <w:rFonts w:hint="default" w:ascii="仿宋_GB2312" w:eastAsia="仿宋_GB2312" w:cs="DengXian-Regular"/>
          <w:sz w:val="32"/>
          <w:szCs w:val="32"/>
          <w:lang w:val="en-US"/>
        </w:rPr>
        <w:t>0</w:t>
      </w:r>
      <w:r>
        <w:rPr>
          <w:rFonts w:hint="eastAsia" w:ascii="仿宋_GB2312" w:eastAsia="仿宋_GB2312" w:cs="DengXian-Regular"/>
          <w:sz w:val="32"/>
          <w:szCs w:val="32"/>
        </w:rPr>
        <w:t>万元。结转结余变动率=</w:t>
      </w:r>
      <w:r>
        <w:rPr>
          <w:rFonts w:hint="default" w:ascii="仿宋_GB2312" w:eastAsia="仿宋_GB2312" w:cs="DengXian-Regular"/>
          <w:sz w:val="32"/>
          <w:szCs w:val="32"/>
          <w:lang w:val="en-US"/>
        </w:rPr>
        <w:t>0</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该指标实际得分1分。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（6）公用经费控制率（5分）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该指标主要评价公用经费是否得到有效控制，通过公用经费控制率来衡量。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公用经费控制率=（实际支出公用经费总额/预算安排公用经费总额）*100%。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年预算决算相关表格资料，公用经费预算</w:t>
      </w:r>
      <w:r>
        <w:rPr>
          <w:rFonts w:hint="default" w:ascii="仿宋_GB2312" w:eastAsia="仿宋_GB2312" w:cs="DengXian-Regular"/>
          <w:sz w:val="32"/>
          <w:szCs w:val="32"/>
          <w:lang w:val="en-US"/>
        </w:rPr>
        <w:t>115.76</w:t>
      </w:r>
      <w:r>
        <w:rPr>
          <w:rFonts w:hint="eastAsia" w:ascii="仿宋_GB2312" w:eastAsia="仿宋_GB2312" w:cs="DengXian-Regular"/>
          <w:sz w:val="32"/>
          <w:szCs w:val="32"/>
        </w:rPr>
        <w:t>万元，实际支出公用经费</w:t>
      </w:r>
      <w:r>
        <w:rPr>
          <w:rFonts w:hint="default" w:ascii="仿宋_GB2312" w:eastAsia="仿宋_GB2312" w:cs="DengXian-Regular"/>
          <w:sz w:val="32"/>
          <w:szCs w:val="32"/>
          <w:lang w:val="en-US"/>
        </w:rPr>
        <w:t>113.37</w:t>
      </w:r>
      <w:r>
        <w:rPr>
          <w:rFonts w:hint="eastAsia" w:ascii="仿宋_GB2312" w:eastAsia="仿宋_GB2312" w:cs="DengXian-Regular"/>
          <w:sz w:val="32"/>
          <w:szCs w:val="32"/>
        </w:rPr>
        <w:t>万元。公用经费控制率=（</w:t>
      </w:r>
      <w:r>
        <w:rPr>
          <w:rFonts w:hint="default" w:ascii="仿宋_GB2312" w:eastAsia="仿宋_GB2312" w:cs="DengXian-Regular"/>
          <w:sz w:val="32"/>
          <w:szCs w:val="32"/>
          <w:lang w:val="en-US"/>
        </w:rPr>
        <w:t>113.37</w:t>
      </w:r>
      <w:r>
        <w:rPr>
          <w:rFonts w:hint="eastAsia" w:ascii="仿宋_GB2312" w:eastAsia="仿宋_GB2312" w:cs="DengXian-Regular"/>
          <w:sz w:val="32"/>
          <w:szCs w:val="32"/>
        </w:rPr>
        <w:t>/</w:t>
      </w:r>
      <w:r>
        <w:rPr>
          <w:rFonts w:hint="default" w:ascii="仿宋_GB2312" w:eastAsia="仿宋_GB2312" w:cs="DengXian-Regular"/>
          <w:sz w:val="32"/>
          <w:szCs w:val="32"/>
          <w:lang w:val="en-US"/>
        </w:rPr>
        <w:t>115.76</w:t>
      </w:r>
      <w:r>
        <w:rPr>
          <w:rFonts w:hint="eastAsia" w:ascii="仿宋_GB2312" w:eastAsia="仿宋_GB2312" w:cs="DengXian-Regular"/>
          <w:sz w:val="32"/>
          <w:szCs w:val="32"/>
        </w:rPr>
        <w:t>）*100%=</w:t>
      </w:r>
      <w:r>
        <w:rPr>
          <w:rFonts w:hint="default" w:ascii="仿宋_GB2312" w:eastAsia="仿宋_GB2312" w:cs="DengXian-Regular"/>
          <w:sz w:val="32"/>
          <w:szCs w:val="32"/>
          <w:lang w:val="en-US"/>
        </w:rPr>
        <w:t>97.94</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（7）“三公”经费控制率（10分）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该指标主要评价“三公”经费是否得到有效控制，通过“三公”经费控制率来衡量。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“三公”经费控制率=（实际支出数/预算数）*100%。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年预算文本及决算文本资料，“三公”经费年初预算数</w:t>
      </w:r>
      <w:r>
        <w:rPr>
          <w:rFonts w:hint="default" w:ascii="仿宋_GB2312" w:eastAsia="仿宋_GB2312" w:cs="DengXian-Regular"/>
          <w:sz w:val="32"/>
          <w:szCs w:val="32"/>
          <w:lang w:val="en-US"/>
        </w:rPr>
        <w:t>9.78</w:t>
      </w:r>
      <w:r>
        <w:rPr>
          <w:rFonts w:hint="eastAsia" w:ascii="仿宋_GB2312" w:eastAsia="仿宋_GB2312" w:cs="DengXian-Regular"/>
          <w:sz w:val="32"/>
          <w:szCs w:val="32"/>
        </w:rPr>
        <w:t>万元，年末决算数</w:t>
      </w:r>
      <w:r>
        <w:rPr>
          <w:rFonts w:hint="default" w:ascii="仿宋_GB2312" w:eastAsia="仿宋_GB2312" w:cs="DengXian-Regular"/>
          <w:sz w:val="32"/>
          <w:szCs w:val="32"/>
          <w:lang w:val="en-US"/>
        </w:rPr>
        <w:t>6</w:t>
      </w:r>
      <w:r>
        <w:rPr>
          <w:rFonts w:hint="eastAsia" w:ascii="仿宋_GB2312" w:eastAsia="仿宋_GB2312" w:cs="DengXian-Regular"/>
          <w:sz w:val="32"/>
          <w:szCs w:val="32"/>
        </w:rPr>
        <w:t>万元，“三公”经费控制率=（</w:t>
      </w:r>
      <w:r>
        <w:rPr>
          <w:rFonts w:hint="default" w:ascii="仿宋_GB2312" w:eastAsia="仿宋_GB2312" w:cs="DengXian-Regular"/>
          <w:sz w:val="32"/>
          <w:szCs w:val="32"/>
          <w:lang w:val="en-US"/>
        </w:rPr>
        <w:t>6</w:t>
      </w:r>
      <w:r>
        <w:rPr>
          <w:rFonts w:hint="eastAsia" w:ascii="仿宋_GB2312" w:eastAsia="仿宋_GB2312" w:cs="DengXian-Regular"/>
          <w:sz w:val="32"/>
          <w:szCs w:val="32"/>
        </w:rPr>
        <w:t>/</w:t>
      </w:r>
      <w:r>
        <w:rPr>
          <w:rFonts w:hint="default" w:ascii="仿宋_GB2312" w:eastAsia="仿宋_GB2312" w:cs="DengXian-Regular"/>
          <w:sz w:val="32"/>
          <w:szCs w:val="32"/>
          <w:lang w:val="en-US"/>
        </w:rPr>
        <w:t>9.78</w:t>
      </w:r>
      <w:r>
        <w:rPr>
          <w:rFonts w:hint="eastAsia" w:ascii="仿宋_GB2312" w:eastAsia="仿宋_GB2312" w:cs="DengXian-Regular"/>
          <w:sz w:val="32"/>
          <w:szCs w:val="32"/>
        </w:rPr>
        <w:t>）*100%=</w:t>
      </w:r>
      <w:r>
        <w:rPr>
          <w:rFonts w:hint="default" w:ascii="仿宋_GB2312" w:eastAsia="仿宋_GB2312" w:cs="DengXian-Regular"/>
          <w:sz w:val="32"/>
          <w:szCs w:val="32"/>
          <w:lang w:val="en-US"/>
        </w:rPr>
        <w:t>61.35</w:t>
      </w:r>
      <w:r>
        <w:rPr>
          <w:rFonts w:hint="eastAsia" w:ascii="仿宋_GB2312" w:eastAsia="仿宋_GB2312" w:cs="DengXian-Regular"/>
          <w:sz w:val="32"/>
          <w:szCs w:val="32"/>
        </w:rPr>
        <w:t>%</w:t>
      </w:r>
      <w:r>
        <w:rPr>
          <w:rFonts w:ascii="Arial" w:hAnsi="Arial" w:eastAsia="仿宋_GB2312" w:cs="Arial"/>
          <w:sz w:val="32"/>
          <w:szCs w:val="32"/>
        </w:rPr>
        <w:t>≤</w:t>
      </w:r>
      <w:r>
        <w:rPr>
          <w:rFonts w:hint="eastAsia" w:ascii="仿宋_GB2312" w:eastAsia="仿宋_GB2312" w:cs="DengXian-Regular"/>
          <w:sz w:val="32"/>
          <w:szCs w:val="32"/>
        </w:rPr>
        <w:t>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该指标实际得分10分。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（8）政府采购执行率（2分）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该指标主要评价部门是否有效执行政府采购政策，通过政府采购执行率来衡量。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政府采购执行率=（实际政府采购金额/政府采购预算金额）*100%。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w:t>
      </w:r>
      <w:r>
        <w:rPr>
          <w:rFonts w:hint="default" w:ascii="仿宋_GB2312" w:eastAsia="仿宋_GB2312" w:cs="DengXian-Regular"/>
          <w:sz w:val="32"/>
          <w:szCs w:val="32"/>
          <w:lang w:val="en-US"/>
        </w:rPr>
        <w:t>22</w:t>
      </w:r>
      <w:r>
        <w:rPr>
          <w:rFonts w:hint="eastAsia" w:ascii="仿宋_GB2312" w:eastAsia="仿宋_GB2312" w:cs="DengXian-Regular"/>
          <w:sz w:val="32"/>
          <w:szCs w:val="32"/>
        </w:rPr>
        <w:t>年预算文本及决算文本相关表格，政府采购年初预算数</w:t>
      </w:r>
      <w:r>
        <w:rPr>
          <w:rFonts w:hint="default" w:ascii="仿宋_GB2312" w:eastAsia="仿宋_GB2312" w:cs="DengXian-Regular"/>
          <w:sz w:val="32"/>
          <w:szCs w:val="32"/>
          <w:lang w:val="en-US"/>
        </w:rPr>
        <w:t>13</w:t>
      </w:r>
      <w:r>
        <w:rPr>
          <w:rFonts w:hint="eastAsia" w:ascii="仿宋_GB2312" w:eastAsia="仿宋_GB2312" w:cs="DengXian-Regular"/>
          <w:sz w:val="32"/>
          <w:szCs w:val="32"/>
        </w:rPr>
        <w:t>万元，年末决算数</w:t>
      </w:r>
      <w:r>
        <w:rPr>
          <w:rFonts w:hint="default" w:ascii="仿宋_GB2312" w:eastAsia="仿宋_GB2312" w:cs="DengXian-Regular"/>
          <w:sz w:val="32"/>
          <w:szCs w:val="32"/>
          <w:lang w:val="en-US"/>
        </w:rPr>
        <w:t>11.75</w:t>
      </w:r>
      <w:r>
        <w:rPr>
          <w:rFonts w:hint="eastAsia" w:ascii="仿宋_GB2312" w:eastAsia="仿宋_GB2312" w:cs="DengXian-Regular"/>
          <w:sz w:val="32"/>
          <w:szCs w:val="32"/>
        </w:rPr>
        <w:t>万元，政府采购执行率为</w:t>
      </w:r>
      <w:r>
        <w:rPr>
          <w:rFonts w:hint="default" w:ascii="仿宋_GB2312" w:eastAsia="仿宋_GB2312" w:cs="DengXian-Regular"/>
          <w:sz w:val="32"/>
          <w:szCs w:val="32"/>
          <w:lang w:val="en-US"/>
        </w:rPr>
        <w:t>90.38</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该指标实际得分为2分。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2.预算管理（16分）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（1）管理制度健全性（3分）</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该指标主要评价部门是否制定资金管理办法、财务管理制度、会计核算制度等相关内部控制制度，制度执行是否得到有效执行。</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区工信局工作制度涵盖了财务制度、专项资金管理制度、会计核算制度等相关制度，并制定了各项业务开展流程图，管理制度及业务流程比较健全规范。</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该项指标实际得分3分。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（2）资金使用合规性（5分）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该指标主要评价资金使用是否按照相关法律法规和资金管理办法规定的用途使用，财务管理是否符合相关会计准则和财务制度。</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年明细账、会计凭证等相关资料，区工信局资金使用符合相关会计准则和财务制度，资金拨付有完备的审批程序和手续，资金使用符合部门预算批复的用途，未发现截留、挤占、挪用财政资金的情况。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（3）预决算信息公开性（2分）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该指标主要评价部门是否按照政府信息公开的有关要求在相关网站公开部门预算、预算执行情况、年度工作任务等相关信息。</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年按政府信息公开的有关要求在保定市徐水区人民政府网公开了202</w:t>
      </w:r>
      <w:r>
        <w:rPr>
          <w:rFonts w:hint="default" w:ascii="仿宋_GB2312" w:eastAsia="仿宋_GB2312" w:cs="DengXian-Regular"/>
          <w:sz w:val="32"/>
          <w:szCs w:val="32"/>
          <w:lang w:val="en-US"/>
        </w:rPr>
        <w:t>2</w:t>
      </w:r>
      <w:r>
        <w:rPr>
          <w:rFonts w:hint="eastAsia" w:ascii="仿宋_GB2312" w:eastAsia="仿宋_GB2312" w:cs="DengXian-Regular"/>
          <w:sz w:val="32"/>
          <w:szCs w:val="32"/>
        </w:rPr>
        <w:t>年的预决算情况、部门责任清单等相关信息。</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（4）基础信息完</w:t>
      </w:r>
      <w:r>
        <w:rPr>
          <w:rFonts w:hint="eastAsia" w:ascii="仿宋_GB2312" w:eastAsia="仿宋_GB2312" w:cs="DengXian-Regular"/>
          <w:sz w:val="32"/>
          <w:szCs w:val="32"/>
          <w:lang w:eastAsia="zh-CN"/>
        </w:rPr>
        <w:t>整</w:t>
      </w:r>
      <w:r>
        <w:rPr>
          <w:rFonts w:hint="eastAsia" w:ascii="仿宋_GB2312" w:eastAsia="仿宋_GB2312" w:cs="DengXian-Regular"/>
          <w:sz w:val="32"/>
          <w:szCs w:val="32"/>
        </w:rPr>
        <w:t>性（3分）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该指标主要评价基础数据信息和财务信息资料是否真实、完整。</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根据区工信局的会计账簿、凭证及其他相关资料，区工信局会计信息资料真实完整，</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3.资产管理（10分）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（1）管理制度健全性（3分）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该指标主要评价是否制定了资产管理制度；资金管理制度是否合规、合法、完整；各项管理制度是否得到有效执行。</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区工信局制定了固定资产管理制度、专项资金管理制度等各项制度，并制定了采购、报销及固定资产报废处置等各项业务流程图，管理制度全面有效执行。</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（2）资产管理安全性（5分）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该指标主要评价资产保存是否完整，资产配置是否合规，资产处置是否规范，资产管理是否合规，是否账实相符，资产有偿使用及处置收入是否及时足额上缴。</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区工信局建立了固定资产台账、无形资产台账，资产保存完整，资产购置手续完备，配置符合要求，资产处置合规、合法，处置收入及时上缴了财政，资产管理整体较规范。</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该项指标实际得分5分。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（3）固定资产利用率（2）分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该指标主要评价部门固定资产的实际使用情况，用固定资产利用率来衡量。</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固定资产利用率=（实际在用固定资产总额/所有固定资产总额）*100%。</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年末实际使用固定资产总额为</w:t>
      </w:r>
      <w:r>
        <w:rPr>
          <w:rFonts w:hint="default" w:ascii="仿宋_GB2312" w:eastAsia="仿宋_GB2312" w:cs="DengXian-Regular"/>
          <w:sz w:val="32"/>
          <w:szCs w:val="32"/>
          <w:lang w:val="en-US"/>
        </w:rPr>
        <w:t>96.61</w:t>
      </w:r>
      <w:r>
        <w:rPr>
          <w:rFonts w:hint="eastAsia" w:ascii="仿宋_GB2312" w:eastAsia="仿宋_GB2312" w:cs="DengXian-Regular"/>
          <w:sz w:val="32"/>
          <w:szCs w:val="32"/>
        </w:rPr>
        <w:t>万元，所有固定资产总额为</w:t>
      </w:r>
      <w:r>
        <w:rPr>
          <w:rFonts w:hint="default" w:ascii="仿宋_GB2312" w:eastAsia="仿宋_GB2312" w:cs="DengXian-Regular"/>
          <w:sz w:val="32"/>
          <w:szCs w:val="32"/>
          <w:lang w:val="en-US"/>
        </w:rPr>
        <w:t>124.61</w:t>
      </w:r>
      <w:r>
        <w:rPr>
          <w:rFonts w:hint="eastAsia" w:ascii="仿宋_GB2312" w:eastAsia="仿宋_GB2312" w:cs="DengXian-Regular"/>
          <w:sz w:val="32"/>
          <w:szCs w:val="32"/>
        </w:rPr>
        <w:t>万元。固定资产利用率为</w:t>
      </w:r>
      <w:r>
        <w:rPr>
          <w:rFonts w:hint="default" w:ascii="仿宋_GB2312" w:eastAsia="仿宋_GB2312" w:cs="DengXian-Regular"/>
          <w:sz w:val="32"/>
          <w:szCs w:val="32"/>
          <w:lang w:val="en-US"/>
        </w:rPr>
        <w:t>77.53</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该项指标实际得分0分。</w:t>
      </w:r>
    </w:p>
    <w:p>
      <w:pPr>
        <w:pStyle w:val="4"/>
        <w:spacing w:before="0" w:after="0"/>
        <w:ind w:firstLine="643" w:firstLineChars="200"/>
        <w:jc w:val="both"/>
        <w:rPr>
          <w:rFonts w:ascii="楷体" w:hAnsi="楷体" w:eastAsia="楷体"/>
          <w:sz w:val="32"/>
        </w:rPr>
      </w:pPr>
      <w:r>
        <w:rPr>
          <w:rFonts w:hint="eastAsia" w:ascii="楷体" w:hAnsi="楷体" w:eastAsia="楷体"/>
          <w:sz w:val="32"/>
        </w:rPr>
        <w:t>（三）产出（2</w:t>
      </w:r>
      <w:r>
        <w:rPr>
          <w:rFonts w:hint="default" w:ascii="楷体" w:hAnsi="楷体" w:eastAsia="楷体"/>
          <w:sz w:val="32"/>
          <w:lang w:val="en-US"/>
        </w:rPr>
        <w:t>0</w:t>
      </w:r>
      <w:r>
        <w:rPr>
          <w:rFonts w:hint="eastAsia" w:ascii="楷体" w:hAnsi="楷体" w:eastAsia="楷体"/>
          <w:sz w:val="32"/>
        </w:rPr>
        <w:t>分）</w:t>
      </w:r>
      <w:bookmarkEnd w:id="66"/>
    </w:p>
    <w:p>
      <w:pPr>
        <w:spacing w:after="0" w:line="360" w:lineRule="auto"/>
        <w:ind w:firstLine="640" w:firstLineChars="200"/>
        <w:jc w:val="both"/>
        <w:textAlignment w:val="baseline"/>
        <w:rPr>
          <w:rFonts w:ascii="仿宋_GB2312" w:eastAsia="仿宋_GB2312" w:cs="DengXian-Regular"/>
          <w:sz w:val="32"/>
          <w:szCs w:val="32"/>
        </w:rPr>
      </w:pPr>
      <w:bookmarkStart w:id="67" w:name="_Toc464638518"/>
      <w:bookmarkStart w:id="68" w:name="_Toc465149515"/>
      <w:bookmarkStart w:id="69" w:name="_Toc28363"/>
      <w:r>
        <w:rPr>
          <w:rFonts w:hint="eastAsia" w:ascii="仿宋_GB2312" w:eastAsia="仿宋_GB2312" w:cs="DengXian-Regular"/>
          <w:sz w:val="32"/>
          <w:szCs w:val="32"/>
        </w:rPr>
        <w:t>该一级指标包含责任履行一个二级指标，主要反映202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年区工信局在部门履职尽责中工作任务的完成情况。</w:t>
      </w:r>
    </w:p>
    <w:p>
      <w:pPr>
        <w:spacing w:after="0" w:line="360" w:lineRule="auto"/>
        <w:jc w:val="center"/>
        <w:textAlignment w:val="baseline"/>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表4  产出指标及得分情况表</w:t>
      </w:r>
    </w:p>
    <w:tbl>
      <w:tblPr>
        <w:tblStyle w:val="23"/>
        <w:tblW w:w="0" w:type="auto"/>
        <w:jc w:val="center"/>
        <w:tblLayout w:type="fixed"/>
        <w:tblCellMar>
          <w:top w:w="15" w:type="dxa"/>
          <w:left w:w="15" w:type="dxa"/>
          <w:bottom w:w="15" w:type="dxa"/>
          <w:right w:w="15" w:type="dxa"/>
        </w:tblCellMar>
      </w:tblPr>
      <w:tblGrid>
        <w:gridCol w:w="1577"/>
        <w:gridCol w:w="1004"/>
        <w:gridCol w:w="2536"/>
        <w:gridCol w:w="1125"/>
        <w:gridCol w:w="853"/>
      </w:tblGrid>
      <w:tr>
        <w:tblPrEx>
          <w:tblCellMar>
            <w:top w:w="15" w:type="dxa"/>
            <w:left w:w="15" w:type="dxa"/>
            <w:bottom w:w="15" w:type="dxa"/>
            <w:right w:w="15" w:type="dxa"/>
          </w:tblCellMar>
        </w:tblPrEx>
        <w:trPr>
          <w:trHeight w:val="397" w:hRule="exact"/>
          <w:jc w:val="center"/>
        </w:trPr>
        <w:tc>
          <w:tcPr>
            <w:tcW w:w="1577"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一级指标</w:t>
            </w:r>
          </w:p>
        </w:tc>
        <w:tc>
          <w:tcPr>
            <w:tcW w:w="1004"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二级指标</w:t>
            </w:r>
          </w:p>
        </w:tc>
        <w:tc>
          <w:tcPr>
            <w:tcW w:w="2536"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三级指标</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分数权重</w:t>
            </w:r>
          </w:p>
        </w:tc>
        <w:tc>
          <w:tcPr>
            <w:tcW w:w="853"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得分</w:t>
            </w:r>
          </w:p>
        </w:tc>
      </w:tr>
      <w:tr>
        <w:tblPrEx>
          <w:tblCellMar>
            <w:top w:w="15" w:type="dxa"/>
            <w:left w:w="15" w:type="dxa"/>
            <w:bottom w:w="15" w:type="dxa"/>
            <w:right w:w="15" w:type="dxa"/>
          </w:tblCellMar>
        </w:tblPrEx>
        <w:trPr>
          <w:trHeight w:val="397" w:hRule="exact"/>
          <w:jc w:val="center"/>
        </w:trPr>
        <w:tc>
          <w:tcPr>
            <w:tcW w:w="1577" w:type="dxa"/>
            <w:vMerge w:val="restart"/>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产出</w:t>
            </w:r>
          </w:p>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（20分）</w:t>
            </w:r>
          </w:p>
        </w:tc>
        <w:tc>
          <w:tcPr>
            <w:tcW w:w="1004" w:type="dxa"/>
            <w:vMerge w:val="restart"/>
            <w:tcBorders>
              <w:top w:val="single" w:color="000000" w:sz="4" w:space="0"/>
              <w:left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职责履行（20分）</w:t>
            </w:r>
          </w:p>
        </w:tc>
        <w:tc>
          <w:tcPr>
            <w:tcW w:w="253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实际完成率</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853"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CellMar>
            <w:top w:w="15" w:type="dxa"/>
            <w:left w:w="15" w:type="dxa"/>
            <w:bottom w:w="15" w:type="dxa"/>
            <w:right w:w="15" w:type="dxa"/>
          </w:tblCellMar>
        </w:tblPrEx>
        <w:trPr>
          <w:trHeight w:val="397" w:hRule="exact"/>
          <w:jc w:val="center"/>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1004" w:type="dxa"/>
            <w:vMerge w:val="continue"/>
            <w:tcBorders>
              <w:left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253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完成及时率</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853"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CellMar>
            <w:top w:w="15" w:type="dxa"/>
            <w:left w:w="15" w:type="dxa"/>
            <w:bottom w:w="15" w:type="dxa"/>
            <w:right w:w="15" w:type="dxa"/>
          </w:tblCellMar>
        </w:tblPrEx>
        <w:trPr>
          <w:trHeight w:val="397" w:hRule="exact"/>
          <w:jc w:val="center"/>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1004" w:type="dxa"/>
            <w:vMerge w:val="continue"/>
            <w:tcBorders>
              <w:left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253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质量达标率</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853"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CellMar>
            <w:top w:w="15" w:type="dxa"/>
            <w:left w:w="15" w:type="dxa"/>
            <w:bottom w:w="15" w:type="dxa"/>
            <w:right w:w="15" w:type="dxa"/>
          </w:tblCellMar>
        </w:tblPrEx>
        <w:trPr>
          <w:trHeight w:val="397" w:hRule="exact"/>
          <w:jc w:val="center"/>
        </w:trPr>
        <w:tc>
          <w:tcPr>
            <w:tcW w:w="1577" w:type="dxa"/>
            <w:vMerge w:val="continue"/>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1004" w:type="dxa"/>
            <w:vMerge w:val="continue"/>
            <w:tcBorders>
              <w:left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253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重点工作办结率</w:t>
            </w: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c>
          <w:tcPr>
            <w:tcW w:w="853"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5</w:t>
            </w:r>
          </w:p>
        </w:tc>
      </w:tr>
      <w:tr>
        <w:tblPrEx>
          <w:tblCellMar>
            <w:top w:w="15" w:type="dxa"/>
            <w:left w:w="15" w:type="dxa"/>
            <w:bottom w:w="15" w:type="dxa"/>
            <w:right w:w="15" w:type="dxa"/>
          </w:tblCellMar>
        </w:tblPrEx>
        <w:trPr>
          <w:trHeight w:val="397" w:hRule="exact"/>
          <w:jc w:val="center"/>
        </w:trPr>
        <w:tc>
          <w:tcPr>
            <w:tcW w:w="2581" w:type="dxa"/>
            <w:gridSpan w:val="2"/>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合计</w:t>
            </w:r>
          </w:p>
        </w:tc>
        <w:tc>
          <w:tcPr>
            <w:tcW w:w="2536"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112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20</w:t>
            </w:r>
          </w:p>
        </w:tc>
        <w:tc>
          <w:tcPr>
            <w:tcW w:w="8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20</w:t>
            </w:r>
          </w:p>
        </w:tc>
      </w:tr>
    </w:tbl>
    <w:p>
      <w:pPr>
        <w:spacing w:after="0" w:line="360" w:lineRule="auto"/>
        <w:ind w:firstLine="640" w:firstLineChars="200"/>
        <w:jc w:val="both"/>
        <w:textAlignment w:val="baseline"/>
        <w:rPr>
          <w:rFonts w:hint="eastAsia" w:ascii="仿宋_GB2312" w:eastAsia="仿宋_GB2312" w:cs="DengXian-Regular"/>
          <w:sz w:val="32"/>
          <w:szCs w:val="32"/>
        </w:rPr>
      </w:pP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1.实际完成率（5分）</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年履职尽责中计划工作任务完成情况。</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年超额完成了高新技术企业培育、科技型中小企业培育、科技研发平台建设、规上企业培育及“专精特新”中小企业培育等几方面的工作，实际完成率达到</w:t>
      </w:r>
      <w:r>
        <w:rPr>
          <w:rFonts w:hint="default" w:ascii="仿宋_GB2312" w:eastAsia="仿宋_GB2312" w:cs="DengXian-Regular"/>
          <w:sz w:val="32"/>
          <w:szCs w:val="32"/>
          <w:lang w:val="en-US"/>
        </w:rPr>
        <w:t>100%</w:t>
      </w:r>
      <w:r>
        <w:rPr>
          <w:rFonts w:hint="eastAsia" w:ascii="仿宋_GB2312" w:eastAsia="仿宋_GB2312" w:cs="DengXian-Regular"/>
          <w:sz w:val="32"/>
          <w:szCs w:val="32"/>
        </w:rPr>
        <w:t>。</w:t>
      </w:r>
    </w:p>
    <w:p>
      <w:pPr>
        <w:keepNext w:val="0"/>
        <w:keepLines w:val="0"/>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该项指标实际得分5分。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2.完成及时率（5分）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年区工信局部门在履职尽责中及时完成的实际工作情况。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年按预期计划完成了高新技术企业培育、科技型中小企业培育、科技研发平台建设、规上企业培育及“专精特新”中小企业培育等几方面的工作，及时完成率达到</w:t>
      </w:r>
      <w:r>
        <w:rPr>
          <w:rFonts w:hint="default" w:ascii="仿宋_GB2312" w:eastAsia="仿宋_GB2312" w:cs="DengXian-Regular"/>
          <w:sz w:val="32"/>
          <w:szCs w:val="32"/>
          <w:lang w:val="en-US"/>
        </w:rPr>
        <w:t>100%</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3.质量达标率（5分）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年区工信局部门在履职尽责中质量达标的实际工作完成情况。</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年超额完成了</w:t>
      </w:r>
      <w:r>
        <w:rPr>
          <w:rFonts w:hint="eastAsia" w:ascii="仿宋_GB2312" w:eastAsia="仿宋_GB2312" w:cs="DengXian-Regular"/>
          <w:sz w:val="32"/>
          <w:szCs w:val="32"/>
          <w:lang w:eastAsia="zh-CN"/>
        </w:rPr>
        <w:t>规上工业企业</w:t>
      </w:r>
      <w:r>
        <w:rPr>
          <w:rFonts w:hint="default" w:ascii="仿宋_GB2312" w:eastAsia="仿宋_GB2312" w:cs="DengXian-Regular"/>
          <w:sz w:val="32"/>
          <w:szCs w:val="32"/>
          <w:lang w:val="en-US" w:eastAsia="zh-CN"/>
        </w:rPr>
        <w:t>101</w:t>
      </w:r>
      <w:r>
        <w:rPr>
          <w:rFonts w:hint="eastAsia" w:ascii="仿宋_GB2312" w:eastAsia="仿宋_GB2312" w:cs="DengXian-Regular"/>
          <w:sz w:val="32"/>
          <w:szCs w:val="32"/>
          <w:lang w:val="en-US" w:eastAsia="zh-CN"/>
        </w:rPr>
        <w:t>家；</w:t>
      </w:r>
      <w:r>
        <w:rPr>
          <w:rFonts w:hint="eastAsia" w:ascii="仿宋_GB2312" w:eastAsia="仿宋_GB2312" w:cs="DengXian-Regular"/>
          <w:sz w:val="32"/>
          <w:szCs w:val="32"/>
        </w:rPr>
        <w:t>高新技术企业</w:t>
      </w:r>
      <w:r>
        <w:rPr>
          <w:rFonts w:hint="default" w:ascii="仿宋_GB2312" w:eastAsia="仿宋_GB2312" w:cs="DengXian-Regular"/>
          <w:sz w:val="32"/>
          <w:szCs w:val="32"/>
          <w:lang w:val="en-US"/>
        </w:rPr>
        <w:t>76</w:t>
      </w:r>
      <w:r>
        <w:rPr>
          <w:rFonts w:hint="eastAsia" w:ascii="仿宋_GB2312" w:eastAsia="仿宋_GB2312" w:cs="DengXian-Regular"/>
          <w:sz w:val="32"/>
          <w:szCs w:val="32"/>
        </w:rPr>
        <w:t>家</w:t>
      </w:r>
      <w:r>
        <w:rPr>
          <w:rFonts w:hint="eastAsia" w:ascii="仿宋_GB2312" w:eastAsia="仿宋_GB2312" w:cs="DengXian-Regular"/>
          <w:sz w:val="32"/>
          <w:szCs w:val="32"/>
          <w:lang w:eastAsia="zh-CN"/>
        </w:rPr>
        <w:t>；</w:t>
      </w:r>
      <w:r>
        <w:rPr>
          <w:rFonts w:hint="default" w:ascii="仿宋_GB2312" w:eastAsia="仿宋_GB2312" w:cs="DengXian-Regular"/>
          <w:sz w:val="32"/>
          <w:szCs w:val="32"/>
          <w:lang w:val="en-US" w:eastAsia="zh-CN"/>
        </w:rPr>
        <w:t xml:space="preserve"> </w:t>
      </w:r>
      <w:r>
        <w:rPr>
          <w:rFonts w:hint="eastAsia" w:ascii="仿宋_GB2312" w:eastAsia="仿宋_GB2312" w:cs="DengXian-Regular"/>
          <w:sz w:val="32"/>
          <w:szCs w:val="32"/>
        </w:rPr>
        <w:t>科技型中小企业</w:t>
      </w:r>
      <w:r>
        <w:rPr>
          <w:rFonts w:hint="default" w:ascii="仿宋_GB2312" w:eastAsia="仿宋_GB2312" w:cs="DengXian-Regular"/>
          <w:sz w:val="32"/>
          <w:szCs w:val="32"/>
          <w:lang w:val="en-US"/>
        </w:rPr>
        <w:t>832</w:t>
      </w:r>
      <w:r>
        <w:rPr>
          <w:rFonts w:hint="eastAsia" w:ascii="仿宋_GB2312" w:eastAsia="仿宋_GB2312" w:cs="DengXian-Regular"/>
          <w:sz w:val="32"/>
          <w:szCs w:val="32"/>
        </w:rPr>
        <w:t>家</w:t>
      </w:r>
      <w:r>
        <w:rPr>
          <w:rFonts w:hint="eastAsia" w:ascii="仿宋_GB2312" w:eastAsia="仿宋_GB2312" w:cs="DengXian-Regular"/>
          <w:sz w:val="32"/>
          <w:szCs w:val="32"/>
          <w:lang w:eastAsia="zh-CN"/>
        </w:rPr>
        <w:t>；</w:t>
      </w:r>
      <w:r>
        <w:rPr>
          <w:rFonts w:hint="eastAsia" w:ascii="仿宋_GB2312" w:eastAsia="仿宋_GB2312" w:cs="DengXian-Regular"/>
          <w:sz w:val="32"/>
          <w:szCs w:val="32"/>
        </w:rPr>
        <w:t>“专精特新”</w:t>
      </w:r>
      <w:r>
        <w:rPr>
          <w:rFonts w:hint="eastAsia" w:ascii="仿宋_GB2312" w:eastAsia="仿宋_GB2312" w:cs="DengXian-Regular"/>
          <w:sz w:val="32"/>
          <w:szCs w:val="32"/>
          <w:lang w:eastAsia="zh-CN"/>
        </w:rPr>
        <w:t>中小企业</w:t>
      </w:r>
      <w:r>
        <w:rPr>
          <w:rFonts w:hint="default" w:ascii="仿宋_GB2312" w:eastAsia="仿宋_GB2312" w:cs="DengXian-Regular"/>
          <w:sz w:val="32"/>
          <w:szCs w:val="32"/>
          <w:lang w:val="en-US" w:eastAsia="zh-CN"/>
        </w:rPr>
        <w:t>11</w:t>
      </w:r>
      <w:r>
        <w:rPr>
          <w:rFonts w:hint="eastAsia" w:ascii="仿宋_GB2312" w:eastAsia="仿宋_GB2312" w:cs="DengXian-Regular"/>
          <w:sz w:val="32"/>
          <w:szCs w:val="32"/>
          <w:lang w:val="en-US" w:eastAsia="zh-CN"/>
        </w:rPr>
        <w:t>家</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4.重点工作办结率（5分）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该项指标主要评价202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年党委、政府、人大、相关部门交办或下达的工作任务。</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202</w:t>
      </w:r>
      <w:r>
        <w:rPr>
          <w:rFonts w:hint="default" w:ascii="仿宋_GB2312" w:eastAsia="仿宋_GB2312" w:cs="DengXian-Regular"/>
          <w:sz w:val="32"/>
          <w:szCs w:val="32"/>
          <w:lang w:val="en-US"/>
        </w:rPr>
        <w:t>2</w:t>
      </w:r>
      <w:r>
        <w:rPr>
          <w:rFonts w:hint="eastAsia" w:ascii="仿宋_GB2312" w:eastAsia="仿宋_GB2312" w:cs="DengXian-Regular"/>
          <w:sz w:val="32"/>
          <w:szCs w:val="32"/>
        </w:rPr>
        <w:t>年区工信局圆满完成了人大建议、政协提案工作，重点工作办结率达到</w:t>
      </w:r>
      <w:r>
        <w:rPr>
          <w:rFonts w:hint="default" w:ascii="仿宋_GB2312" w:eastAsia="仿宋_GB2312" w:cs="DengXian-Regular"/>
          <w:sz w:val="32"/>
          <w:szCs w:val="32"/>
          <w:lang w:val="en-US"/>
        </w:rPr>
        <w:t>100%</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该指标实际得分5分。</w:t>
      </w:r>
    </w:p>
    <w:p>
      <w:pPr>
        <w:pStyle w:val="4"/>
        <w:spacing w:before="0" w:after="0"/>
        <w:ind w:firstLine="643" w:firstLineChars="200"/>
        <w:jc w:val="both"/>
        <w:rPr>
          <w:rFonts w:ascii="楷体" w:hAnsi="楷体" w:eastAsia="楷体"/>
          <w:sz w:val="32"/>
        </w:rPr>
      </w:pPr>
      <w:r>
        <w:rPr>
          <w:rFonts w:hint="eastAsia" w:ascii="楷体" w:hAnsi="楷体" w:eastAsia="楷体"/>
          <w:sz w:val="32"/>
        </w:rPr>
        <w:t>（四）效果</w:t>
      </w:r>
      <w:bookmarkEnd w:id="67"/>
      <w:bookmarkEnd w:id="68"/>
      <w:r>
        <w:rPr>
          <w:rFonts w:hint="eastAsia" w:ascii="楷体" w:hAnsi="楷体" w:eastAsia="楷体"/>
          <w:sz w:val="32"/>
        </w:rPr>
        <w:t>（1</w:t>
      </w:r>
      <w:r>
        <w:rPr>
          <w:rFonts w:hint="default" w:ascii="楷体" w:hAnsi="楷体" w:eastAsia="楷体"/>
          <w:sz w:val="32"/>
          <w:lang w:val="en-US"/>
        </w:rPr>
        <w:t>6</w:t>
      </w:r>
      <w:r>
        <w:rPr>
          <w:rFonts w:hint="eastAsia" w:ascii="楷体" w:hAnsi="楷体" w:eastAsia="楷体"/>
          <w:sz w:val="32"/>
        </w:rPr>
        <w:t>分）</w:t>
      </w:r>
      <w:bookmarkEnd w:id="69"/>
    </w:p>
    <w:p>
      <w:pPr>
        <w:spacing w:after="0" w:line="360" w:lineRule="auto"/>
        <w:ind w:firstLine="640" w:firstLineChars="200"/>
        <w:jc w:val="both"/>
        <w:textAlignment w:val="baseline"/>
        <w:rPr>
          <w:rFonts w:ascii="仿宋_GB2312" w:eastAsia="仿宋_GB2312" w:cs="DengXian-Regular"/>
          <w:sz w:val="32"/>
          <w:szCs w:val="32"/>
        </w:rPr>
      </w:pPr>
      <w:bookmarkStart w:id="70" w:name="_Toc464638520"/>
      <w:bookmarkStart w:id="71" w:name="_Toc492652784"/>
      <w:bookmarkStart w:id="72" w:name="_Toc465149516"/>
      <w:bookmarkStart w:id="73" w:name="_Toc464638561"/>
      <w:bookmarkStart w:id="74" w:name="_Toc13757"/>
      <w:r>
        <w:rPr>
          <w:rFonts w:hint="eastAsia" w:ascii="仿宋_GB2312" w:eastAsia="仿宋_GB2312" w:cs="DengXian-Regular"/>
          <w:sz w:val="32"/>
          <w:szCs w:val="32"/>
        </w:rPr>
        <w:t>该一级指标包含履职效益一个二级指标。主要反映部门履行职责对社会发展所带来的直接或间接效益及社会公众或部门的服务对象对部门履职效果的满意程度。</w:t>
      </w:r>
    </w:p>
    <w:p>
      <w:pPr>
        <w:spacing w:after="0" w:line="360" w:lineRule="auto"/>
        <w:jc w:val="center"/>
        <w:textAlignment w:val="baseline"/>
        <w:rPr>
          <w:rFonts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sz w:val="32"/>
          <w:szCs w:val="32"/>
        </w:rPr>
        <w:t>表5  效果指标及得分情况表</w:t>
      </w:r>
    </w:p>
    <w:tbl>
      <w:tblPr>
        <w:tblStyle w:val="23"/>
        <w:tblW w:w="0" w:type="auto"/>
        <w:jc w:val="center"/>
        <w:tblLayout w:type="fixed"/>
        <w:tblCellMar>
          <w:top w:w="15" w:type="dxa"/>
          <w:left w:w="15" w:type="dxa"/>
          <w:bottom w:w="15" w:type="dxa"/>
          <w:right w:w="15" w:type="dxa"/>
        </w:tblCellMar>
      </w:tblPr>
      <w:tblGrid>
        <w:gridCol w:w="1468"/>
        <w:gridCol w:w="1155"/>
        <w:gridCol w:w="2130"/>
        <w:gridCol w:w="1200"/>
        <w:gridCol w:w="1045"/>
      </w:tblGrid>
      <w:tr>
        <w:tblPrEx>
          <w:tblCellMar>
            <w:top w:w="15" w:type="dxa"/>
            <w:left w:w="15" w:type="dxa"/>
            <w:bottom w:w="15" w:type="dxa"/>
            <w:right w:w="15" w:type="dxa"/>
          </w:tblCellMar>
        </w:tblPrEx>
        <w:trPr>
          <w:trHeight w:val="659" w:hRule="exact"/>
          <w:jc w:val="center"/>
        </w:trPr>
        <w:tc>
          <w:tcPr>
            <w:tcW w:w="1468"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一级指标</w:t>
            </w:r>
          </w:p>
        </w:tc>
        <w:tc>
          <w:tcPr>
            <w:tcW w:w="1155"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二级指标</w:t>
            </w:r>
          </w:p>
        </w:tc>
        <w:tc>
          <w:tcPr>
            <w:tcW w:w="2130"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三级指标</w:t>
            </w:r>
          </w:p>
        </w:tc>
        <w:tc>
          <w:tcPr>
            <w:tcW w:w="1200"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分数权重</w:t>
            </w:r>
          </w:p>
        </w:tc>
        <w:tc>
          <w:tcPr>
            <w:tcW w:w="1045" w:type="dxa"/>
            <w:tcBorders>
              <w:top w:val="single" w:color="000000" w:sz="4" w:space="0"/>
              <w:left w:val="single" w:color="000000" w:sz="4" w:space="0"/>
              <w:bottom w:val="single" w:color="000000" w:sz="4" w:space="0"/>
              <w:right w:val="single" w:color="000000" w:sz="4" w:space="0"/>
            </w:tcBorders>
            <w:vAlign w:val="center"/>
          </w:tcPr>
          <w:p>
            <w:pPr>
              <w:spacing w:after="0"/>
              <w:jc w:val="center"/>
              <w:textAlignment w:val="center"/>
              <w:rPr>
                <w:rFonts w:cs="宋体" w:asciiTheme="minorEastAsia" w:hAnsiTheme="minorEastAsia" w:eastAsiaTheme="minorEastAsia"/>
                <w:b/>
                <w:color w:val="000000"/>
                <w:sz w:val="21"/>
                <w:szCs w:val="21"/>
              </w:rPr>
            </w:pPr>
            <w:r>
              <w:rPr>
                <w:rFonts w:hint="eastAsia" w:cs="宋体" w:asciiTheme="minorEastAsia" w:hAnsiTheme="minorEastAsia" w:eastAsiaTheme="minorEastAsia"/>
                <w:b/>
                <w:color w:val="000000"/>
                <w:sz w:val="21"/>
                <w:szCs w:val="21"/>
              </w:rPr>
              <w:t>得分</w:t>
            </w:r>
          </w:p>
        </w:tc>
      </w:tr>
      <w:tr>
        <w:tblPrEx>
          <w:tblCellMar>
            <w:top w:w="15" w:type="dxa"/>
            <w:left w:w="15" w:type="dxa"/>
            <w:bottom w:w="15" w:type="dxa"/>
            <w:right w:w="15" w:type="dxa"/>
          </w:tblCellMar>
        </w:tblPrEx>
        <w:trPr>
          <w:trHeight w:val="698" w:hRule="exact"/>
          <w:jc w:val="center"/>
        </w:trPr>
        <w:tc>
          <w:tcPr>
            <w:tcW w:w="1468"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项目效果</w:t>
            </w:r>
          </w:p>
          <w:p>
            <w:pPr>
              <w:spacing w:after="0"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（16分）</w:t>
            </w:r>
          </w:p>
        </w:tc>
        <w:tc>
          <w:tcPr>
            <w:tcW w:w="1155" w:type="dxa"/>
            <w:vMerge w:val="restart"/>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履职效益</w:t>
            </w:r>
          </w:p>
          <w:p>
            <w:pPr>
              <w:spacing w:after="0"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（16分）</w:t>
            </w:r>
          </w:p>
        </w:tc>
        <w:tc>
          <w:tcPr>
            <w:tcW w:w="213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经济效益</w:t>
            </w: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c>
          <w:tcPr>
            <w:tcW w:w="104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r>
      <w:tr>
        <w:tblPrEx>
          <w:tblCellMar>
            <w:top w:w="15" w:type="dxa"/>
            <w:left w:w="15" w:type="dxa"/>
            <w:bottom w:w="15" w:type="dxa"/>
            <w:right w:w="15" w:type="dxa"/>
          </w:tblCellMar>
        </w:tblPrEx>
        <w:trPr>
          <w:trHeight w:val="693" w:hRule="exact"/>
          <w:jc w:val="center"/>
        </w:trPr>
        <w:tc>
          <w:tcPr>
            <w:tcW w:w="1468"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cs="宋体" w:asciiTheme="minorEastAsia" w:hAnsiTheme="minorEastAsia" w:eastAsiaTheme="minorEastAsia"/>
                <w:sz w:val="21"/>
                <w:szCs w:val="21"/>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pPr>
              <w:spacing w:after="0" w:line="420" w:lineRule="exact"/>
              <w:jc w:val="center"/>
              <w:rPr>
                <w:rFonts w:cs="宋体" w:asciiTheme="minorEastAsia" w:hAnsiTheme="minorEastAsia" w:eastAsiaTheme="minorEastAsia"/>
                <w:sz w:val="21"/>
                <w:szCs w:val="21"/>
              </w:rPr>
            </w:pPr>
          </w:p>
        </w:tc>
        <w:tc>
          <w:tcPr>
            <w:tcW w:w="213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社会效益</w:t>
            </w: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c>
          <w:tcPr>
            <w:tcW w:w="104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3</w:t>
            </w:r>
          </w:p>
        </w:tc>
      </w:tr>
      <w:tr>
        <w:tblPrEx>
          <w:tblCellMar>
            <w:top w:w="15" w:type="dxa"/>
            <w:left w:w="15" w:type="dxa"/>
            <w:bottom w:w="15" w:type="dxa"/>
            <w:right w:w="15" w:type="dxa"/>
          </w:tblCellMar>
        </w:tblPrEx>
        <w:trPr>
          <w:trHeight w:val="675" w:hRule="exact"/>
          <w:jc w:val="center"/>
        </w:trPr>
        <w:tc>
          <w:tcPr>
            <w:tcW w:w="1468" w:type="dxa"/>
            <w:vMerge w:val="continue"/>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1155" w:type="dxa"/>
            <w:vMerge w:val="continue"/>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213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eastAsia="zh-CN"/>
              </w:rPr>
              <w:t>服务对象</w:t>
            </w:r>
            <w:r>
              <w:rPr>
                <w:rFonts w:hint="eastAsia" w:cs="宋体" w:asciiTheme="minorEastAsia" w:hAnsiTheme="minorEastAsia" w:eastAsiaTheme="minorEastAsia"/>
                <w:sz w:val="21"/>
                <w:szCs w:val="21"/>
              </w:rPr>
              <w:t>满意度</w:t>
            </w: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10</w:t>
            </w:r>
          </w:p>
        </w:tc>
        <w:tc>
          <w:tcPr>
            <w:tcW w:w="104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10</w:t>
            </w:r>
          </w:p>
        </w:tc>
      </w:tr>
      <w:tr>
        <w:tblPrEx>
          <w:tblCellMar>
            <w:top w:w="15" w:type="dxa"/>
            <w:left w:w="15" w:type="dxa"/>
            <w:bottom w:w="15" w:type="dxa"/>
            <w:right w:w="15" w:type="dxa"/>
          </w:tblCellMar>
        </w:tblPrEx>
        <w:trPr>
          <w:trHeight w:val="563" w:hRule="exact"/>
          <w:jc w:val="center"/>
        </w:trPr>
        <w:tc>
          <w:tcPr>
            <w:tcW w:w="2623" w:type="dxa"/>
            <w:gridSpan w:val="2"/>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合计</w:t>
            </w:r>
          </w:p>
        </w:tc>
        <w:tc>
          <w:tcPr>
            <w:tcW w:w="213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p>
        </w:tc>
        <w:tc>
          <w:tcPr>
            <w:tcW w:w="1200"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16</w:t>
            </w:r>
          </w:p>
        </w:tc>
        <w:tc>
          <w:tcPr>
            <w:tcW w:w="1045" w:type="dxa"/>
            <w:tcBorders>
              <w:top w:val="single" w:color="000000" w:sz="4" w:space="0"/>
              <w:left w:val="single" w:color="000000" w:sz="4" w:space="0"/>
              <w:bottom w:val="single" w:color="000000" w:sz="4" w:space="0"/>
              <w:right w:val="single" w:color="000000" w:sz="4" w:space="0"/>
            </w:tcBorders>
            <w:vAlign w:val="center"/>
          </w:tcPr>
          <w:p>
            <w:pPr>
              <w:spacing w:line="420" w:lineRule="exact"/>
              <w:jc w:val="center"/>
              <w:rPr>
                <w:rFonts w:cs="宋体" w:asciiTheme="minorEastAsia" w:hAnsiTheme="minorEastAsia" w:eastAsiaTheme="minorEastAsia"/>
                <w:sz w:val="21"/>
                <w:szCs w:val="21"/>
              </w:rPr>
            </w:pPr>
            <w:r>
              <w:rPr>
                <w:rFonts w:hint="eastAsia" w:cs="宋体" w:asciiTheme="minorEastAsia" w:hAnsiTheme="minorEastAsia" w:eastAsiaTheme="minorEastAsia"/>
                <w:sz w:val="21"/>
                <w:szCs w:val="21"/>
              </w:rPr>
              <w:t>16</w:t>
            </w:r>
          </w:p>
        </w:tc>
      </w:tr>
      <w:bookmarkEnd w:id="70"/>
    </w:tbl>
    <w:p>
      <w:pPr>
        <w:spacing w:after="0" w:line="360" w:lineRule="auto"/>
        <w:ind w:firstLine="640" w:firstLineChars="200"/>
        <w:jc w:val="both"/>
        <w:textAlignment w:val="baseline"/>
        <w:rPr>
          <w:rFonts w:hint="eastAsia" w:ascii="仿宋_GB2312" w:eastAsia="仿宋_GB2312" w:cs="DengXian-Regular"/>
          <w:sz w:val="32"/>
          <w:szCs w:val="32"/>
        </w:rPr>
      </w:pP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1.经济效益（3分）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该指标主要评价部门履行职责对社会发展所带来的直接或间接的经济效益。</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依据区工信局</w:t>
      </w:r>
      <w:r>
        <w:rPr>
          <w:rFonts w:hint="eastAsia" w:ascii="仿宋_GB2312" w:eastAsia="仿宋_GB2312" w:cs="DengXian-Regular"/>
          <w:sz w:val="32"/>
          <w:szCs w:val="32"/>
          <w:highlight w:val="none"/>
        </w:rPr>
        <w:t>202</w:t>
      </w:r>
      <w:r>
        <w:rPr>
          <w:rFonts w:hint="default" w:ascii="仿宋_GB2312" w:eastAsia="仿宋_GB2312" w:cs="DengXian-Regular"/>
          <w:sz w:val="32"/>
          <w:szCs w:val="32"/>
          <w:highlight w:val="none"/>
          <w:lang w:val="en-US"/>
        </w:rPr>
        <w:t>2</w:t>
      </w:r>
      <w:r>
        <w:rPr>
          <w:rFonts w:hint="eastAsia" w:ascii="仿宋_GB2312" w:eastAsia="仿宋_GB2312" w:cs="DengXian-Regular"/>
          <w:sz w:val="32"/>
          <w:szCs w:val="32"/>
        </w:rPr>
        <w:t>年绩效目标一览表等相关资料，区工信局202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年超额完成了</w:t>
      </w:r>
      <w:r>
        <w:rPr>
          <w:rFonts w:hint="eastAsia" w:ascii="仿宋_GB2312" w:eastAsia="仿宋_GB2312" w:cs="DengXian-Regular"/>
          <w:sz w:val="32"/>
          <w:szCs w:val="32"/>
          <w:lang w:eastAsia="zh-CN"/>
        </w:rPr>
        <w:t>规上工业企业</w:t>
      </w:r>
      <w:r>
        <w:rPr>
          <w:rFonts w:hint="default" w:ascii="仿宋_GB2312" w:eastAsia="仿宋_GB2312" w:cs="DengXian-Regular"/>
          <w:sz w:val="32"/>
          <w:szCs w:val="32"/>
          <w:lang w:val="en-US" w:eastAsia="zh-CN"/>
        </w:rPr>
        <w:t>101</w:t>
      </w:r>
      <w:r>
        <w:rPr>
          <w:rFonts w:hint="eastAsia" w:ascii="仿宋_GB2312" w:eastAsia="仿宋_GB2312" w:cs="DengXian-Regular"/>
          <w:sz w:val="32"/>
          <w:szCs w:val="32"/>
          <w:lang w:val="en-US" w:eastAsia="zh-CN"/>
        </w:rPr>
        <w:t>家；</w:t>
      </w:r>
      <w:r>
        <w:rPr>
          <w:rFonts w:hint="eastAsia" w:ascii="仿宋_GB2312" w:eastAsia="仿宋_GB2312" w:cs="DengXian-Regular"/>
          <w:sz w:val="32"/>
          <w:szCs w:val="32"/>
        </w:rPr>
        <w:t>高新技术企业</w:t>
      </w:r>
      <w:r>
        <w:rPr>
          <w:rFonts w:hint="default" w:ascii="仿宋_GB2312" w:eastAsia="仿宋_GB2312" w:cs="DengXian-Regular"/>
          <w:sz w:val="32"/>
          <w:szCs w:val="32"/>
          <w:lang w:val="en-US"/>
        </w:rPr>
        <w:t>76</w:t>
      </w:r>
      <w:r>
        <w:rPr>
          <w:rFonts w:hint="eastAsia" w:ascii="仿宋_GB2312" w:eastAsia="仿宋_GB2312" w:cs="DengXian-Regular"/>
          <w:sz w:val="32"/>
          <w:szCs w:val="32"/>
        </w:rPr>
        <w:t>家</w:t>
      </w:r>
      <w:r>
        <w:rPr>
          <w:rFonts w:hint="eastAsia" w:ascii="仿宋_GB2312" w:eastAsia="仿宋_GB2312" w:cs="DengXian-Regular"/>
          <w:sz w:val="32"/>
          <w:szCs w:val="32"/>
          <w:lang w:eastAsia="zh-CN"/>
        </w:rPr>
        <w:t>；</w:t>
      </w:r>
      <w:r>
        <w:rPr>
          <w:rFonts w:hint="default" w:ascii="仿宋_GB2312" w:eastAsia="仿宋_GB2312" w:cs="DengXian-Regular"/>
          <w:sz w:val="32"/>
          <w:szCs w:val="32"/>
          <w:lang w:val="en-US" w:eastAsia="zh-CN"/>
        </w:rPr>
        <w:t xml:space="preserve"> </w:t>
      </w:r>
      <w:r>
        <w:rPr>
          <w:rFonts w:hint="eastAsia" w:ascii="仿宋_GB2312" w:eastAsia="仿宋_GB2312" w:cs="DengXian-Regular"/>
          <w:sz w:val="32"/>
          <w:szCs w:val="32"/>
        </w:rPr>
        <w:t>科技型中小企业</w:t>
      </w:r>
      <w:r>
        <w:rPr>
          <w:rFonts w:hint="default" w:ascii="仿宋_GB2312" w:eastAsia="仿宋_GB2312" w:cs="DengXian-Regular"/>
          <w:sz w:val="32"/>
          <w:szCs w:val="32"/>
          <w:lang w:val="en-US"/>
        </w:rPr>
        <w:t>832</w:t>
      </w:r>
      <w:r>
        <w:rPr>
          <w:rFonts w:hint="eastAsia" w:ascii="仿宋_GB2312" w:eastAsia="仿宋_GB2312" w:cs="DengXian-Regular"/>
          <w:sz w:val="32"/>
          <w:szCs w:val="32"/>
        </w:rPr>
        <w:t>家</w:t>
      </w:r>
      <w:r>
        <w:rPr>
          <w:rFonts w:hint="eastAsia" w:ascii="仿宋_GB2312" w:eastAsia="仿宋_GB2312" w:cs="DengXian-Regular"/>
          <w:sz w:val="32"/>
          <w:szCs w:val="32"/>
          <w:lang w:eastAsia="zh-CN"/>
        </w:rPr>
        <w:t>；</w:t>
      </w:r>
      <w:r>
        <w:rPr>
          <w:rFonts w:hint="eastAsia" w:ascii="仿宋_GB2312" w:eastAsia="仿宋_GB2312" w:cs="DengXian-Regular"/>
          <w:sz w:val="32"/>
          <w:szCs w:val="32"/>
        </w:rPr>
        <w:t>“专精特新”</w:t>
      </w:r>
      <w:r>
        <w:rPr>
          <w:rFonts w:hint="eastAsia" w:ascii="仿宋_GB2312" w:eastAsia="仿宋_GB2312" w:cs="DengXian-Regular"/>
          <w:sz w:val="32"/>
          <w:szCs w:val="32"/>
          <w:lang w:eastAsia="zh-CN"/>
        </w:rPr>
        <w:t>中小企业</w:t>
      </w:r>
      <w:r>
        <w:rPr>
          <w:rFonts w:hint="default" w:ascii="仿宋_GB2312" w:eastAsia="仿宋_GB2312" w:cs="DengXian-Regular"/>
          <w:sz w:val="32"/>
          <w:szCs w:val="32"/>
          <w:lang w:val="en-US" w:eastAsia="zh-CN"/>
        </w:rPr>
        <w:t>11</w:t>
      </w:r>
      <w:r>
        <w:rPr>
          <w:rFonts w:hint="eastAsia" w:ascii="仿宋_GB2312" w:eastAsia="仿宋_GB2312" w:cs="DengXian-Regular"/>
          <w:sz w:val="32"/>
          <w:szCs w:val="32"/>
          <w:lang w:val="en-US" w:eastAsia="zh-CN"/>
        </w:rPr>
        <w:t>家，完成市定任务目标</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该项指标实际得分3分。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2.社会效益（3分）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该指标主要评价部门履行职责对社会发展所带来的直接或间接的社会效益。</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依据区工信局202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年绩效目标一览表等相关资料，区工信局202</w:t>
      </w:r>
      <w:r>
        <w:rPr>
          <w:rFonts w:hint="default" w:ascii="仿宋_GB2312" w:eastAsia="仿宋_GB2312" w:cs="DengXian-Regular"/>
          <w:sz w:val="32"/>
          <w:szCs w:val="32"/>
          <w:lang w:val="en-US"/>
        </w:rPr>
        <w:t>2</w:t>
      </w:r>
      <w:r>
        <w:rPr>
          <w:rFonts w:hint="eastAsia" w:ascii="仿宋_GB2312" w:eastAsia="仿宋_GB2312" w:cs="DengXian-Regular"/>
          <w:sz w:val="32"/>
          <w:szCs w:val="32"/>
        </w:rPr>
        <w:t>年超额完成了</w:t>
      </w:r>
      <w:r>
        <w:rPr>
          <w:rFonts w:hint="eastAsia" w:ascii="仿宋_GB2312" w:eastAsia="仿宋_GB2312" w:cs="DengXian-Regular"/>
          <w:sz w:val="32"/>
          <w:szCs w:val="32"/>
          <w:lang w:eastAsia="zh-CN"/>
        </w:rPr>
        <w:t>规上工业企业</w:t>
      </w:r>
      <w:r>
        <w:rPr>
          <w:rFonts w:hint="default" w:ascii="仿宋_GB2312" w:eastAsia="仿宋_GB2312" w:cs="DengXian-Regular"/>
          <w:sz w:val="32"/>
          <w:szCs w:val="32"/>
          <w:lang w:val="en-US" w:eastAsia="zh-CN"/>
        </w:rPr>
        <w:t>101</w:t>
      </w:r>
      <w:r>
        <w:rPr>
          <w:rFonts w:hint="eastAsia" w:ascii="仿宋_GB2312" w:eastAsia="仿宋_GB2312" w:cs="DengXian-Regular"/>
          <w:sz w:val="32"/>
          <w:szCs w:val="32"/>
          <w:lang w:val="en-US" w:eastAsia="zh-CN"/>
        </w:rPr>
        <w:t>家；</w:t>
      </w:r>
      <w:r>
        <w:rPr>
          <w:rFonts w:hint="eastAsia" w:ascii="仿宋_GB2312" w:eastAsia="仿宋_GB2312" w:cs="DengXian-Regular"/>
          <w:sz w:val="32"/>
          <w:szCs w:val="32"/>
        </w:rPr>
        <w:t>高新技术企业</w:t>
      </w:r>
      <w:r>
        <w:rPr>
          <w:rFonts w:hint="default" w:ascii="仿宋_GB2312" w:eastAsia="仿宋_GB2312" w:cs="DengXian-Regular"/>
          <w:sz w:val="32"/>
          <w:szCs w:val="32"/>
          <w:lang w:val="en-US"/>
        </w:rPr>
        <w:t>76</w:t>
      </w:r>
      <w:r>
        <w:rPr>
          <w:rFonts w:hint="eastAsia" w:ascii="仿宋_GB2312" w:eastAsia="仿宋_GB2312" w:cs="DengXian-Regular"/>
          <w:sz w:val="32"/>
          <w:szCs w:val="32"/>
        </w:rPr>
        <w:t>家</w:t>
      </w:r>
      <w:r>
        <w:rPr>
          <w:rFonts w:hint="eastAsia" w:ascii="仿宋_GB2312" w:eastAsia="仿宋_GB2312" w:cs="DengXian-Regular"/>
          <w:sz w:val="32"/>
          <w:szCs w:val="32"/>
          <w:lang w:eastAsia="zh-CN"/>
        </w:rPr>
        <w:t>；</w:t>
      </w:r>
      <w:r>
        <w:rPr>
          <w:rFonts w:hint="default" w:ascii="仿宋_GB2312" w:eastAsia="仿宋_GB2312" w:cs="DengXian-Regular"/>
          <w:sz w:val="32"/>
          <w:szCs w:val="32"/>
          <w:lang w:val="en-US" w:eastAsia="zh-CN"/>
        </w:rPr>
        <w:t xml:space="preserve"> </w:t>
      </w:r>
      <w:r>
        <w:rPr>
          <w:rFonts w:hint="eastAsia" w:ascii="仿宋_GB2312" w:eastAsia="仿宋_GB2312" w:cs="DengXian-Regular"/>
          <w:sz w:val="32"/>
          <w:szCs w:val="32"/>
        </w:rPr>
        <w:t>科技型中小企业</w:t>
      </w:r>
      <w:r>
        <w:rPr>
          <w:rFonts w:hint="default" w:ascii="仿宋_GB2312" w:eastAsia="仿宋_GB2312" w:cs="DengXian-Regular"/>
          <w:sz w:val="32"/>
          <w:szCs w:val="32"/>
          <w:lang w:val="en-US"/>
        </w:rPr>
        <w:t>832</w:t>
      </w:r>
      <w:r>
        <w:rPr>
          <w:rFonts w:hint="eastAsia" w:ascii="仿宋_GB2312" w:eastAsia="仿宋_GB2312" w:cs="DengXian-Regular"/>
          <w:sz w:val="32"/>
          <w:szCs w:val="32"/>
        </w:rPr>
        <w:t>家</w:t>
      </w:r>
      <w:r>
        <w:rPr>
          <w:rFonts w:hint="eastAsia" w:ascii="仿宋_GB2312" w:eastAsia="仿宋_GB2312" w:cs="DengXian-Regular"/>
          <w:sz w:val="32"/>
          <w:szCs w:val="32"/>
          <w:lang w:eastAsia="zh-CN"/>
        </w:rPr>
        <w:t>；</w:t>
      </w:r>
      <w:r>
        <w:rPr>
          <w:rFonts w:hint="eastAsia" w:ascii="仿宋_GB2312" w:eastAsia="仿宋_GB2312" w:cs="DengXian-Regular"/>
          <w:sz w:val="32"/>
          <w:szCs w:val="32"/>
        </w:rPr>
        <w:t>“专精特新”</w:t>
      </w:r>
      <w:r>
        <w:rPr>
          <w:rFonts w:hint="eastAsia" w:ascii="仿宋_GB2312" w:eastAsia="仿宋_GB2312" w:cs="DengXian-Regular"/>
          <w:sz w:val="32"/>
          <w:szCs w:val="32"/>
          <w:lang w:eastAsia="zh-CN"/>
        </w:rPr>
        <w:t>中小企业</w:t>
      </w:r>
      <w:r>
        <w:rPr>
          <w:rFonts w:hint="default" w:ascii="仿宋_GB2312" w:eastAsia="仿宋_GB2312" w:cs="DengXian-Regular"/>
          <w:sz w:val="32"/>
          <w:szCs w:val="32"/>
          <w:lang w:val="en-US" w:eastAsia="zh-CN"/>
        </w:rPr>
        <w:t>11</w:t>
      </w:r>
      <w:r>
        <w:rPr>
          <w:rFonts w:hint="eastAsia" w:ascii="仿宋_GB2312" w:eastAsia="仿宋_GB2312" w:cs="DengXian-Regular"/>
          <w:sz w:val="32"/>
          <w:szCs w:val="32"/>
          <w:lang w:val="en-US" w:eastAsia="zh-CN"/>
        </w:rPr>
        <w:t>家；完成市定任务目标</w:t>
      </w:r>
      <w:r>
        <w:rPr>
          <w:rFonts w:hint="eastAsia" w:ascii="仿宋_GB2312" w:eastAsia="仿宋_GB2312" w:cs="DengXian-Regular"/>
          <w:sz w:val="32"/>
          <w:szCs w:val="32"/>
        </w:rPr>
        <w:t>。</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该指标实际得分3分。</w:t>
      </w:r>
    </w:p>
    <w:p>
      <w:pPr>
        <w:spacing w:after="0" w:line="360" w:lineRule="auto"/>
        <w:ind w:firstLine="640" w:firstLineChars="200"/>
        <w:jc w:val="both"/>
        <w:textAlignment w:val="baseline"/>
        <w:rPr>
          <w:rFonts w:ascii="仿宋_GB2312" w:eastAsia="仿宋_GB2312" w:cs="DengXian-Regular"/>
          <w:sz w:val="32"/>
          <w:szCs w:val="32"/>
        </w:rPr>
      </w:pPr>
      <w:r>
        <w:rPr>
          <w:rFonts w:hint="eastAsia" w:ascii="仿宋_GB2312" w:eastAsia="仿宋_GB2312" w:cs="DengXian-Regular"/>
          <w:sz w:val="32"/>
          <w:szCs w:val="32"/>
        </w:rPr>
        <w:t>3.考评满意度（10分）</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该指标主要评价社会公众或部门的服务对象对部门履职效果的满意程度。</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针对该指标，我们随机选取了</w:t>
      </w:r>
      <w:r>
        <w:rPr>
          <w:rFonts w:hint="default" w:ascii="仿宋_GB2312" w:eastAsia="仿宋_GB2312" w:cs="Times New Roman" w:hAnsiTheme="minorEastAsia"/>
          <w:sz w:val="32"/>
          <w:szCs w:val="32"/>
          <w:u w:color="000000"/>
          <w:lang w:val="en-US"/>
        </w:rPr>
        <w:t>50</w:t>
      </w:r>
      <w:r>
        <w:rPr>
          <w:rFonts w:hint="eastAsia" w:ascii="仿宋_GB2312" w:eastAsia="仿宋_GB2312" w:cs="Times New Roman" w:hAnsiTheme="minorEastAsia"/>
          <w:sz w:val="32"/>
          <w:szCs w:val="32"/>
          <w:u w:color="000000"/>
        </w:rPr>
        <w:t>个调查对象进行了问卷调查，具体调查情况如下：</w:t>
      </w:r>
    </w:p>
    <w:p>
      <w:pPr>
        <w:spacing w:after="0" w:line="360" w:lineRule="auto"/>
        <w:jc w:val="center"/>
        <w:textAlignment w:val="baseline"/>
        <w:rPr>
          <w:rFonts w:asciiTheme="minorEastAsia" w:hAnsiTheme="minorEastAsia" w:eastAsiaTheme="minorEastAsia" w:cstheme="minorEastAsia"/>
          <w:b/>
          <w:bCs/>
          <w:sz w:val="32"/>
          <w:szCs w:val="32"/>
          <w:u w:color="000000"/>
        </w:rPr>
      </w:pPr>
    </w:p>
    <w:p>
      <w:pPr>
        <w:spacing w:after="0" w:line="360" w:lineRule="auto"/>
        <w:jc w:val="center"/>
        <w:textAlignment w:val="baseline"/>
        <w:rPr>
          <w:rFonts w:asciiTheme="minorEastAsia" w:hAnsiTheme="minorEastAsia" w:eastAsiaTheme="minorEastAsia" w:cstheme="minorEastAsia"/>
          <w:b/>
          <w:bCs/>
          <w:sz w:val="32"/>
          <w:szCs w:val="32"/>
          <w:u w:color="000000"/>
        </w:rPr>
      </w:pPr>
      <w:r>
        <w:rPr>
          <w:rFonts w:hint="eastAsia" w:asciiTheme="minorEastAsia" w:hAnsiTheme="minorEastAsia" w:eastAsiaTheme="minorEastAsia" w:cstheme="minorEastAsia"/>
          <w:b/>
          <w:bCs/>
          <w:sz w:val="32"/>
          <w:szCs w:val="32"/>
          <w:u w:color="000000"/>
        </w:rPr>
        <w:t>表6  服务对象满意度调查问卷汇总表</w:t>
      </w:r>
    </w:p>
    <w:p>
      <w:pPr>
        <w:spacing w:after="0" w:line="540" w:lineRule="exact"/>
        <w:ind w:firstLine="6930" w:firstLineChars="3300"/>
        <w:jc w:val="both"/>
        <w:textAlignment w:val="baseline"/>
        <w:rPr>
          <w:rFonts w:ascii="仿宋_GB2312" w:eastAsia="仿宋_GB2312" w:cs="Times New Roman" w:hAnsiTheme="minorEastAsia"/>
          <w:sz w:val="32"/>
          <w:szCs w:val="32"/>
          <w:u w:color="000000"/>
        </w:rPr>
      </w:pPr>
      <w:r>
        <w:rPr>
          <w:rFonts w:hint="eastAsia" w:asciiTheme="minorEastAsia" w:hAnsiTheme="minorEastAsia" w:eastAsiaTheme="minorEastAsia" w:cstheme="minorEastAsia"/>
          <w:sz w:val="21"/>
          <w:szCs w:val="21"/>
          <w:u w:color="000000"/>
        </w:rPr>
        <w:t>单位：人次</w:t>
      </w:r>
    </w:p>
    <w:tbl>
      <w:tblPr>
        <w:tblStyle w:val="23"/>
        <w:tblW w:w="7948" w:type="dxa"/>
        <w:jc w:val="center"/>
        <w:tblLayout w:type="fixed"/>
        <w:tblCellMar>
          <w:top w:w="15" w:type="dxa"/>
          <w:left w:w="15" w:type="dxa"/>
          <w:bottom w:w="15" w:type="dxa"/>
          <w:right w:w="15" w:type="dxa"/>
        </w:tblCellMar>
      </w:tblPr>
      <w:tblGrid>
        <w:gridCol w:w="2834"/>
        <w:gridCol w:w="1114"/>
        <w:gridCol w:w="1134"/>
        <w:gridCol w:w="1218"/>
        <w:gridCol w:w="767"/>
        <w:gridCol w:w="881"/>
      </w:tblGrid>
      <w:tr>
        <w:tblPrEx>
          <w:tblCellMar>
            <w:top w:w="15" w:type="dxa"/>
            <w:left w:w="15" w:type="dxa"/>
            <w:bottom w:w="15" w:type="dxa"/>
            <w:right w:w="15" w:type="dxa"/>
          </w:tblCellMar>
        </w:tblPrEx>
        <w:trPr>
          <w:trHeight w:val="316" w:hRule="atLeast"/>
          <w:jc w:val="center"/>
        </w:trPr>
        <w:tc>
          <w:tcPr>
            <w:tcW w:w="2834" w:type="dxa"/>
            <w:tcBorders>
              <w:top w:val="single" w:color="auto" w:sz="4" w:space="0"/>
              <w:left w:val="single" w:color="auto" w:sz="4" w:space="0"/>
              <w:bottom w:val="single" w:color="auto" w:sz="4" w:space="0"/>
              <w:right w:val="single" w:color="auto" w:sz="4" w:space="0"/>
            </w:tcBorders>
            <w:vAlign w:val="center"/>
          </w:tcPr>
          <w:p>
            <w:pPr>
              <w:spacing w:after="0" w:line="540" w:lineRule="exact"/>
              <w:jc w:val="center"/>
              <w:textAlignment w:val="baseline"/>
              <w:rPr>
                <w:rFonts w:cs="Times New Roman" w:asciiTheme="minorEastAsia" w:hAnsiTheme="minorEastAsia" w:eastAsiaTheme="minorEastAsia"/>
                <w:b/>
                <w:bCs/>
                <w:sz w:val="21"/>
                <w:szCs w:val="21"/>
                <w:highlight w:val="none"/>
                <w:u w:color="000000"/>
              </w:rPr>
            </w:pPr>
            <w:r>
              <w:rPr>
                <w:rFonts w:hint="eastAsia" w:cs="Times New Roman" w:asciiTheme="minorEastAsia" w:hAnsiTheme="minorEastAsia" w:eastAsiaTheme="minorEastAsia"/>
                <w:b/>
                <w:bCs/>
                <w:sz w:val="21"/>
                <w:szCs w:val="21"/>
                <w:highlight w:val="none"/>
                <w:u w:color="000000"/>
              </w:rPr>
              <w:t>调查项目</w:t>
            </w:r>
          </w:p>
        </w:tc>
        <w:tc>
          <w:tcPr>
            <w:tcW w:w="1114" w:type="dxa"/>
            <w:tcBorders>
              <w:top w:val="single" w:color="auto" w:sz="4" w:space="0"/>
              <w:left w:val="single" w:color="auto" w:sz="4" w:space="0"/>
              <w:bottom w:val="single" w:color="auto" w:sz="4" w:space="0"/>
              <w:right w:val="single" w:color="auto" w:sz="4" w:space="0"/>
            </w:tcBorders>
            <w:vAlign w:val="center"/>
          </w:tcPr>
          <w:p>
            <w:pPr>
              <w:spacing w:after="0" w:line="540" w:lineRule="exact"/>
              <w:jc w:val="center"/>
              <w:textAlignment w:val="baseline"/>
              <w:rPr>
                <w:rFonts w:cs="Times New Roman" w:asciiTheme="minorEastAsia" w:hAnsiTheme="minorEastAsia" w:eastAsiaTheme="minorEastAsia"/>
                <w:b/>
                <w:bCs/>
                <w:sz w:val="21"/>
                <w:szCs w:val="21"/>
                <w:highlight w:val="none"/>
                <w:u w:color="000000"/>
              </w:rPr>
            </w:pPr>
            <w:r>
              <w:rPr>
                <w:rFonts w:hint="eastAsia" w:cs="Times New Roman" w:asciiTheme="minorEastAsia" w:hAnsiTheme="minorEastAsia" w:eastAsiaTheme="minorEastAsia"/>
                <w:b/>
                <w:bCs/>
                <w:sz w:val="21"/>
                <w:szCs w:val="21"/>
                <w:highlight w:val="none"/>
                <w:u w:color="000000"/>
              </w:rPr>
              <w:t>满意</w:t>
            </w:r>
          </w:p>
        </w:tc>
        <w:tc>
          <w:tcPr>
            <w:tcW w:w="1134" w:type="dxa"/>
            <w:tcBorders>
              <w:top w:val="single" w:color="auto" w:sz="4" w:space="0"/>
              <w:left w:val="single" w:color="auto" w:sz="4" w:space="0"/>
              <w:bottom w:val="single" w:color="auto" w:sz="4" w:space="0"/>
              <w:right w:val="single" w:color="auto" w:sz="4" w:space="0"/>
            </w:tcBorders>
            <w:vAlign w:val="center"/>
          </w:tcPr>
          <w:p>
            <w:pPr>
              <w:spacing w:after="0" w:line="540" w:lineRule="exact"/>
              <w:jc w:val="center"/>
              <w:textAlignment w:val="baseline"/>
              <w:rPr>
                <w:rFonts w:cs="Times New Roman" w:asciiTheme="minorEastAsia" w:hAnsiTheme="minorEastAsia" w:eastAsiaTheme="minorEastAsia"/>
                <w:b/>
                <w:bCs/>
                <w:sz w:val="21"/>
                <w:szCs w:val="21"/>
                <w:highlight w:val="none"/>
                <w:u w:color="000000"/>
              </w:rPr>
            </w:pPr>
            <w:r>
              <w:rPr>
                <w:rFonts w:hint="eastAsia" w:cs="Times New Roman" w:asciiTheme="minorEastAsia" w:hAnsiTheme="minorEastAsia" w:eastAsiaTheme="minorEastAsia"/>
                <w:b/>
                <w:bCs/>
                <w:sz w:val="21"/>
                <w:szCs w:val="21"/>
                <w:highlight w:val="none"/>
                <w:u w:color="000000"/>
              </w:rPr>
              <w:t>一般</w:t>
            </w:r>
          </w:p>
        </w:tc>
        <w:tc>
          <w:tcPr>
            <w:tcW w:w="1218" w:type="dxa"/>
            <w:tcBorders>
              <w:top w:val="single" w:color="auto" w:sz="4" w:space="0"/>
              <w:left w:val="single" w:color="auto" w:sz="4" w:space="0"/>
              <w:bottom w:val="single" w:color="auto" w:sz="4" w:space="0"/>
              <w:right w:val="single" w:color="auto" w:sz="4" w:space="0"/>
            </w:tcBorders>
            <w:vAlign w:val="center"/>
          </w:tcPr>
          <w:p>
            <w:pPr>
              <w:spacing w:after="0" w:line="540" w:lineRule="exact"/>
              <w:jc w:val="center"/>
              <w:textAlignment w:val="baseline"/>
              <w:rPr>
                <w:rFonts w:cs="Times New Roman" w:asciiTheme="minorEastAsia" w:hAnsiTheme="minorEastAsia" w:eastAsiaTheme="minorEastAsia"/>
                <w:b/>
                <w:bCs/>
                <w:sz w:val="21"/>
                <w:szCs w:val="21"/>
                <w:highlight w:val="none"/>
                <w:u w:color="000000"/>
              </w:rPr>
            </w:pPr>
            <w:r>
              <w:rPr>
                <w:rFonts w:hint="eastAsia" w:cs="Times New Roman" w:asciiTheme="minorEastAsia" w:hAnsiTheme="minorEastAsia" w:eastAsiaTheme="minorEastAsia"/>
                <w:b/>
                <w:bCs/>
                <w:sz w:val="21"/>
                <w:szCs w:val="21"/>
                <w:highlight w:val="none"/>
                <w:u w:color="000000"/>
              </w:rPr>
              <w:t>不满意</w:t>
            </w:r>
          </w:p>
        </w:tc>
        <w:tc>
          <w:tcPr>
            <w:tcW w:w="767" w:type="dxa"/>
            <w:tcBorders>
              <w:top w:val="single" w:color="auto" w:sz="4" w:space="0"/>
              <w:left w:val="single" w:color="auto" w:sz="4" w:space="0"/>
              <w:bottom w:val="single" w:color="auto" w:sz="4" w:space="0"/>
              <w:right w:val="single" w:color="auto" w:sz="4" w:space="0"/>
            </w:tcBorders>
            <w:vAlign w:val="center"/>
          </w:tcPr>
          <w:p>
            <w:pPr>
              <w:spacing w:after="0" w:line="540" w:lineRule="exact"/>
              <w:jc w:val="center"/>
              <w:textAlignment w:val="baseline"/>
              <w:rPr>
                <w:rFonts w:cs="Times New Roman" w:asciiTheme="minorEastAsia" w:hAnsiTheme="minorEastAsia" w:eastAsiaTheme="minorEastAsia"/>
                <w:b/>
                <w:bCs/>
                <w:sz w:val="21"/>
                <w:szCs w:val="21"/>
                <w:highlight w:val="none"/>
                <w:u w:color="000000"/>
              </w:rPr>
            </w:pPr>
            <w:r>
              <w:rPr>
                <w:rFonts w:hint="eastAsia" w:cs="Times New Roman" w:asciiTheme="minorEastAsia" w:hAnsiTheme="minorEastAsia" w:eastAsiaTheme="minorEastAsia"/>
                <w:b/>
                <w:bCs/>
                <w:sz w:val="21"/>
                <w:szCs w:val="21"/>
                <w:highlight w:val="none"/>
                <w:u w:color="000000"/>
              </w:rPr>
              <w:t>总人数</w:t>
            </w:r>
          </w:p>
        </w:tc>
        <w:tc>
          <w:tcPr>
            <w:tcW w:w="881" w:type="dxa"/>
            <w:tcBorders>
              <w:top w:val="single" w:color="auto" w:sz="4" w:space="0"/>
              <w:left w:val="single" w:color="auto" w:sz="4" w:space="0"/>
              <w:bottom w:val="single" w:color="auto" w:sz="4" w:space="0"/>
              <w:right w:val="single" w:color="auto" w:sz="4" w:space="0"/>
            </w:tcBorders>
            <w:vAlign w:val="center"/>
          </w:tcPr>
          <w:p>
            <w:pPr>
              <w:spacing w:after="0" w:line="540" w:lineRule="exact"/>
              <w:jc w:val="center"/>
              <w:textAlignment w:val="baseline"/>
              <w:rPr>
                <w:rFonts w:cs="Times New Roman" w:asciiTheme="minorEastAsia" w:hAnsiTheme="minorEastAsia" w:eastAsiaTheme="minorEastAsia"/>
                <w:b/>
                <w:bCs/>
                <w:sz w:val="21"/>
                <w:szCs w:val="21"/>
                <w:highlight w:val="none"/>
                <w:u w:color="000000"/>
              </w:rPr>
            </w:pPr>
            <w:r>
              <w:rPr>
                <w:rFonts w:hint="eastAsia" w:cs="Times New Roman" w:asciiTheme="minorEastAsia" w:hAnsiTheme="minorEastAsia" w:eastAsiaTheme="minorEastAsia"/>
                <w:b/>
                <w:bCs/>
                <w:sz w:val="21"/>
                <w:szCs w:val="21"/>
                <w:highlight w:val="none"/>
                <w:u w:color="000000"/>
              </w:rPr>
              <w:t>单项得分</w:t>
            </w:r>
          </w:p>
        </w:tc>
      </w:tr>
      <w:tr>
        <w:tblPrEx>
          <w:tblCellMar>
            <w:top w:w="15" w:type="dxa"/>
            <w:left w:w="15" w:type="dxa"/>
            <w:bottom w:w="15" w:type="dxa"/>
            <w:right w:w="15" w:type="dxa"/>
          </w:tblCellMar>
        </w:tblPrEx>
        <w:trPr>
          <w:trHeight w:val="401" w:hRule="atLeast"/>
          <w:jc w:val="center"/>
        </w:trPr>
        <w:tc>
          <w:tcPr>
            <w:tcW w:w="283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eastAsia" w:cs="Times New Roman" w:asciiTheme="minorEastAsia" w:hAnsiTheme="minorEastAsia" w:eastAsiaTheme="minorEastAsia"/>
                <w:sz w:val="21"/>
                <w:szCs w:val="21"/>
                <w:highlight w:val="none"/>
                <w:u w:color="000000"/>
                <w:lang w:eastAsia="zh-CN"/>
              </w:rPr>
            </w:pPr>
            <w:r>
              <w:rPr>
                <w:rFonts w:hint="eastAsia" w:cs="Times New Roman" w:asciiTheme="minorEastAsia" w:hAnsiTheme="minorEastAsia" w:eastAsiaTheme="minorEastAsia"/>
                <w:sz w:val="21"/>
                <w:szCs w:val="21"/>
                <w:highlight w:val="none"/>
                <w:u w:color="000000"/>
                <w:lang w:eastAsia="zh-CN"/>
              </w:rPr>
              <w:t>“专精特新”企业培育工作</w:t>
            </w:r>
          </w:p>
        </w:tc>
        <w:tc>
          <w:tcPr>
            <w:tcW w:w="111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5000</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p>
        </w:tc>
        <w:tc>
          <w:tcPr>
            <w:tcW w:w="121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p>
        </w:tc>
        <w:tc>
          <w:tcPr>
            <w:tcW w:w="76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50</w:t>
            </w:r>
          </w:p>
        </w:tc>
        <w:tc>
          <w:tcPr>
            <w:tcW w:w="881"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100</w:t>
            </w:r>
          </w:p>
        </w:tc>
      </w:tr>
      <w:tr>
        <w:tblPrEx>
          <w:tblCellMar>
            <w:top w:w="15" w:type="dxa"/>
            <w:left w:w="15" w:type="dxa"/>
            <w:bottom w:w="15" w:type="dxa"/>
            <w:right w:w="15" w:type="dxa"/>
          </w:tblCellMar>
        </w:tblPrEx>
        <w:trPr>
          <w:trHeight w:val="379" w:hRule="atLeast"/>
          <w:jc w:val="center"/>
        </w:trPr>
        <w:tc>
          <w:tcPr>
            <w:tcW w:w="283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eastAsia="zh-CN"/>
              </w:rPr>
            </w:pPr>
            <w:r>
              <w:rPr>
                <w:rFonts w:hint="eastAsia" w:cs="Times New Roman" w:asciiTheme="minorEastAsia" w:hAnsiTheme="minorEastAsia" w:eastAsiaTheme="minorEastAsia"/>
                <w:sz w:val="21"/>
                <w:szCs w:val="21"/>
                <w:highlight w:val="none"/>
                <w:u w:color="000000"/>
                <w:lang w:eastAsia="zh-CN"/>
              </w:rPr>
              <w:t>“工业设计中心”申报工作</w:t>
            </w:r>
          </w:p>
        </w:tc>
        <w:tc>
          <w:tcPr>
            <w:tcW w:w="111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4900</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50</w:t>
            </w:r>
          </w:p>
        </w:tc>
        <w:tc>
          <w:tcPr>
            <w:tcW w:w="121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p>
        </w:tc>
        <w:tc>
          <w:tcPr>
            <w:tcW w:w="76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r>
              <w:rPr>
                <w:rFonts w:hint="eastAsia" w:cs="Times New Roman" w:asciiTheme="minorEastAsia" w:hAnsiTheme="minorEastAsia" w:eastAsiaTheme="minorEastAsia"/>
                <w:sz w:val="21"/>
                <w:szCs w:val="21"/>
                <w:highlight w:val="none"/>
                <w:u w:color="000000"/>
              </w:rPr>
              <w:t>50</w:t>
            </w:r>
          </w:p>
        </w:tc>
        <w:tc>
          <w:tcPr>
            <w:tcW w:w="881"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99</w:t>
            </w:r>
          </w:p>
        </w:tc>
      </w:tr>
      <w:tr>
        <w:tblPrEx>
          <w:tblCellMar>
            <w:top w:w="15" w:type="dxa"/>
            <w:left w:w="15" w:type="dxa"/>
            <w:bottom w:w="15" w:type="dxa"/>
            <w:right w:w="15" w:type="dxa"/>
          </w:tblCellMar>
        </w:tblPrEx>
        <w:trPr>
          <w:trHeight w:val="357" w:hRule="atLeast"/>
          <w:jc w:val="center"/>
        </w:trPr>
        <w:tc>
          <w:tcPr>
            <w:tcW w:w="283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r>
              <w:rPr>
                <w:rFonts w:hint="eastAsia" w:cs="Times New Roman" w:asciiTheme="minorEastAsia" w:hAnsiTheme="minorEastAsia" w:eastAsiaTheme="minorEastAsia"/>
                <w:sz w:val="21"/>
                <w:szCs w:val="21"/>
                <w:highlight w:val="none"/>
                <w:u w:color="000000"/>
                <w:lang w:eastAsia="zh-CN"/>
              </w:rPr>
              <w:t>高新技术</w:t>
            </w:r>
            <w:r>
              <w:rPr>
                <w:rFonts w:hint="eastAsia" w:cs="Times New Roman" w:asciiTheme="minorEastAsia" w:hAnsiTheme="minorEastAsia" w:eastAsiaTheme="minorEastAsia"/>
                <w:sz w:val="21"/>
                <w:szCs w:val="21"/>
                <w:highlight w:val="none"/>
                <w:u w:color="000000"/>
              </w:rPr>
              <w:t>企业培育工作</w:t>
            </w:r>
          </w:p>
        </w:tc>
        <w:tc>
          <w:tcPr>
            <w:tcW w:w="111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r>
              <w:rPr>
                <w:rFonts w:hint="default" w:cs="Times New Roman" w:asciiTheme="minorEastAsia" w:hAnsiTheme="minorEastAsia" w:eastAsiaTheme="minorEastAsia"/>
                <w:sz w:val="21"/>
                <w:szCs w:val="21"/>
                <w:highlight w:val="none"/>
                <w:u w:color="000000"/>
                <w:lang w:val="en-US"/>
              </w:rPr>
              <w:t>490</w:t>
            </w:r>
            <w:r>
              <w:rPr>
                <w:rFonts w:hint="eastAsia" w:cs="Times New Roman" w:asciiTheme="minorEastAsia" w:hAnsiTheme="minorEastAsia" w:eastAsiaTheme="minorEastAsia"/>
                <w:sz w:val="21"/>
                <w:szCs w:val="21"/>
                <w:highlight w:val="none"/>
                <w:u w:color="000000"/>
              </w:rPr>
              <w:t>0</w:t>
            </w:r>
          </w:p>
        </w:tc>
        <w:tc>
          <w:tcPr>
            <w:tcW w:w="1134"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50</w:t>
            </w:r>
          </w:p>
        </w:tc>
        <w:tc>
          <w:tcPr>
            <w:tcW w:w="1218"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p>
        </w:tc>
        <w:tc>
          <w:tcPr>
            <w:tcW w:w="767"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cs="Times New Roman" w:asciiTheme="minorEastAsia" w:hAnsiTheme="minorEastAsia" w:eastAsiaTheme="minorEastAsia"/>
                <w:sz w:val="21"/>
                <w:szCs w:val="21"/>
                <w:highlight w:val="none"/>
                <w:u w:color="000000"/>
              </w:rPr>
            </w:pPr>
            <w:r>
              <w:rPr>
                <w:rFonts w:hint="eastAsia" w:cs="Times New Roman" w:asciiTheme="minorEastAsia" w:hAnsiTheme="minorEastAsia" w:eastAsiaTheme="minorEastAsia"/>
                <w:sz w:val="21"/>
                <w:szCs w:val="21"/>
                <w:highlight w:val="none"/>
                <w:u w:color="000000"/>
              </w:rPr>
              <w:t>50</w:t>
            </w:r>
          </w:p>
        </w:tc>
        <w:tc>
          <w:tcPr>
            <w:tcW w:w="881"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textAlignment w:val="baseline"/>
              <w:rPr>
                <w:rFonts w:hint="default" w:cs="Times New Roman" w:asciiTheme="minorEastAsia" w:hAnsiTheme="minorEastAsia" w:eastAsiaTheme="minorEastAsia"/>
                <w:sz w:val="21"/>
                <w:szCs w:val="21"/>
                <w:highlight w:val="none"/>
                <w:u w:color="000000"/>
                <w:lang w:val="en-US"/>
              </w:rPr>
            </w:pPr>
            <w:r>
              <w:rPr>
                <w:rFonts w:hint="default" w:cs="Times New Roman" w:asciiTheme="minorEastAsia" w:hAnsiTheme="minorEastAsia" w:eastAsiaTheme="minorEastAsia"/>
                <w:sz w:val="21"/>
                <w:szCs w:val="21"/>
                <w:highlight w:val="none"/>
                <w:u w:color="000000"/>
                <w:lang w:val="en-US"/>
              </w:rPr>
              <w:t>99</w:t>
            </w:r>
          </w:p>
        </w:tc>
      </w:tr>
    </w:tbl>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调查问卷共分为3个单项，每个单项满分为100分。其中：每一单项满分为100分：满意为100分，一般为50分，不满意为0分。</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单项满意度得分=总分数/总人数</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总体满意度得分=∑1/3各单项满意度得分</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经计算，总体得分为</w:t>
      </w:r>
      <w:r>
        <w:rPr>
          <w:rFonts w:hint="default" w:ascii="仿宋_GB2312" w:eastAsia="仿宋_GB2312" w:cs="Times New Roman" w:hAnsiTheme="minorEastAsia"/>
          <w:sz w:val="32"/>
          <w:szCs w:val="32"/>
          <w:u w:color="000000"/>
          <w:lang w:val="en-US"/>
        </w:rPr>
        <w:t>99.33</w:t>
      </w:r>
      <w:r>
        <w:rPr>
          <w:rFonts w:hint="eastAsia" w:ascii="仿宋_GB2312" w:eastAsia="仿宋_GB2312" w:cs="Times New Roman" w:hAnsiTheme="minorEastAsia"/>
          <w:sz w:val="32"/>
          <w:szCs w:val="32"/>
          <w:u w:color="000000"/>
        </w:rPr>
        <w:t>分，大于90分，评价等级为“优秀”。</w:t>
      </w:r>
    </w:p>
    <w:p>
      <w:pPr>
        <w:spacing w:after="0" w:line="360" w:lineRule="auto"/>
        <w:ind w:firstLine="640" w:firstLineChars="200"/>
        <w:jc w:val="both"/>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该指标实际得分10分。</w:t>
      </w:r>
    </w:p>
    <w:p>
      <w:pPr>
        <w:pStyle w:val="3"/>
        <w:keepNext w:val="0"/>
        <w:keepLines w:val="0"/>
        <w:suppressLineNumbers/>
        <w:spacing w:before="0" w:after="0" w:line="360" w:lineRule="auto"/>
        <w:ind w:firstLine="643" w:firstLineChars="200"/>
        <w:rPr>
          <w:rFonts w:ascii="黑体"/>
        </w:rPr>
      </w:pPr>
      <w:r>
        <w:rPr>
          <w:rFonts w:hint="eastAsia" w:ascii="黑体"/>
        </w:rPr>
        <w:t>五、绩效评价发现的问题</w:t>
      </w:r>
      <w:bookmarkEnd w:id="71"/>
      <w:bookmarkEnd w:id="72"/>
      <w:bookmarkEnd w:id="73"/>
      <w:bookmarkEnd w:id="74"/>
      <w:bookmarkStart w:id="75" w:name="_Toc492652789"/>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通过对各指标得分及扣分原因的分析，</w:t>
      </w:r>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Times New Roman" w:hAnsiTheme="minorEastAsia"/>
          <w:sz w:val="32"/>
          <w:szCs w:val="32"/>
          <w:highlight w:val="none"/>
          <w:u w:color="000000"/>
        </w:rPr>
        <w:t>202</w:t>
      </w:r>
      <w:r>
        <w:rPr>
          <w:rFonts w:hint="default" w:ascii="仿宋_GB2312" w:eastAsia="仿宋_GB2312" w:cs="Times New Roman" w:hAnsiTheme="minorEastAsia"/>
          <w:sz w:val="32"/>
          <w:szCs w:val="32"/>
          <w:highlight w:val="none"/>
          <w:u w:color="000000"/>
          <w:lang w:val="en-US"/>
        </w:rPr>
        <w:t>2</w:t>
      </w:r>
      <w:r>
        <w:rPr>
          <w:rFonts w:hint="eastAsia" w:ascii="仿宋_GB2312" w:eastAsia="仿宋_GB2312" w:cs="Times New Roman" w:hAnsiTheme="minorEastAsia"/>
          <w:sz w:val="32"/>
          <w:szCs w:val="32"/>
          <w:u w:color="000000"/>
        </w:rPr>
        <w:t>年部门整体支出基本按相关要求执行预算、决算，完成了绩效目标，资金使用效益良好。通过评价，也发现一些不足之处，具体情况如下：</w:t>
      </w:r>
      <w:bookmarkStart w:id="76" w:name="_Toc20723"/>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1.部分绩效指标方面</w:t>
      </w:r>
      <w:r>
        <w:rPr>
          <w:rFonts w:hint="eastAsia" w:ascii="仿宋_GB2312" w:eastAsia="仿宋_GB2312" w:cs="Times New Roman" w:hAnsiTheme="minorEastAsia"/>
          <w:sz w:val="32"/>
          <w:szCs w:val="32"/>
          <w:u w:color="000000"/>
          <w:lang w:eastAsia="zh-CN"/>
        </w:rPr>
        <w:t>，年初部分绩效指标丢分较多，原因不是部门自己能解决的，比如在职人员控制率，编制少，实有人员多是历史原因造成的</w:t>
      </w:r>
      <w:r>
        <w:rPr>
          <w:rFonts w:hint="eastAsia" w:ascii="仿宋_GB2312" w:eastAsia="仿宋_GB2312" w:cs="Times New Roman" w:hAnsiTheme="minorEastAsia"/>
          <w:sz w:val="32"/>
          <w:szCs w:val="32"/>
          <w:u w:color="000000"/>
        </w:rPr>
        <w:t>。</w:t>
      </w:r>
    </w:p>
    <w:p>
      <w:pPr>
        <w:spacing w:after="0" w:line="360" w:lineRule="auto"/>
        <w:ind w:firstLine="640" w:firstLineChars="2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2.预算决算比较</w:t>
      </w:r>
      <w:r>
        <w:rPr>
          <w:rFonts w:hint="eastAsia" w:ascii="仿宋_GB2312" w:eastAsia="仿宋_GB2312" w:cs="Times New Roman" w:hAnsiTheme="minorEastAsia"/>
          <w:sz w:val="32"/>
          <w:szCs w:val="32"/>
          <w:u w:color="000000"/>
          <w:lang w:eastAsia="zh-CN"/>
        </w:rPr>
        <w:t>，决算数大于年初预算数，是因为上级追加转移支付专项资金导致</w:t>
      </w:r>
      <w:r>
        <w:rPr>
          <w:rFonts w:hint="eastAsia" w:ascii="仿宋_GB2312" w:eastAsia="仿宋_GB2312" w:cs="Times New Roman" w:hAnsiTheme="minorEastAsia"/>
          <w:sz w:val="32"/>
          <w:szCs w:val="32"/>
          <w:u w:color="000000"/>
        </w:rPr>
        <w:t>。</w:t>
      </w:r>
    </w:p>
    <w:p>
      <w:pPr>
        <w:spacing w:after="0" w:line="360" w:lineRule="auto"/>
        <w:ind w:firstLine="640" w:firstLineChars="200"/>
        <w:jc w:val="both"/>
        <w:textAlignment w:val="baseline"/>
        <w:rPr>
          <w:rFonts w:hint="eastAsia" w:ascii="仿宋_GB2312" w:eastAsia="仿宋_GB2312" w:cs="Times New Roman" w:hAnsiTheme="minorEastAsia"/>
          <w:sz w:val="32"/>
          <w:szCs w:val="32"/>
          <w:u w:color="000000"/>
          <w:lang w:eastAsia="zh-CN"/>
        </w:rPr>
      </w:pPr>
      <w:r>
        <w:rPr>
          <w:rFonts w:hint="eastAsia" w:ascii="仿宋_GB2312" w:eastAsia="仿宋_GB2312" w:cs="Times New Roman" w:hAnsiTheme="minorEastAsia"/>
          <w:sz w:val="32"/>
          <w:szCs w:val="32"/>
          <w:u w:color="000000"/>
        </w:rPr>
        <w:t>3.预算追加方面</w:t>
      </w:r>
      <w:r>
        <w:rPr>
          <w:rFonts w:hint="eastAsia" w:ascii="仿宋_GB2312" w:eastAsia="仿宋_GB2312" w:cs="Times New Roman" w:hAnsiTheme="minorEastAsia"/>
          <w:sz w:val="32"/>
          <w:szCs w:val="32"/>
          <w:u w:color="000000"/>
          <w:lang w:eastAsia="zh-CN"/>
        </w:rPr>
        <w:t>，部分是上级追加转移专项资金，还有一部分是年中领导安排了新的任务导致预算追加。</w:t>
      </w:r>
    </w:p>
    <w:p>
      <w:pPr>
        <w:spacing w:after="0" w:line="360" w:lineRule="auto"/>
        <w:ind w:firstLine="640" w:firstLineChars="200"/>
        <w:jc w:val="both"/>
        <w:textAlignment w:val="baseline"/>
        <w:rPr>
          <w:rFonts w:hint="eastAsia" w:ascii="仿宋_GB2312" w:eastAsia="仿宋_GB2312" w:cs="Times New Roman" w:hAnsiTheme="minorEastAsia"/>
          <w:sz w:val="32"/>
          <w:szCs w:val="32"/>
          <w:u w:color="000000"/>
          <w:lang w:eastAsia="zh-CN"/>
        </w:rPr>
      </w:pPr>
      <w:r>
        <w:rPr>
          <w:rFonts w:hint="eastAsia" w:ascii="仿宋_GB2312" w:eastAsia="仿宋_GB2312" w:cs="Times New Roman" w:hAnsiTheme="minorEastAsia"/>
          <w:sz w:val="32"/>
          <w:szCs w:val="32"/>
          <w:u w:color="000000"/>
        </w:rPr>
        <w:t>4.政府采购方面</w:t>
      </w:r>
      <w:r>
        <w:rPr>
          <w:rFonts w:hint="eastAsia" w:ascii="仿宋_GB2312" w:eastAsia="仿宋_GB2312" w:cs="Times New Roman" w:hAnsiTheme="minorEastAsia"/>
          <w:sz w:val="32"/>
          <w:szCs w:val="32"/>
          <w:u w:color="000000"/>
          <w:lang w:eastAsia="zh-CN"/>
        </w:rPr>
        <w:t>，年初预算编制时小额政府采购目录内的项目涵盖进了单位公用经费里，没有单独编制政府采购预算。</w:t>
      </w:r>
    </w:p>
    <w:p>
      <w:pPr>
        <w:spacing w:after="0" w:line="360" w:lineRule="auto"/>
        <w:ind w:firstLine="643" w:firstLineChars="200"/>
        <w:jc w:val="both"/>
        <w:textAlignment w:val="baseline"/>
        <w:rPr>
          <w:rFonts w:hint="eastAsia" w:ascii="黑体" w:hAnsi="黑体" w:eastAsia="黑体" w:cs="黑体"/>
          <w:b/>
          <w:bCs/>
          <w:sz w:val="32"/>
          <w:szCs w:val="32"/>
          <w:u w:color="000000"/>
          <w:lang w:eastAsia="zh-CN"/>
        </w:rPr>
      </w:pPr>
      <w:r>
        <w:rPr>
          <w:rFonts w:hint="eastAsia" w:ascii="黑体" w:hAnsi="黑体" w:eastAsia="黑体" w:cs="黑体"/>
          <w:b/>
          <w:bCs/>
          <w:sz w:val="32"/>
          <w:szCs w:val="32"/>
          <w:u w:color="000000"/>
          <w:lang w:eastAsia="zh-CN"/>
        </w:rPr>
        <w:t>六、绩效评价意见及建议</w:t>
      </w:r>
    </w:p>
    <w:p>
      <w:pPr>
        <w:spacing w:after="0" w:line="360" w:lineRule="auto"/>
        <w:ind w:firstLine="640" w:firstLineChars="200"/>
        <w:jc w:val="both"/>
        <w:textAlignment w:val="baseline"/>
        <w:rPr>
          <w:rFonts w:hint="eastAsia" w:ascii="仿宋_GB2312" w:hAnsi="仿宋_GB2312" w:eastAsia="仿宋_GB2312" w:cs="仿宋_GB2312"/>
          <w:b w:val="0"/>
          <w:bCs w:val="0"/>
          <w:sz w:val="32"/>
          <w:szCs w:val="32"/>
          <w:u w:color="000000"/>
          <w:lang w:val="en-US" w:eastAsia="zh-CN"/>
        </w:rPr>
      </w:pPr>
      <w:r>
        <w:rPr>
          <w:rFonts w:hint="default" w:ascii="仿宋_GB2312" w:hAnsi="仿宋_GB2312" w:eastAsia="仿宋_GB2312" w:cs="仿宋_GB2312"/>
          <w:b w:val="0"/>
          <w:bCs w:val="0"/>
          <w:sz w:val="32"/>
          <w:szCs w:val="32"/>
          <w:u w:color="000000"/>
          <w:lang w:val="en-US" w:eastAsia="zh-CN"/>
        </w:rPr>
        <w:t>1.</w:t>
      </w:r>
      <w:r>
        <w:rPr>
          <w:rFonts w:hint="eastAsia" w:ascii="仿宋_GB2312" w:hAnsi="仿宋_GB2312" w:eastAsia="仿宋_GB2312" w:cs="仿宋_GB2312"/>
          <w:b w:val="0"/>
          <w:bCs w:val="0"/>
          <w:sz w:val="32"/>
          <w:szCs w:val="32"/>
          <w:u w:color="000000"/>
          <w:lang w:val="en-US" w:eastAsia="zh-CN"/>
        </w:rPr>
        <w:t>积极向区委区政府申请人员编制，尽早解决人员超编问题</w:t>
      </w:r>
      <w:bookmarkEnd w:id="75"/>
      <w:bookmarkEnd w:id="76"/>
      <w:bookmarkStart w:id="77" w:name="_Toc465149521"/>
      <w:r>
        <w:rPr>
          <w:rFonts w:hint="eastAsia" w:ascii="仿宋_GB2312" w:hAnsi="仿宋_GB2312" w:eastAsia="仿宋_GB2312" w:cs="仿宋_GB2312"/>
          <w:b w:val="0"/>
          <w:bCs w:val="0"/>
          <w:sz w:val="32"/>
          <w:szCs w:val="32"/>
          <w:u w:color="000000"/>
          <w:lang w:val="en-US" w:eastAsia="zh-CN"/>
        </w:rPr>
        <w:t>，降低在职人员控制率。</w:t>
      </w:r>
    </w:p>
    <w:p>
      <w:pPr>
        <w:spacing w:after="0" w:line="360" w:lineRule="auto"/>
        <w:ind w:firstLine="640" w:firstLineChars="200"/>
        <w:jc w:val="both"/>
        <w:textAlignment w:val="baseline"/>
        <w:rPr>
          <w:rFonts w:hint="eastAsia" w:ascii="仿宋_GB2312" w:hAnsi="仿宋_GB2312" w:eastAsia="仿宋_GB2312" w:cs="仿宋_GB2312"/>
          <w:b w:val="0"/>
          <w:bCs w:val="0"/>
          <w:sz w:val="32"/>
          <w:szCs w:val="32"/>
          <w:u w:color="000000"/>
          <w:lang w:val="en-US" w:eastAsia="zh-CN"/>
        </w:rPr>
      </w:pPr>
      <w:r>
        <w:rPr>
          <w:rFonts w:hint="default" w:ascii="仿宋_GB2312" w:hAnsi="仿宋_GB2312" w:eastAsia="仿宋_GB2312" w:cs="仿宋_GB2312"/>
          <w:b w:val="0"/>
          <w:bCs w:val="0"/>
          <w:sz w:val="32"/>
          <w:szCs w:val="32"/>
          <w:u w:color="000000"/>
          <w:lang w:val="en-US" w:eastAsia="zh-CN"/>
        </w:rPr>
        <w:t>2.</w:t>
      </w:r>
      <w:r>
        <w:rPr>
          <w:rFonts w:hint="eastAsia" w:ascii="仿宋_GB2312" w:hAnsi="仿宋_GB2312" w:eastAsia="仿宋_GB2312" w:cs="仿宋_GB2312"/>
          <w:b w:val="0"/>
          <w:bCs w:val="0"/>
          <w:sz w:val="32"/>
          <w:szCs w:val="32"/>
          <w:u w:color="000000"/>
          <w:lang w:val="en-US" w:eastAsia="zh-CN"/>
        </w:rPr>
        <w:t>引导企业提前立项，争取上级扶持专项资金在年初预算编制时提前下达，列入部门年初预算，降低年中追加预算比率。</w:t>
      </w:r>
    </w:p>
    <w:p>
      <w:pPr>
        <w:spacing w:after="0" w:line="360" w:lineRule="auto"/>
        <w:ind w:firstLine="640" w:firstLineChars="200"/>
        <w:jc w:val="both"/>
        <w:textAlignment w:val="baseline"/>
        <w:rPr>
          <w:rFonts w:hint="default" w:ascii="仿宋_GB2312" w:hAnsi="仿宋_GB2312" w:eastAsia="仿宋_GB2312" w:cs="仿宋_GB2312"/>
          <w:b w:val="0"/>
          <w:bCs w:val="0"/>
          <w:sz w:val="32"/>
          <w:szCs w:val="32"/>
          <w:u w:color="000000"/>
          <w:lang w:val="en-US" w:eastAsia="zh-CN"/>
        </w:rPr>
      </w:pPr>
      <w:r>
        <w:rPr>
          <w:rFonts w:hint="default" w:ascii="仿宋_GB2312" w:hAnsi="仿宋_GB2312" w:eastAsia="仿宋_GB2312" w:cs="仿宋_GB2312"/>
          <w:b w:val="0"/>
          <w:bCs w:val="0"/>
          <w:sz w:val="32"/>
          <w:szCs w:val="32"/>
          <w:u w:color="000000"/>
          <w:lang w:val="en-US" w:eastAsia="zh-CN"/>
        </w:rPr>
        <w:t>3.</w:t>
      </w:r>
      <w:r>
        <w:rPr>
          <w:rFonts w:hint="eastAsia" w:ascii="仿宋_GB2312" w:hAnsi="仿宋_GB2312" w:eastAsia="仿宋_GB2312" w:cs="仿宋_GB2312"/>
          <w:b w:val="0"/>
          <w:bCs w:val="0"/>
          <w:sz w:val="32"/>
          <w:szCs w:val="32"/>
          <w:u w:color="000000"/>
          <w:lang w:val="en-US" w:eastAsia="zh-CN"/>
        </w:rPr>
        <w:t>精细编制政府采购预算，把政府采购目录内的小额项目涵盖全。</w:t>
      </w:r>
    </w:p>
    <w:p>
      <w:pPr>
        <w:spacing w:after="0" w:line="360" w:lineRule="auto"/>
        <w:ind w:firstLine="640" w:firstLineChars="200"/>
        <w:jc w:val="both"/>
        <w:textAlignment w:val="baseline"/>
        <w:rPr>
          <w:rFonts w:hint="default" w:ascii="仿宋_GB2312" w:hAnsi="仿宋_GB2312" w:eastAsia="仿宋_GB2312" w:cs="仿宋_GB2312"/>
          <w:b w:val="0"/>
          <w:bCs w:val="0"/>
          <w:sz w:val="32"/>
          <w:szCs w:val="32"/>
          <w:u w:color="000000"/>
          <w:lang w:val="en-US" w:eastAsia="zh-CN"/>
        </w:rPr>
      </w:pPr>
    </w:p>
    <w:p>
      <w:pPr>
        <w:spacing w:after="0" w:line="360" w:lineRule="auto"/>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附件：1.保定市徐水</w:t>
      </w:r>
      <w:r>
        <w:rPr>
          <w:rFonts w:hint="eastAsia" w:ascii="仿宋_GB2312" w:eastAsia="仿宋_GB2312" w:cs="DengXian-Regular"/>
          <w:sz w:val="32"/>
          <w:szCs w:val="32"/>
        </w:rPr>
        <w:t>区</w:t>
      </w:r>
      <w:r>
        <w:rPr>
          <w:rFonts w:hint="eastAsia" w:ascii="仿宋_GB2312" w:eastAsia="仿宋_GB2312" w:cs="DengXian-Regular"/>
          <w:sz w:val="32"/>
          <w:szCs w:val="32"/>
          <w:lang w:eastAsia="zh-CN"/>
        </w:rPr>
        <w:t>工信局</w:t>
      </w:r>
      <w:r>
        <w:rPr>
          <w:rFonts w:hint="eastAsia" w:ascii="仿宋_GB2312" w:eastAsia="仿宋_GB2312" w:cs="Times New Roman" w:hAnsiTheme="minorEastAsia"/>
          <w:sz w:val="32"/>
          <w:szCs w:val="32"/>
          <w:u w:color="000000"/>
        </w:rPr>
        <w:t>部门基本情况及主要职责</w:t>
      </w:r>
    </w:p>
    <w:p>
      <w:pPr>
        <w:spacing w:after="0" w:line="540" w:lineRule="exact"/>
        <w:ind w:firstLine="960" w:firstLineChars="300"/>
        <w:jc w:val="both"/>
        <w:textAlignment w:val="baseline"/>
        <w:rPr>
          <w:rFonts w:ascii="仿宋_GB2312" w:eastAsia="仿宋_GB2312" w:cs="Times New Roman" w:hAnsiTheme="minorEastAsia"/>
          <w:sz w:val="32"/>
          <w:szCs w:val="32"/>
          <w:u w:color="000000"/>
        </w:rPr>
      </w:pPr>
      <w:r>
        <w:rPr>
          <w:rFonts w:hint="eastAsia" w:ascii="仿宋_GB2312" w:eastAsia="仿宋_GB2312" w:cs="Times New Roman" w:hAnsiTheme="minorEastAsia"/>
          <w:sz w:val="32"/>
          <w:szCs w:val="32"/>
          <w:u w:color="000000"/>
        </w:rPr>
        <w:t>2.</w:t>
      </w:r>
      <w:r>
        <w:rPr>
          <w:rFonts w:ascii="仿宋_GB2312" w:eastAsia="仿宋_GB2312" w:cs="Times New Roman" w:hAnsiTheme="minorEastAsia"/>
          <w:sz w:val="32"/>
          <w:szCs w:val="32"/>
          <w:u w:color="000000"/>
        </w:rPr>
        <w:t>202</w:t>
      </w:r>
      <w:r>
        <w:rPr>
          <w:rFonts w:hint="default" w:ascii="仿宋_GB2312" w:eastAsia="仿宋_GB2312" w:cs="Times New Roman" w:hAnsiTheme="minorEastAsia"/>
          <w:sz w:val="32"/>
          <w:szCs w:val="32"/>
          <w:u w:color="000000"/>
          <w:lang w:val="en-US"/>
        </w:rPr>
        <w:t>2</w:t>
      </w:r>
      <w:r>
        <w:rPr>
          <w:rFonts w:hint="eastAsia" w:ascii="仿宋_GB2312" w:eastAsia="仿宋_GB2312" w:cs="Times New Roman" w:hAnsiTheme="minorEastAsia"/>
          <w:sz w:val="32"/>
          <w:szCs w:val="32"/>
          <w:u w:color="000000"/>
        </w:rPr>
        <w:t>年度保定市徐水区</w:t>
      </w:r>
      <w:r>
        <w:rPr>
          <w:rFonts w:hint="eastAsia" w:ascii="仿宋_GB2312" w:eastAsia="仿宋_GB2312" w:cs="DengXian-Regular"/>
          <w:sz w:val="32"/>
          <w:szCs w:val="32"/>
          <w:lang w:eastAsia="zh-CN"/>
        </w:rPr>
        <w:t>工信局</w:t>
      </w:r>
      <w:r>
        <w:rPr>
          <w:rFonts w:hint="eastAsia" w:ascii="仿宋_GB2312" w:eastAsia="仿宋_GB2312" w:cs="Times New Roman" w:hAnsiTheme="minorEastAsia"/>
          <w:sz w:val="32"/>
          <w:szCs w:val="32"/>
          <w:u w:color="000000"/>
        </w:rPr>
        <w:t>收支预算及决算明细表</w:t>
      </w:r>
    </w:p>
    <w:p>
      <w:pPr>
        <w:spacing w:after="0" w:line="540" w:lineRule="exact"/>
        <w:ind w:firstLine="960" w:firstLineChars="300"/>
        <w:jc w:val="both"/>
        <w:textAlignment w:val="baseline"/>
        <w:rPr>
          <w:rFonts w:ascii="仿宋_GB2312" w:eastAsia="仿宋_GB2312" w:cs="Times New Roman" w:hAnsiTheme="minorEastAsia"/>
          <w:sz w:val="32"/>
          <w:szCs w:val="32"/>
          <w:u w:color="000000"/>
        </w:rPr>
      </w:pPr>
      <w:bookmarkStart w:id="78" w:name="_Toc465149534"/>
      <w:r>
        <w:rPr>
          <w:rFonts w:hint="eastAsia" w:ascii="仿宋_GB2312" w:eastAsia="仿宋_GB2312" w:cs="Times New Roman" w:hAnsiTheme="minorEastAsia"/>
          <w:sz w:val="32"/>
          <w:szCs w:val="32"/>
          <w:u w:color="000000"/>
        </w:rPr>
        <w:t>3.</w:t>
      </w:r>
      <w:bookmarkEnd w:id="78"/>
      <w:r>
        <w:rPr>
          <w:rFonts w:hint="eastAsia" w:ascii="仿宋_GB2312" w:eastAsia="仿宋_GB2312" w:cs="Times New Roman" w:hAnsiTheme="minorEastAsia"/>
          <w:sz w:val="32"/>
          <w:szCs w:val="32"/>
          <w:u w:color="000000"/>
        </w:rPr>
        <w:t>部门整体支出绩效评价指标体系</w:t>
      </w:r>
    </w:p>
    <w:p>
      <w:pPr>
        <w:spacing w:after="0" w:line="540" w:lineRule="exact"/>
        <w:ind w:firstLine="960" w:firstLineChars="300"/>
        <w:jc w:val="both"/>
        <w:textAlignment w:val="baseline"/>
        <w:rPr>
          <w:rFonts w:ascii="仿宋_GB2312" w:eastAsia="仿宋_GB2312" w:cs="Times New Roman" w:hAnsiTheme="minorEastAsia"/>
          <w:sz w:val="32"/>
          <w:szCs w:val="32"/>
          <w:u w:color="000000"/>
        </w:rPr>
      </w:pPr>
      <w:bookmarkStart w:id="79" w:name="_Toc465149544"/>
      <w:r>
        <w:rPr>
          <w:rFonts w:hint="eastAsia" w:ascii="仿宋_GB2312" w:eastAsia="仿宋_GB2312" w:cs="Times New Roman" w:hAnsiTheme="minorEastAsia"/>
          <w:sz w:val="32"/>
          <w:szCs w:val="32"/>
          <w:u w:color="000000"/>
        </w:rPr>
        <w:t>4.</w:t>
      </w:r>
      <w:bookmarkEnd w:id="79"/>
      <w:r>
        <w:rPr>
          <w:rFonts w:ascii="仿宋_GB2312" w:eastAsia="仿宋_GB2312" w:cs="Times New Roman" w:hAnsiTheme="minorEastAsia"/>
          <w:sz w:val="32"/>
          <w:szCs w:val="32"/>
          <w:u w:color="000000"/>
        </w:rPr>
        <w:t>202</w:t>
      </w:r>
      <w:r>
        <w:rPr>
          <w:rFonts w:hint="default" w:ascii="仿宋_GB2312" w:eastAsia="仿宋_GB2312" w:cs="Times New Roman" w:hAnsiTheme="minorEastAsia"/>
          <w:sz w:val="32"/>
          <w:szCs w:val="32"/>
          <w:u w:color="000000"/>
          <w:lang w:val="en-US"/>
        </w:rPr>
        <w:t>2</w:t>
      </w:r>
      <w:r>
        <w:rPr>
          <w:rFonts w:hint="eastAsia" w:ascii="仿宋_GB2312" w:eastAsia="仿宋_GB2312" w:cs="Times New Roman" w:hAnsiTheme="minorEastAsia"/>
          <w:sz w:val="32"/>
          <w:szCs w:val="32"/>
          <w:u w:color="000000"/>
        </w:rPr>
        <w:t>年徐水区</w:t>
      </w:r>
      <w:r>
        <w:rPr>
          <w:rFonts w:hint="eastAsia" w:ascii="仿宋_GB2312" w:eastAsia="仿宋_GB2312" w:cs="DengXian-Regular"/>
          <w:sz w:val="32"/>
          <w:szCs w:val="32"/>
          <w:lang w:eastAsia="zh-CN"/>
        </w:rPr>
        <w:t>工信局</w:t>
      </w:r>
      <w:r>
        <w:rPr>
          <w:rFonts w:hint="eastAsia" w:ascii="仿宋_GB2312" w:eastAsia="仿宋_GB2312" w:cs="Times New Roman" w:hAnsiTheme="minorEastAsia"/>
          <w:sz w:val="32"/>
          <w:szCs w:val="32"/>
          <w:u w:color="000000"/>
        </w:rPr>
        <w:t>工作活动绩效目标、绩效指标一览表</w:t>
      </w:r>
      <w:bookmarkEnd w:id="77"/>
    </w:p>
    <w:p>
      <w:pPr>
        <w:spacing w:line="540" w:lineRule="exact"/>
        <w:jc w:val="both"/>
        <w:textAlignment w:val="baseline"/>
        <w:rPr>
          <w:rFonts w:ascii="仿宋_GB2312" w:eastAsia="仿宋_GB2312" w:cs="Times New Roman" w:hAnsiTheme="minorEastAsia"/>
          <w:sz w:val="32"/>
          <w:szCs w:val="32"/>
          <w:u w:color="000000"/>
        </w:rPr>
      </w:pPr>
    </w:p>
    <w:p>
      <w:pPr>
        <w:spacing w:line="540" w:lineRule="exact"/>
        <w:jc w:val="both"/>
        <w:textAlignment w:val="baseline"/>
        <w:rPr>
          <w:rFonts w:ascii="仿宋_GB2312" w:eastAsia="仿宋_GB2312" w:cs="Times New Roman" w:hAnsiTheme="minorEastAsia"/>
          <w:sz w:val="32"/>
          <w:szCs w:val="32"/>
          <w:u w:color="000000"/>
        </w:rPr>
      </w:pPr>
    </w:p>
    <w:p>
      <w:pPr>
        <w:spacing w:line="540" w:lineRule="exact"/>
        <w:jc w:val="both"/>
        <w:textAlignment w:val="baseline"/>
        <w:rPr>
          <w:rFonts w:ascii="仿宋_GB2312" w:eastAsia="仿宋_GB2312" w:cs="Times New Roman" w:hAnsiTheme="minorEastAsia"/>
          <w:sz w:val="32"/>
          <w:szCs w:val="32"/>
          <w:u w:color="000000"/>
        </w:rPr>
      </w:pPr>
    </w:p>
    <w:p>
      <w:pPr>
        <w:spacing w:line="540" w:lineRule="exact"/>
        <w:ind w:firstLine="3840" w:firstLineChars="1200"/>
        <w:jc w:val="both"/>
        <w:textAlignment w:val="baseline"/>
        <w:rPr>
          <w:rFonts w:hint="eastAsia" w:ascii="仿宋_GB2312" w:eastAsia="仿宋_GB2312" w:cs="Times New Roman" w:hAnsiTheme="minorEastAsia"/>
          <w:sz w:val="32"/>
          <w:szCs w:val="32"/>
          <w:u w:color="000000"/>
          <w:lang w:val="en-US" w:eastAsia="zh-CN"/>
        </w:rPr>
      </w:pPr>
      <w:r>
        <w:rPr>
          <w:rFonts w:hint="eastAsia" w:ascii="仿宋_GB2312" w:eastAsia="仿宋_GB2312" w:cs="Times New Roman" w:hAnsiTheme="minorEastAsia"/>
          <w:sz w:val="32"/>
          <w:szCs w:val="32"/>
          <w:u w:color="000000"/>
          <w:lang w:val="en-US" w:eastAsia="zh-CN"/>
        </w:rPr>
        <w:t>保定市徐水区工业和信息化局</w:t>
      </w:r>
    </w:p>
    <w:p>
      <w:pPr>
        <w:spacing w:line="540" w:lineRule="exact"/>
        <w:ind w:firstLine="3840" w:firstLineChars="1200"/>
        <w:jc w:val="both"/>
        <w:textAlignment w:val="baseline"/>
        <w:rPr>
          <w:rFonts w:hint="default" w:ascii="仿宋_GB2312" w:eastAsia="仿宋_GB2312" w:cs="Times New Roman" w:hAnsiTheme="minorEastAsia"/>
          <w:sz w:val="32"/>
          <w:szCs w:val="32"/>
          <w:u w:color="000000"/>
          <w:lang w:val="en-US" w:eastAsia="zh-CN"/>
        </w:rPr>
      </w:pPr>
      <w:r>
        <w:rPr>
          <w:rFonts w:hint="default" w:ascii="仿宋_GB2312" w:eastAsia="仿宋_GB2312" w:cs="Times New Roman" w:hAnsiTheme="minorEastAsia"/>
          <w:sz w:val="32"/>
          <w:szCs w:val="32"/>
          <w:u w:color="000000"/>
          <w:lang w:val="en-US" w:eastAsia="zh-CN"/>
        </w:rPr>
        <w:t xml:space="preserve">   2023</w:t>
      </w:r>
      <w:r>
        <w:rPr>
          <w:rFonts w:hint="eastAsia" w:ascii="仿宋_GB2312" w:eastAsia="仿宋_GB2312" w:cs="Times New Roman" w:hAnsiTheme="minorEastAsia"/>
          <w:sz w:val="32"/>
          <w:szCs w:val="32"/>
          <w:u w:color="000000"/>
          <w:lang w:val="en-US" w:eastAsia="zh-CN"/>
        </w:rPr>
        <w:t>年</w:t>
      </w:r>
      <w:r>
        <w:rPr>
          <w:rFonts w:hint="default" w:ascii="仿宋_GB2312" w:eastAsia="仿宋_GB2312" w:cs="Times New Roman" w:hAnsiTheme="minorEastAsia"/>
          <w:sz w:val="32"/>
          <w:szCs w:val="32"/>
          <w:u w:color="000000"/>
          <w:lang w:val="en-US" w:eastAsia="zh-CN"/>
        </w:rPr>
        <w:t>8</w:t>
      </w:r>
      <w:r>
        <w:rPr>
          <w:rFonts w:hint="eastAsia" w:ascii="仿宋_GB2312" w:eastAsia="仿宋_GB2312" w:cs="Times New Roman" w:hAnsiTheme="minorEastAsia"/>
          <w:sz w:val="32"/>
          <w:szCs w:val="32"/>
          <w:u w:color="000000"/>
          <w:lang w:val="en-US" w:eastAsia="zh-CN"/>
        </w:rPr>
        <w:t>月</w:t>
      </w:r>
      <w:r>
        <w:rPr>
          <w:rFonts w:hint="default" w:ascii="仿宋_GB2312" w:eastAsia="仿宋_GB2312" w:cs="Times New Roman" w:hAnsiTheme="minorEastAsia"/>
          <w:sz w:val="32"/>
          <w:szCs w:val="32"/>
          <w:u w:color="000000"/>
          <w:lang w:val="en-US" w:eastAsia="zh-CN"/>
        </w:rPr>
        <w:t>15</w:t>
      </w:r>
      <w:r>
        <w:rPr>
          <w:rFonts w:hint="eastAsia" w:ascii="仿宋_GB2312" w:eastAsia="仿宋_GB2312" w:cs="Times New Roman" w:hAnsiTheme="minorEastAsia"/>
          <w:sz w:val="32"/>
          <w:szCs w:val="32"/>
          <w:u w:color="000000"/>
          <w:lang w:val="en-US" w:eastAsia="zh-CN"/>
        </w:rPr>
        <w:t>日</w:t>
      </w:r>
    </w:p>
    <w:sectPr>
      <w:footerReference r:id="rId5" w:type="default"/>
      <w:pgSz w:w="11906" w:h="16838"/>
      <w:pgMar w:top="1440" w:right="1797" w:bottom="1191" w:left="1797" w:header="709" w:footer="709" w:gutter="0"/>
      <w:pgNumType w:start="1"/>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DengXian-Regular">
    <w:altName w:val="宋体"/>
    <w:panose1 w:val="00000000000000000000"/>
    <w:charset w:val="86"/>
    <w:family w:val="auto"/>
    <w:pitch w:val="default"/>
    <w:sig w:usb0="00000000" w:usb1="00000000" w:usb2="0000001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4</w:t>
    </w:r>
    <w:r>
      <w:rPr>
        <w:lang w:val="zh-CN"/>
      </w:rPr>
      <w:fldChar w:fldCharType="end"/>
    </w:r>
  </w:p>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hideGrammaticalErrors/>
  <w:documentProtection w:enforcement="0"/>
  <w:defaultTabStop w:val="720"/>
  <w:noPunctuationKerning w:val="1"/>
  <w:characterSpacingControl w:val="doNotCompres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004179"/>
    <w:rsid w:val="0000439F"/>
    <w:rsid w:val="00007CA0"/>
    <w:rsid w:val="00015C39"/>
    <w:rsid w:val="000174D3"/>
    <w:rsid w:val="0002415F"/>
    <w:rsid w:val="00025620"/>
    <w:rsid w:val="00026F83"/>
    <w:rsid w:val="0002705B"/>
    <w:rsid w:val="000317D7"/>
    <w:rsid w:val="00032B03"/>
    <w:rsid w:val="000334C2"/>
    <w:rsid w:val="0003450B"/>
    <w:rsid w:val="0003465E"/>
    <w:rsid w:val="00034910"/>
    <w:rsid w:val="0003506D"/>
    <w:rsid w:val="000409C0"/>
    <w:rsid w:val="0004123E"/>
    <w:rsid w:val="00044599"/>
    <w:rsid w:val="000446E5"/>
    <w:rsid w:val="00044A25"/>
    <w:rsid w:val="00047D7B"/>
    <w:rsid w:val="000509B6"/>
    <w:rsid w:val="00050A62"/>
    <w:rsid w:val="000516BA"/>
    <w:rsid w:val="00051DBC"/>
    <w:rsid w:val="00052010"/>
    <w:rsid w:val="00061096"/>
    <w:rsid w:val="000612A2"/>
    <w:rsid w:val="00063117"/>
    <w:rsid w:val="00072BF5"/>
    <w:rsid w:val="000752C6"/>
    <w:rsid w:val="00075B78"/>
    <w:rsid w:val="00077648"/>
    <w:rsid w:val="00080E48"/>
    <w:rsid w:val="00091D50"/>
    <w:rsid w:val="000935D5"/>
    <w:rsid w:val="0009618D"/>
    <w:rsid w:val="00096195"/>
    <w:rsid w:val="0009756F"/>
    <w:rsid w:val="000A1F67"/>
    <w:rsid w:val="000A2079"/>
    <w:rsid w:val="000A5467"/>
    <w:rsid w:val="000B09F3"/>
    <w:rsid w:val="000B0C4A"/>
    <w:rsid w:val="000B23E8"/>
    <w:rsid w:val="000B62FE"/>
    <w:rsid w:val="000B72BC"/>
    <w:rsid w:val="000B78D7"/>
    <w:rsid w:val="000C1EA5"/>
    <w:rsid w:val="000C52FB"/>
    <w:rsid w:val="000C55E6"/>
    <w:rsid w:val="000C6D5A"/>
    <w:rsid w:val="000D09B2"/>
    <w:rsid w:val="000D7C38"/>
    <w:rsid w:val="000E0902"/>
    <w:rsid w:val="000E3830"/>
    <w:rsid w:val="000F070B"/>
    <w:rsid w:val="000F3158"/>
    <w:rsid w:val="000F364D"/>
    <w:rsid w:val="000F4432"/>
    <w:rsid w:val="000F465E"/>
    <w:rsid w:val="000F5E8C"/>
    <w:rsid w:val="001000B2"/>
    <w:rsid w:val="00104C6C"/>
    <w:rsid w:val="0010560E"/>
    <w:rsid w:val="0010612A"/>
    <w:rsid w:val="00106FF7"/>
    <w:rsid w:val="00107111"/>
    <w:rsid w:val="001073D6"/>
    <w:rsid w:val="00107819"/>
    <w:rsid w:val="0011574B"/>
    <w:rsid w:val="00116132"/>
    <w:rsid w:val="00117B9C"/>
    <w:rsid w:val="00117E7D"/>
    <w:rsid w:val="00120EA6"/>
    <w:rsid w:val="00122196"/>
    <w:rsid w:val="0012439D"/>
    <w:rsid w:val="0012587C"/>
    <w:rsid w:val="0013591D"/>
    <w:rsid w:val="00141DE8"/>
    <w:rsid w:val="00144105"/>
    <w:rsid w:val="00145B4E"/>
    <w:rsid w:val="001544E1"/>
    <w:rsid w:val="001551CE"/>
    <w:rsid w:val="00164732"/>
    <w:rsid w:val="00164FE1"/>
    <w:rsid w:val="001703D7"/>
    <w:rsid w:val="001719D0"/>
    <w:rsid w:val="00172245"/>
    <w:rsid w:val="0017403C"/>
    <w:rsid w:val="00174241"/>
    <w:rsid w:val="00176E7D"/>
    <w:rsid w:val="001804B7"/>
    <w:rsid w:val="001827F5"/>
    <w:rsid w:val="00183C43"/>
    <w:rsid w:val="00185652"/>
    <w:rsid w:val="00187750"/>
    <w:rsid w:val="00190292"/>
    <w:rsid w:val="001926B8"/>
    <w:rsid w:val="0019341A"/>
    <w:rsid w:val="001952EC"/>
    <w:rsid w:val="001A0F7A"/>
    <w:rsid w:val="001A1677"/>
    <w:rsid w:val="001A5FD3"/>
    <w:rsid w:val="001B0380"/>
    <w:rsid w:val="001B04A4"/>
    <w:rsid w:val="001B30D5"/>
    <w:rsid w:val="001B382A"/>
    <w:rsid w:val="001B5C88"/>
    <w:rsid w:val="001B6CE6"/>
    <w:rsid w:val="001C046D"/>
    <w:rsid w:val="001C1412"/>
    <w:rsid w:val="001C391F"/>
    <w:rsid w:val="001C5135"/>
    <w:rsid w:val="001C796E"/>
    <w:rsid w:val="001D1367"/>
    <w:rsid w:val="001D5041"/>
    <w:rsid w:val="001D5A7C"/>
    <w:rsid w:val="001D76AA"/>
    <w:rsid w:val="001E21EA"/>
    <w:rsid w:val="001E288A"/>
    <w:rsid w:val="001E3ABB"/>
    <w:rsid w:val="001E4C24"/>
    <w:rsid w:val="001E5C43"/>
    <w:rsid w:val="001F07B6"/>
    <w:rsid w:val="001F0B92"/>
    <w:rsid w:val="001F1094"/>
    <w:rsid w:val="001F2F0E"/>
    <w:rsid w:val="001F33AA"/>
    <w:rsid w:val="001F6236"/>
    <w:rsid w:val="00200051"/>
    <w:rsid w:val="00202D5A"/>
    <w:rsid w:val="00205F02"/>
    <w:rsid w:val="0021307B"/>
    <w:rsid w:val="002142B8"/>
    <w:rsid w:val="002161F4"/>
    <w:rsid w:val="00216E75"/>
    <w:rsid w:val="00221907"/>
    <w:rsid w:val="00222FA8"/>
    <w:rsid w:val="0022532A"/>
    <w:rsid w:val="00227AFB"/>
    <w:rsid w:val="00235741"/>
    <w:rsid w:val="00236B18"/>
    <w:rsid w:val="002401EA"/>
    <w:rsid w:val="00241B9D"/>
    <w:rsid w:val="002439D4"/>
    <w:rsid w:val="00245CB2"/>
    <w:rsid w:val="00246A44"/>
    <w:rsid w:val="00250BAC"/>
    <w:rsid w:val="00260245"/>
    <w:rsid w:val="0026252A"/>
    <w:rsid w:val="00262BB1"/>
    <w:rsid w:val="00263D3A"/>
    <w:rsid w:val="002643BE"/>
    <w:rsid w:val="00265325"/>
    <w:rsid w:val="00266E84"/>
    <w:rsid w:val="002715FC"/>
    <w:rsid w:val="002736FD"/>
    <w:rsid w:val="00274CFA"/>
    <w:rsid w:val="00275677"/>
    <w:rsid w:val="00275A3F"/>
    <w:rsid w:val="0028068C"/>
    <w:rsid w:val="00280F6C"/>
    <w:rsid w:val="00282A89"/>
    <w:rsid w:val="00283F8F"/>
    <w:rsid w:val="002869F9"/>
    <w:rsid w:val="00292F98"/>
    <w:rsid w:val="002939A0"/>
    <w:rsid w:val="002959A3"/>
    <w:rsid w:val="0029626E"/>
    <w:rsid w:val="00296E59"/>
    <w:rsid w:val="00297CEF"/>
    <w:rsid w:val="002A0364"/>
    <w:rsid w:val="002A1661"/>
    <w:rsid w:val="002A1A25"/>
    <w:rsid w:val="002A563C"/>
    <w:rsid w:val="002B05EF"/>
    <w:rsid w:val="002B2E34"/>
    <w:rsid w:val="002B76FA"/>
    <w:rsid w:val="002C029E"/>
    <w:rsid w:val="002C2C71"/>
    <w:rsid w:val="002C5A65"/>
    <w:rsid w:val="002C71F3"/>
    <w:rsid w:val="002D2112"/>
    <w:rsid w:val="002D53D7"/>
    <w:rsid w:val="002D5508"/>
    <w:rsid w:val="002D5FC1"/>
    <w:rsid w:val="002D7AB3"/>
    <w:rsid w:val="002E1D3C"/>
    <w:rsid w:val="002E1F73"/>
    <w:rsid w:val="002E269D"/>
    <w:rsid w:val="002E3460"/>
    <w:rsid w:val="002E70AE"/>
    <w:rsid w:val="002F0C41"/>
    <w:rsid w:val="002F5B6A"/>
    <w:rsid w:val="002F5BF5"/>
    <w:rsid w:val="002F5ECA"/>
    <w:rsid w:val="00306572"/>
    <w:rsid w:val="003079C7"/>
    <w:rsid w:val="003169F3"/>
    <w:rsid w:val="0032078D"/>
    <w:rsid w:val="00321CE0"/>
    <w:rsid w:val="0032231F"/>
    <w:rsid w:val="00323B43"/>
    <w:rsid w:val="00325BCC"/>
    <w:rsid w:val="003309A3"/>
    <w:rsid w:val="003345BC"/>
    <w:rsid w:val="00343662"/>
    <w:rsid w:val="0035365E"/>
    <w:rsid w:val="00355403"/>
    <w:rsid w:val="003569A8"/>
    <w:rsid w:val="00361FFF"/>
    <w:rsid w:val="00362340"/>
    <w:rsid w:val="003653A5"/>
    <w:rsid w:val="00366971"/>
    <w:rsid w:val="00367DF7"/>
    <w:rsid w:val="00370AFA"/>
    <w:rsid w:val="0037120F"/>
    <w:rsid w:val="0037242E"/>
    <w:rsid w:val="003743E9"/>
    <w:rsid w:val="0038005F"/>
    <w:rsid w:val="003803CC"/>
    <w:rsid w:val="00382949"/>
    <w:rsid w:val="00391AE3"/>
    <w:rsid w:val="00396D4C"/>
    <w:rsid w:val="003A02BE"/>
    <w:rsid w:val="003A1765"/>
    <w:rsid w:val="003A3C32"/>
    <w:rsid w:val="003A4D02"/>
    <w:rsid w:val="003A4D52"/>
    <w:rsid w:val="003A536E"/>
    <w:rsid w:val="003B6DEC"/>
    <w:rsid w:val="003B79D3"/>
    <w:rsid w:val="003C2B92"/>
    <w:rsid w:val="003D126B"/>
    <w:rsid w:val="003D1D33"/>
    <w:rsid w:val="003D22C9"/>
    <w:rsid w:val="003D28AC"/>
    <w:rsid w:val="003D37D8"/>
    <w:rsid w:val="003D7B2A"/>
    <w:rsid w:val="003E266C"/>
    <w:rsid w:val="003E3C05"/>
    <w:rsid w:val="003F282F"/>
    <w:rsid w:val="00400E89"/>
    <w:rsid w:val="00401AB4"/>
    <w:rsid w:val="00402CA2"/>
    <w:rsid w:val="00402D95"/>
    <w:rsid w:val="00403ADD"/>
    <w:rsid w:val="00407629"/>
    <w:rsid w:val="004108EE"/>
    <w:rsid w:val="00410F1A"/>
    <w:rsid w:val="00412A31"/>
    <w:rsid w:val="004200B9"/>
    <w:rsid w:val="00426133"/>
    <w:rsid w:val="004300B1"/>
    <w:rsid w:val="00430AF8"/>
    <w:rsid w:val="0043148F"/>
    <w:rsid w:val="0043354D"/>
    <w:rsid w:val="00434EB0"/>
    <w:rsid w:val="004358AB"/>
    <w:rsid w:val="00435DA7"/>
    <w:rsid w:val="004370A2"/>
    <w:rsid w:val="00445C28"/>
    <w:rsid w:val="004468B5"/>
    <w:rsid w:val="00451E9F"/>
    <w:rsid w:val="004551F1"/>
    <w:rsid w:val="00456648"/>
    <w:rsid w:val="00457E00"/>
    <w:rsid w:val="00461E7C"/>
    <w:rsid w:val="004639E0"/>
    <w:rsid w:val="00463A6D"/>
    <w:rsid w:val="00465A21"/>
    <w:rsid w:val="0047047F"/>
    <w:rsid w:val="00472C49"/>
    <w:rsid w:val="00474DE3"/>
    <w:rsid w:val="00477959"/>
    <w:rsid w:val="00486217"/>
    <w:rsid w:val="00486A56"/>
    <w:rsid w:val="00494D73"/>
    <w:rsid w:val="004A19C4"/>
    <w:rsid w:val="004A6EA4"/>
    <w:rsid w:val="004B146A"/>
    <w:rsid w:val="004B1E69"/>
    <w:rsid w:val="004B4146"/>
    <w:rsid w:val="004B5892"/>
    <w:rsid w:val="004B59DD"/>
    <w:rsid w:val="004B5E88"/>
    <w:rsid w:val="004B5EDE"/>
    <w:rsid w:val="004C0341"/>
    <w:rsid w:val="004C46D3"/>
    <w:rsid w:val="004C5D39"/>
    <w:rsid w:val="004C7656"/>
    <w:rsid w:val="004C7C48"/>
    <w:rsid w:val="004D21B9"/>
    <w:rsid w:val="004D21FF"/>
    <w:rsid w:val="004D2DD5"/>
    <w:rsid w:val="004D41F0"/>
    <w:rsid w:val="004D55F1"/>
    <w:rsid w:val="004D578A"/>
    <w:rsid w:val="004D656B"/>
    <w:rsid w:val="004D7523"/>
    <w:rsid w:val="004E0AA9"/>
    <w:rsid w:val="004E1AEF"/>
    <w:rsid w:val="004E3774"/>
    <w:rsid w:val="004E446B"/>
    <w:rsid w:val="004E5448"/>
    <w:rsid w:val="004E5DFC"/>
    <w:rsid w:val="004E642E"/>
    <w:rsid w:val="004E7ADC"/>
    <w:rsid w:val="004F4875"/>
    <w:rsid w:val="005031BA"/>
    <w:rsid w:val="00507211"/>
    <w:rsid w:val="00507934"/>
    <w:rsid w:val="0051171B"/>
    <w:rsid w:val="00512D1D"/>
    <w:rsid w:val="005131A5"/>
    <w:rsid w:val="00515160"/>
    <w:rsid w:val="00516D5A"/>
    <w:rsid w:val="005170FB"/>
    <w:rsid w:val="0052300D"/>
    <w:rsid w:val="00523B77"/>
    <w:rsid w:val="0052474C"/>
    <w:rsid w:val="00525074"/>
    <w:rsid w:val="00525520"/>
    <w:rsid w:val="005319EE"/>
    <w:rsid w:val="00531BE2"/>
    <w:rsid w:val="005421AC"/>
    <w:rsid w:val="00544C1A"/>
    <w:rsid w:val="00546D1B"/>
    <w:rsid w:val="0055027D"/>
    <w:rsid w:val="00554FA1"/>
    <w:rsid w:val="00556934"/>
    <w:rsid w:val="005601FB"/>
    <w:rsid w:val="005607DF"/>
    <w:rsid w:val="00564377"/>
    <w:rsid w:val="00564538"/>
    <w:rsid w:val="00566A89"/>
    <w:rsid w:val="00567E07"/>
    <w:rsid w:val="005771F7"/>
    <w:rsid w:val="00577B7B"/>
    <w:rsid w:val="00583F7F"/>
    <w:rsid w:val="0058600B"/>
    <w:rsid w:val="00587913"/>
    <w:rsid w:val="00593428"/>
    <w:rsid w:val="00593B65"/>
    <w:rsid w:val="005A15D6"/>
    <w:rsid w:val="005A1FD8"/>
    <w:rsid w:val="005A317D"/>
    <w:rsid w:val="005A79F9"/>
    <w:rsid w:val="005C3594"/>
    <w:rsid w:val="005C46B7"/>
    <w:rsid w:val="005C7C8B"/>
    <w:rsid w:val="005D5617"/>
    <w:rsid w:val="005D6591"/>
    <w:rsid w:val="005D6869"/>
    <w:rsid w:val="005D7446"/>
    <w:rsid w:val="005E5F88"/>
    <w:rsid w:val="005F06F5"/>
    <w:rsid w:val="005F46C0"/>
    <w:rsid w:val="005F471D"/>
    <w:rsid w:val="005F720A"/>
    <w:rsid w:val="005F7467"/>
    <w:rsid w:val="005F78E7"/>
    <w:rsid w:val="006007F3"/>
    <w:rsid w:val="0060402C"/>
    <w:rsid w:val="0061252A"/>
    <w:rsid w:val="006135B3"/>
    <w:rsid w:val="006138D4"/>
    <w:rsid w:val="00616C03"/>
    <w:rsid w:val="00616F30"/>
    <w:rsid w:val="006215A2"/>
    <w:rsid w:val="00621F7D"/>
    <w:rsid w:val="00622AD1"/>
    <w:rsid w:val="00623267"/>
    <w:rsid w:val="00625428"/>
    <w:rsid w:val="0062670B"/>
    <w:rsid w:val="00630B86"/>
    <w:rsid w:val="00630F5B"/>
    <w:rsid w:val="00634C66"/>
    <w:rsid w:val="006352D1"/>
    <w:rsid w:val="00636E1A"/>
    <w:rsid w:val="00642BA5"/>
    <w:rsid w:val="006434E0"/>
    <w:rsid w:val="00650C90"/>
    <w:rsid w:val="0065172D"/>
    <w:rsid w:val="0065287D"/>
    <w:rsid w:val="0065671B"/>
    <w:rsid w:val="00656A5A"/>
    <w:rsid w:val="00663A42"/>
    <w:rsid w:val="0066418E"/>
    <w:rsid w:val="0066469F"/>
    <w:rsid w:val="0067780F"/>
    <w:rsid w:val="00686C30"/>
    <w:rsid w:val="00690FA3"/>
    <w:rsid w:val="0069331D"/>
    <w:rsid w:val="00696DF8"/>
    <w:rsid w:val="0069783E"/>
    <w:rsid w:val="00697E26"/>
    <w:rsid w:val="006A0330"/>
    <w:rsid w:val="006A3AE1"/>
    <w:rsid w:val="006A3B57"/>
    <w:rsid w:val="006A6AB2"/>
    <w:rsid w:val="006B117D"/>
    <w:rsid w:val="006B19B7"/>
    <w:rsid w:val="006B392C"/>
    <w:rsid w:val="006B4CC0"/>
    <w:rsid w:val="006B65B0"/>
    <w:rsid w:val="006C5198"/>
    <w:rsid w:val="006C6A07"/>
    <w:rsid w:val="006E0A3D"/>
    <w:rsid w:val="006E27F1"/>
    <w:rsid w:val="006E5BC8"/>
    <w:rsid w:val="006E7CBA"/>
    <w:rsid w:val="006F222F"/>
    <w:rsid w:val="006F7B69"/>
    <w:rsid w:val="0070241F"/>
    <w:rsid w:val="007024A9"/>
    <w:rsid w:val="00703C96"/>
    <w:rsid w:val="007130D7"/>
    <w:rsid w:val="00713E98"/>
    <w:rsid w:val="00715591"/>
    <w:rsid w:val="00715AE8"/>
    <w:rsid w:val="007244BB"/>
    <w:rsid w:val="0072516F"/>
    <w:rsid w:val="00725D44"/>
    <w:rsid w:val="0073034D"/>
    <w:rsid w:val="00731ADC"/>
    <w:rsid w:val="007330F2"/>
    <w:rsid w:val="00733DB0"/>
    <w:rsid w:val="00735043"/>
    <w:rsid w:val="00740444"/>
    <w:rsid w:val="00744577"/>
    <w:rsid w:val="007452CF"/>
    <w:rsid w:val="00746055"/>
    <w:rsid w:val="00746DA9"/>
    <w:rsid w:val="00747086"/>
    <w:rsid w:val="007515E2"/>
    <w:rsid w:val="00756D66"/>
    <w:rsid w:val="00761D80"/>
    <w:rsid w:val="0076364A"/>
    <w:rsid w:val="00766FC5"/>
    <w:rsid w:val="00770E5B"/>
    <w:rsid w:val="00772930"/>
    <w:rsid w:val="00776E20"/>
    <w:rsid w:val="007814AF"/>
    <w:rsid w:val="007825F0"/>
    <w:rsid w:val="00787F88"/>
    <w:rsid w:val="0079721A"/>
    <w:rsid w:val="007A095C"/>
    <w:rsid w:val="007A0AF8"/>
    <w:rsid w:val="007A283A"/>
    <w:rsid w:val="007A65C8"/>
    <w:rsid w:val="007A6B16"/>
    <w:rsid w:val="007A7AC4"/>
    <w:rsid w:val="007B639C"/>
    <w:rsid w:val="007B7036"/>
    <w:rsid w:val="007C0870"/>
    <w:rsid w:val="007C2D10"/>
    <w:rsid w:val="007C457D"/>
    <w:rsid w:val="007D02A9"/>
    <w:rsid w:val="007D166D"/>
    <w:rsid w:val="007D17C7"/>
    <w:rsid w:val="007D2766"/>
    <w:rsid w:val="007D2FF7"/>
    <w:rsid w:val="007D74D8"/>
    <w:rsid w:val="007E13A4"/>
    <w:rsid w:val="007E20CA"/>
    <w:rsid w:val="007E3988"/>
    <w:rsid w:val="007E4698"/>
    <w:rsid w:val="007E6959"/>
    <w:rsid w:val="007E6991"/>
    <w:rsid w:val="007E7A36"/>
    <w:rsid w:val="007F222D"/>
    <w:rsid w:val="007F3FB7"/>
    <w:rsid w:val="007F518D"/>
    <w:rsid w:val="007F68FE"/>
    <w:rsid w:val="007F7E7E"/>
    <w:rsid w:val="00803C29"/>
    <w:rsid w:val="00804E5E"/>
    <w:rsid w:val="00804FAA"/>
    <w:rsid w:val="00805678"/>
    <w:rsid w:val="00805D26"/>
    <w:rsid w:val="0081553D"/>
    <w:rsid w:val="00815BE9"/>
    <w:rsid w:val="00815C94"/>
    <w:rsid w:val="00815CF6"/>
    <w:rsid w:val="00816990"/>
    <w:rsid w:val="00817981"/>
    <w:rsid w:val="00822851"/>
    <w:rsid w:val="00824A75"/>
    <w:rsid w:val="0082509A"/>
    <w:rsid w:val="00825A51"/>
    <w:rsid w:val="00825D53"/>
    <w:rsid w:val="008272DF"/>
    <w:rsid w:val="00831065"/>
    <w:rsid w:val="008337A7"/>
    <w:rsid w:val="00835BCB"/>
    <w:rsid w:val="00836773"/>
    <w:rsid w:val="00836E6A"/>
    <w:rsid w:val="008410D0"/>
    <w:rsid w:val="00841559"/>
    <w:rsid w:val="0084558B"/>
    <w:rsid w:val="00845924"/>
    <w:rsid w:val="00846107"/>
    <w:rsid w:val="00847E07"/>
    <w:rsid w:val="00851297"/>
    <w:rsid w:val="00852C43"/>
    <w:rsid w:val="00853737"/>
    <w:rsid w:val="008541B8"/>
    <w:rsid w:val="00857249"/>
    <w:rsid w:val="00861067"/>
    <w:rsid w:val="00862AE2"/>
    <w:rsid w:val="00862C25"/>
    <w:rsid w:val="00863CA2"/>
    <w:rsid w:val="00864A80"/>
    <w:rsid w:val="008655ED"/>
    <w:rsid w:val="00866942"/>
    <w:rsid w:val="00871B0D"/>
    <w:rsid w:val="00871B14"/>
    <w:rsid w:val="008735A1"/>
    <w:rsid w:val="00875962"/>
    <w:rsid w:val="00880325"/>
    <w:rsid w:val="00882ABD"/>
    <w:rsid w:val="008844A4"/>
    <w:rsid w:val="008857CC"/>
    <w:rsid w:val="0089314F"/>
    <w:rsid w:val="0089328E"/>
    <w:rsid w:val="0089513A"/>
    <w:rsid w:val="00896069"/>
    <w:rsid w:val="00896786"/>
    <w:rsid w:val="008976AB"/>
    <w:rsid w:val="008A2C15"/>
    <w:rsid w:val="008A3DBA"/>
    <w:rsid w:val="008A483E"/>
    <w:rsid w:val="008A5601"/>
    <w:rsid w:val="008B7726"/>
    <w:rsid w:val="008C08EC"/>
    <w:rsid w:val="008C2997"/>
    <w:rsid w:val="008C443B"/>
    <w:rsid w:val="008C538A"/>
    <w:rsid w:val="008D0618"/>
    <w:rsid w:val="008D1AEB"/>
    <w:rsid w:val="008D1E23"/>
    <w:rsid w:val="008D2A7C"/>
    <w:rsid w:val="008D3031"/>
    <w:rsid w:val="008D4F00"/>
    <w:rsid w:val="008D7DBC"/>
    <w:rsid w:val="008E08B2"/>
    <w:rsid w:val="008E0AFC"/>
    <w:rsid w:val="008E1E43"/>
    <w:rsid w:val="008E3116"/>
    <w:rsid w:val="008E637F"/>
    <w:rsid w:val="008E66FE"/>
    <w:rsid w:val="008F27DB"/>
    <w:rsid w:val="008F5B6F"/>
    <w:rsid w:val="009002A3"/>
    <w:rsid w:val="0090038C"/>
    <w:rsid w:val="009007EC"/>
    <w:rsid w:val="00900EF5"/>
    <w:rsid w:val="00901EE5"/>
    <w:rsid w:val="0090421D"/>
    <w:rsid w:val="00906447"/>
    <w:rsid w:val="0091349D"/>
    <w:rsid w:val="009141C7"/>
    <w:rsid w:val="009160EA"/>
    <w:rsid w:val="00920597"/>
    <w:rsid w:val="00921E42"/>
    <w:rsid w:val="00922872"/>
    <w:rsid w:val="0092425B"/>
    <w:rsid w:val="00924D39"/>
    <w:rsid w:val="00924FFE"/>
    <w:rsid w:val="009263C3"/>
    <w:rsid w:val="009268AB"/>
    <w:rsid w:val="009364FF"/>
    <w:rsid w:val="00942397"/>
    <w:rsid w:val="009425B4"/>
    <w:rsid w:val="00946F52"/>
    <w:rsid w:val="00950F44"/>
    <w:rsid w:val="00952A7D"/>
    <w:rsid w:val="00952BF8"/>
    <w:rsid w:val="00953747"/>
    <w:rsid w:val="0095565A"/>
    <w:rsid w:val="00955918"/>
    <w:rsid w:val="00960439"/>
    <w:rsid w:val="00961D67"/>
    <w:rsid w:val="00962D93"/>
    <w:rsid w:val="009636EF"/>
    <w:rsid w:val="0096408D"/>
    <w:rsid w:val="009651A8"/>
    <w:rsid w:val="009657E9"/>
    <w:rsid w:val="0096666B"/>
    <w:rsid w:val="0097114E"/>
    <w:rsid w:val="009719C3"/>
    <w:rsid w:val="0097578E"/>
    <w:rsid w:val="00976E55"/>
    <w:rsid w:val="009814B0"/>
    <w:rsid w:val="00984D41"/>
    <w:rsid w:val="009852BB"/>
    <w:rsid w:val="009853C4"/>
    <w:rsid w:val="0098547C"/>
    <w:rsid w:val="009860B4"/>
    <w:rsid w:val="00986724"/>
    <w:rsid w:val="0098718E"/>
    <w:rsid w:val="00994269"/>
    <w:rsid w:val="0099439A"/>
    <w:rsid w:val="00994737"/>
    <w:rsid w:val="009A0F00"/>
    <w:rsid w:val="009A37AE"/>
    <w:rsid w:val="009A4059"/>
    <w:rsid w:val="009A47EF"/>
    <w:rsid w:val="009B1979"/>
    <w:rsid w:val="009B1E1B"/>
    <w:rsid w:val="009B2CC0"/>
    <w:rsid w:val="009B4C38"/>
    <w:rsid w:val="009C0DAB"/>
    <w:rsid w:val="009C1E20"/>
    <w:rsid w:val="009D0378"/>
    <w:rsid w:val="009D0F18"/>
    <w:rsid w:val="009D1EFB"/>
    <w:rsid w:val="009D5964"/>
    <w:rsid w:val="009D6A0C"/>
    <w:rsid w:val="009E0725"/>
    <w:rsid w:val="009E1492"/>
    <w:rsid w:val="009E4B3F"/>
    <w:rsid w:val="009E5877"/>
    <w:rsid w:val="009F69B0"/>
    <w:rsid w:val="00A0310D"/>
    <w:rsid w:val="00A073F4"/>
    <w:rsid w:val="00A07BBE"/>
    <w:rsid w:val="00A16439"/>
    <w:rsid w:val="00A21057"/>
    <w:rsid w:val="00A217CE"/>
    <w:rsid w:val="00A21E86"/>
    <w:rsid w:val="00A22DFB"/>
    <w:rsid w:val="00A305E3"/>
    <w:rsid w:val="00A353F1"/>
    <w:rsid w:val="00A357B0"/>
    <w:rsid w:val="00A35B22"/>
    <w:rsid w:val="00A42B99"/>
    <w:rsid w:val="00A479B6"/>
    <w:rsid w:val="00A50D3C"/>
    <w:rsid w:val="00A532E3"/>
    <w:rsid w:val="00A54D9C"/>
    <w:rsid w:val="00A57200"/>
    <w:rsid w:val="00A57865"/>
    <w:rsid w:val="00A62B31"/>
    <w:rsid w:val="00A64850"/>
    <w:rsid w:val="00A65003"/>
    <w:rsid w:val="00A65202"/>
    <w:rsid w:val="00A73299"/>
    <w:rsid w:val="00A7536B"/>
    <w:rsid w:val="00A80356"/>
    <w:rsid w:val="00A816B6"/>
    <w:rsid w:val="00A82D81"/>
    <w:rsid w:val="00A96E79"/>
    <w:rsid w:val="00AA2033"/>
    <w:rsid w:val="00AA4A07"/>
    <w:rsid w:val="00AA6230"/>
    <w:rsid w:val="00AB632D"/>
    <w:rsid w:val="00AC5444"/>
    <w:rsid w:val="00AC70E1"/>
    <w:rsid w:val="00AD1D29"/>
    <w:rsid w:val="00AD328E"/>
    <w:rsid w:val="00AD5147"/>
    <w:rsid w:val="00AE0837"/>
    <w:rsid w:val="00AE11C8"/>
    <w:rsid w:val="00AE355C"/>
    <w:rsid w:val="00AE4EFC"/>
    <w:rsid w:val="00AE5731"/>
    <w:rsid w:val="00AE7127"/>
    <w:rsid w:val="00AF6BA2"/>
    <w:rsid w:val="00AF7801"/>
    <w:rsid w:val="00B019E2"/>
    <w:rsid w:val="00B020ED"/>
    <w:rsid w:val="00B036CB"/>
    <w:rsid w:val="00B130D5"/>
    <w:rsid w:val="00B13566"/>
    <w:rsid w:val="00B13A54"/>
    <w:rsid w:val="00B14220"/>
    <w:rsid w:val="00B16868"/>
    <w:rsid w:val="00B17251"/>
    <w:rsid w:val="00B2159A"/>
    <w:rsid w:val="00B21D32"/>
    <w:rsid w:val="00B313B2"/>
    <w:rsid w:val="00B337AE"/>
    <w:rsid w:val="00B34A43"/>
    <w:rsid w:val="00B36912"/>
    <w:rsid w:val="00B404A0"/>
    <w:rsid w:val="00B4256A"/>
    <w:rsid w:val="00B432AB"/>
    <w:rsid w:val="00B54D75"/>
    <w:rsid w:val="00B60C2A"/>
    <w:rsid w:val="00B65FC0"/>
    <w:rsid w:val="00B707DD"/>
    <w:rsid w:val="00B719F4"/>
    <w:rsid w:val="00B73995"/>
    <w:rsid w:val="00B74DBC"/>
    <w:rsid w:val="00B75E08"/>
    <w:rsid w:val="00B76684"/>
    <w:rsid w:val="00B7698F"/>
    <w:rsid w:val="00B85F5F"/>
    <w:rsid w:val="00B86395"/>
    <w:rsid w:val="00B86E2B"/>
    <w:rsid w:val="00B91DEC"/>
    <w:rsid w:val="00B92A56"/>
    <w:rsid w:val="00B931F8"/>
    <w:rsid w:val="00B95DB0"/>
    <w:rsid w:val="00B9722F"/>
    <w:rsid w:val="00B97741"/>
    <w:rsid w:val="00BA0721"/>
    <w:rsid w:val="00BA1883"/>
    <w:rsid w:val="00BA227D"/>
    <w:rsid w:val="00BA3EFA"/>
    <w:rsid w:val="00BA4C84"/>
    <w:rsid w:val="00BC09FC"/>
    <w:rsid w:val="00BC0DD5"/>
    <w:rsid w:val="00BC60E6"/>
    <w:rsid w:val="00BE66AA"/>
    <w:rsid w:val="00BE73B9"/>
    <w:rsid w:val="00BF444F"/>
    <w:rsid w:val="00BF77F5"/>
    <w:rsid w:val="00C01D8A"/>
    <w:rsid w:val="00C023EF"/>
    <w:rsid w:val="00C15415"/>
    <w:rsid w:val="00C16FE4"/>
    <w:rsid w:val="00C172EB"/>
    <w:rsid w:val="00C22F98"/>
    <w:rsid w:val="00C2363B"/>
    <w:rsid w:val="00C26560"/>
    <w:rsid w:val="00C3062F"/>
    <w:rsid w:val="00C32E7A"/>
    <w:rsid w:val="00C408D9"/>
    <w:rsid w:val="00C42DB9"/>
    <w:rsid w:val="00C447FD"/>
    <w:rsid w:val="00C44B90"/>
    <w:rsid w:val="00C51434"/>
    <w:rsid w:val="00C51743"/>
    <w:rsid w:val="00C51A61"/>
    <w:rsid w:val="00C57393"/>
    <w:rsid w:val="00C64C71"/>
    <w:rsid w:val="00C6528B"/>
    <w:rsid w:val="00C661B3"/>
    <w:rsid w:val="00C70300"/>
    <w:rsid w:val="00C7037D"/>
    <w:rsid w:val="00C70637"/>
    <w:rsid w:val="00C71DC8"/>
    <w:rsid w:val="00C73E69"/>
    <w:rsid w:val="00C74592"/>
    <w:rsid w:val="00C767BA"/>
    <w:rsid w:val="00C8048C"/>
    <w:rsid w:val="00C80C68"/>
    <w:rsid w:val="00C86E9A"/>
    <w:rsid w:val="00C90CE5"/>
    <w:rsid w:val="00C93A3D"/>
    <w:rsid w:val="00C94F0A"/>
    <w:rsid w:val="00CA3203"/>
    <w:rsid w:val="00CA6058"/>
    <w:rsid w:val="00CA6BD1"/>
    <w:rsid w:val="00CB1B1B"/>
    <w:rsid w:val="00CB3E03"/>
    <w:rsid w:val="00CB580D"/>
    <w:rsid w:val="00CB6098"/>
    <w:rsid w:val="00CB623E"/>
    <w:rsid w:val="00CC0BA5"/>
    <w:rsid w:val="00CC1F3E"/>
    <w:rsid w:val="00CC236E"/>
    <w:rsid w:val="00CC2B2A"/>
    <w:rsid w:val="00CC6216"/>
    <w:rsid w:val="00CC6A8D"/>
    <w:rsid w:val="00CC70FA"/>
    <w:rsid w:val="00CD37C3"/>
    <w:rsid w:val="00CD3911"/>
    <w:rsid w:val="00CD48EF"/>
    <w:rsid w:val="00CD4BA1"/>
    <w:rsid w:val="00CD59A6"/>
    <w:rsid w:val="00CE33C1"/>
    <w:rsid w:val="00CE3834"/>
    <w:rsid w:val="00CF148C"/>
    <w:rsid w:val="00CF3D94"/>
    <w:rsid w:val="00CF48A3"/>
    <w:rsid w:val="00CF5081"/>
    <w:rsid w:val="00D058E4"/>
    <w:rsid w:val="00D07178"/>
    <w:rsid w:val="00D11C0B"/>
    <w:rsid w:val="00D11EE9"/>
    <w:rsid w:val="00D13F47"/>
    <w:rsid w:val="00D14E66"/>
    <w:rsid w:val="00D17631"/>
    <w:rsid w:val="00D17CD3"/>
    <w:rsid w:val="00D21B22"/>
    <w:rsid w:val="00D24AEB"/>
    <w:rsid w:val="00D24AFD"/>
    <w:rsid w:val="00D27902"/>
    <w:rsid w:val="00D27984"/>
    <w:rsid w:val="00D31D50"/>
    <w:rsid w:val="00D323E9"/>
    <w:rsid w:val="00D34F5B"/>
    <w:rsid w:val="00D35023"/>
    <w:rsid w:val="00D403B8"/>
    <w:rsid w:val="00D45C1B"/>
    <w:rsid w:val="00D45E14"/>
    <w:rsid w:val="00D51C9A"/>
    <w:rsid w:val="00D5318C"/>
    <w:rsid w:val="00D53371"/>
    <w:rsid w:val="00D53BD5"/>
    <w:rsid w:val="00D55621"/>
    <w:rsid w:val="00D6000E"/>
    <w:rsid w:val="00D713D6"/>
    <w:rsid w:val="00D72DAF"/>
    <w:rsid w:val="00D75BB9"/>
    <w:rsid w:val="00D76276"/>
    <w:rsid w:val="00D77919"/>
    <w:rsid w:val="00D8083C"/>
    <w:rsid w:val="00D85F8D"/>
    <w:rsid w:val="00D87F81"/>
    <w:rsid w:val="00D90E39"/>
    <w:rsid w:val="00D97E89"/>
    <w:rsid w:val="00DA45EE"/>
    <w:rsid w:val="00DA58A3"/>
    <w:rsid w:val="00DB2F5B"/>
    <w:rsid w:val="00DB46CB"/>
    <w:rsid w:val="00DB695F"/>
    <w:rsid w:val="00DC03E7"/>
    <w:rsid w:val="00DC3710"/>
    <w:rsid w:val="00DC3B9E"/>
    <w:rsid w:val="00DC4FB9"/>
    <w:rsid w:val="00DC545F"/>
    <w:rsid w:val="00DC54A9"/>
    <w:rsid w:val="00DC6139"/>
    <w:rsid w:val="00DC6686"/>
    <w:rsid w:val="00DC6D84"/>
    <w:rsid w:val="00DC7F68"/>
    <w:rsid w:val="00DD1D7F"/>
    <w:rsid w:val="00DD360A"/>
    <w:rsid w:val="00DD7F91"/>
    <w:rsid w:val="00DE0985"/>
    <w:rsid w:val="00DE42BF"/>
    <w:rsid w:val="00DE4A1A"/>
    <w:rsid w:val="00DE4E11"/>
    <w:rsid w:val="00DE53FE"/>
    <w:rsid w:val="00DE6ED8"/>
    <w:rsid w:val="00E00A5F"/>
    <w:rsid w:val="00E05D64"/>
    <w:rsid w:val="00E07ABB"/>
    <w:rsid w:val="00E07D8F"/>
    <w:rsid w:val="00E13762"/>
    <w:rsid w:val="00E14E2F"/>
    <w:rsid w:val="00E1552D"/>
    <w:rsid w:val="00E1640B"/>
    <w:rsid w:val="00E317A6"/>
    <w:rsid w:val="00E3190E"/>
    <w:rsid w:val="00E31F05"/>
    <w:rsid w:val="00E32285"/>
    <w:rsid w:val="00E34295"/>
    <w:rsid w:val="00E3667E"/>
    <w:rsid w:val="00E4228D"/>
    <w:rsid w:val="00E4254E"/>
    <w:rsid w:val="00E4608C"/>
    <w:rsid w:val="00E502A2"/>
    <w:rsid w:val="00E521B6"/>
    <w:rsid w:val="00E52931"/>
    <w:rsid w:val="00E53ACE"/>
    <w:rsid w:val="00E5519B"/>
    <w:rsid w:val="00E55FEE"/>
    <w:rsid w:val="00E57BD3"/>
    <w:rsid w:val="00E57D38"/>
    <w:rsid w:val="00E65332"/>
    <w:rsid w:val="00E65F77"/>
    <w:rsid w:val="00E670CD"/>
    <w:rsid w:val="00E67EA9"/>
    <w:rsid w:val="00E7727F"/>
    <w:rsid w:val="00E83519"/>
    <w:rsid w:val="00E91889"/>
    <w:rsid w:val="00E91F0F"/>
    <w:rsid w:val="00E944E2"/>
    <w:rsid w:val="00E95C54"/>
    <w:rsid w:val="00E96103"/>
    <w:rsid w:val="00EA027D"/>
    <w:rsid w:val="00EB22CF"/>
    <w:rsid w:val="00EB3414"/>
    <w:rsid w:val="00EB39DD"/>
    <w:rsid w:val="00EB40E4"/>
    <w:rsid w:val="00EB67BA"/>
    <w:rsid w:val="00EC16F8"/>
    <w:rsid w:val="00EC306F"/>
    <w:rsid w:val="00EC408E"/>
    <w:rsid w:val="00EC41F2"/>
    <w:rsid w:val="00EC4E40"/>
    <w:rsid w:val="00EC4EB3"/>
    <w:rsid w:val="00EC5617"/>
    <w:rsid w:val="00EC7C9E"/>
    <w:rsid w:val="00ED230D"/>
    <w:rsid w:val="00ED2440"/>
    <w:rsid w:val="00EE1C0B"/>
    <w:rsid w:val="00EE59D0"/>
    <w:rsid w:val="00EE7FF3"/>
    <w:rsid w:val="00EF26BF"/>
    <w:rsid w:val="00EF4861"/>
    <w:rsid w:val="00EF50C7"/>
    <w:rsid w:val="00EF5E19"/>
    <w:rsid w:val="00EF779D"/>
    <w:rsid w:val="00EF7E82"/>
    <w:rsid w:val="00F01970"/>
    <w:rsid w:val="00F01B91"/>
    <w:rsid w:val="00F06AF6"/>
    <w:rsid w:val="00F079A5"/>
    <w:rsid w:val="00F07F69"/>
    <w:rsid w:val="00F107F9"/>
    <w:rsid w:val="00F111E0"/>
    <w:rsid w:val="00F117D4"/>
    <w:rsid w:val="00F16475"/>
    <w:rsid w:val="00F22D55"/>
    <w:rsid w:val="00F24A9A"/>
    <w:rsid w:val="00F2592D"/>
    <w:rsid w:val="00F25C5F"/>
    <w:rsid w:val="00F3182D"/>
    <w:rsid w:val="00F34EF2"/>
    <w:rsid w:val="00F3580F"/>
    <w:rsid w:val="00F406BB"/>
    <w:rsid w:val="00F44AD0"/>
    <w:rsid w:val="00F50379"/>
    <w:rsid w:val="00F55102"/>
    <w:rsid w:val="00F57115"/>
    <w:rsid w:val="00F6298B"/>
    <w:rsid w:val="00F63B02"/>
    <w:rsid w:val="00F65350"/>
    <w:rsid w:val="00F65C21"/>
    <w:rsid w:val="00F700A6"/>
    <w:rsid w:val="00F760D1"/>
    <w:rsid w:val="00F8151A"/>
    <w:rsid w:val="00F83788"/>
    <w:rsid w:val="00F84D69"/>
    <w:rsid w:val="00F85054"/>
    <w:rsid w:val="00F87AEF"/>
    <w:rsid w:val="00F87C14"/>
    <w:rsid w:val="00F94F61"/>
    <w:rsid w:val="00FA17B4"/>
    <w:rsid w:val="00FA3581"/>
    <w:rsid w:val="00FB10B8"/>
    <w:rsid w:val="00FB24BA"/>
    <w:rsid w:val="00FB28C8"/>
    <w:rsid w:val="00FB381D"/>
    <w:rsid w:val="00FB6172"/>
    <w:rsid w:val="00FB6492"/>
    <w:rsid w:val="00FC007D"/>
    <w:rsid w:val="00FC131A"/>
    <w:rsid w:val="00FC224A"/>
    <w:rsid w:val="00FC43D6"/>
    <w:rsid w:val="00FD2208"/>
    <w:rsid w:val="00FD2EC4"/>
    <w:rsid w:val="00FD63D3"/>
    <w:rsid w:val="00FD717D"/>
    <w:rsid w:val="00FE44CF"/>
    <w:rsid w:val="00FF1239"/>
    <w:rsid w:val="00FF1AC1"/>
    <w:rsid w:val="00FF5DE3"/>
    <w:rsid w:val="00FF62F7"/>
    <w:rsid w:val="00FF6EAF"/>
    <w:rsid w:val="00FF7408"/>
    <w:rsid w:val="01CC1B3E"/>
    <w:rsid w:val="01F65399"/>
    <w:rsid w:val="026A1A9F"/>
    <w:rsid w:val="03226A0E"/>
    <w:rsid w:val="04260169"/>
    <w:rsid w:val="047F7C23"/>
    <w:rsid w:val="04CC4830"/>
    <w:rsid w:val="050945F2"/>
    <w:rsid w:val="050E4034"/>
    <w:rsid w:val="056F4DC0"/>
    <w:rsid w:val="05B13426"/>
    <w:rsid w:val="05F86FA8"/>
    <w:rsid w:val="06174B4A"/>
    <w:rsid w:val="06342461"/>
    <w:rsid w:val="065C2670"/>
    <w:rsid w:val="06677EA2"/>
    <w:rsid w:val="06F06056"/>
    <w:rsid w:val="07021FF9"/>
    <w:rsid w:val="071C7BC7"/>
    <w:rsid w:val="075A67A2"/>
    <w:rsid w:val="0789031E"/>
    <w:rsid w:val="08052734"/>
    <w:rsid w:val="08154FBF"/>
    <w:rsid w:val="0840050B"/>
    <w:rsid w:val="086D38AF"/>
    <w:rsid w:val="08C44882"/>
    <w:rsid w:val="08C94E4D"/>
    <w:rsid w:val="0915227D"/>
    <w:rsid w:val="09164C3B"/>
    <w:rsid w:val="0958077C"/>
    <w:rsid w:val="099842FD"/>
    <w:rsid w:val="0A3A2559"/>
    <w:rsid w:val="0A805158"/>
    <w:rsid w:val="0AF87126"/>
    <w:rsid w:val="0B4B1CD9"/>
    <w:rsid w:val="0B9B2EBC"/>
    <w:rsid w:val="0BA309DB"/>
    <w:rsid w:val="0BC90D6D"/>
    <w:rsid w:val="0BCB508B"/>
    <w:rsid w:val="0C070B14"/>
    <w:rsid w:val="0C1A22A8"/>
    <w:rsid w:val="0C26236E"/>
    <w:rsid w:val="0C9306BE"/>
    <w:rsid w:val="0CB05CD1"/>
    <w:rsid w:val="0CE13E67"/>
    <w:rsid w:val="0D1B39E9"/>
    <w:rsid w:val="0DCB2021"/>
    <w:rsid w:val="0E3A01CC"/>
    <w:rsid w:val="0E5168B2"/>
    <w:rsid w:val="0E6F5A6A"/>
    <w:rsid w:val="0E9172D3"/>
    <w:rsid w:val="0EF1422C"/>
    <w:rsid w:val="0F197568"/>
    <w:rsid w:val="0F3B23D4"/>
    <w:rsid w:val="0F3B3DD7"/>
    <w:rsid w:val="107B6AE8"/>
    <w:rsid w:val="11195DC6"/>
    <w:rsid w:val="115A70AD"/>
    <w:rsid w:val="116421D6"/>
    <w:rsid w:val="11EA1B00"/>
    <w:rsid w:val="121F5AC5"/>
    <w:rsid w:val="125037BB"/>
    <w:rsid w:val="12521250"/>
    <w:rsid w:val="12524B60"/>
    <w:rsid w:val="125B2E30"/>
    <w:rsid w:val="12E866AF"/>
    <w:rsid w:val="130C55D8"/>
    <w:rsid w:val="13244A23"/>
    <w:rsid w:val="13CC3299"/>
    <w:rsid w:val="13EE6B6B"/>
    <w:rsid w:val="1472386E"/>
    <w:rsid w:val="148F0FC6"/>
    <w:rsid w:val="151600A7"/>
    <w:rsid w:val="155D0A34"/>
    <w:rsid w:val="159F345A"/>
    <w:rsid w:val="15E43EF8"/>
    <w:rsid w:val="162226DF"/>
    <w:rsid w:val="16596D62"/>
    <w:rsid w:val="16A81136"/>
    <w:rsid w:val="16AC4207"/>
    <w:rsid w:val="17684687"/>
    <w:rsid w:val="178A56FB"/>
    <w:rsid w:val="17A8647B"/>
    <w:rsid w:val="18253B4C"/>
    <w:rsid w:val="190F1674"/>
    <w:rsid w:val="19132D2F"/>
    <w:rsid w:val="19210747"/>
    <w:rsid w:val="196E7CB2"/>
    <w:rsid w:val="198759D2"/>
    <w:rsid w:val="19D72BB5"/>
    <w:rsid w:val="1A327172"/>
    <w:rsid w:val="1AD212BF"/>
    <w:rsid w:val="1AE151E1"/>
    <w:rsid w:val="1AF900F3"/>
    <w:rsid w:val="1AFC6A2C"/>
    <w:rsid w:val="1B7A2F17"/>
    <w:rsid w:val="1BE0351A"/>
    <w:rsid w:val="1C120302"/>
    <w:rsid w:val="1C442FCB"/>
    <w:rsid w:val="1C532B00"/>
    <w:rsid w:val="1CAF3857"/>
    <w:rsid w:val="1CCC12C5"/>
    <w:rsid w:val="1D1B1BAD"/>
    <w:rsid w:val="1D25032C"/>
    <w:rsid w:val="1D401A6B"/>
    <w:rsid w:val="1D8A27C3"/>
    <w:rsid w:val="1DCC5DA5"/>
    <w:rsid w:val="1DEF18A8"/>
    <w:rsid w:val="1E8A015B"/>
    <w:rsid w:val="1EA00E4A"/>
    <w:rsid w:val="1ED56ACA"/>
    <w:rsid w:val="1F2E3616"/>
    <w:rsid w:val="1F4F1109"/>
    <w:rsid w:val="1F6A0646"/>
    <w:rsid w:val="206A0332"/>
    <w:rsid w:val="2091595B"/>
    <w:rsid w:val="20B90FAB"/>
    <w:rsid w:val="20F51AC3"/>
    <w:rsid w:val="21A7318A"/>
    <w:rsid w:val="21AE6D2F"/>
    <w:rsid w:val="21C21552"/>
    <w:rsid w:val="21C3713A"/>
    <w:rsid w:val="22B7077C"/>
    <w:rsid w:val="24695898"/>
    <w:rsid w:val="24DA6297"/>
    <w:rsid w:val="252F3CBE"/>
    <w:rsid w:val="26116B66"/>
    <w:rsid w:val="26694CDB"/>
    <w:rsid w:val="27016012"/>
    <w:rsid w:val="27492A7F"/>
    <w:rsid w:val="27DA394C"/>
    <w:rsid w:val="282C171E"/>
    <w:rsid w:val="2849297F"/>
    <w:rsid w:val="287A03EC"/>
    <w:rsid w:val="2936596A"/>
    <w:rsid w:val="29415E79"/>
    <w:rsid w:val="2997006D"/>
    <w:rsid w:val="29AC5EF0"/>
    <w:rsid w:val="29AD6BA6"/>
    <w:rsid w:val="29AF0914"/>
    <w:rsid w:val="29B83598"/>
    <w:rsid w:val="2A855D14"/>
    <w:rsid w:val="2B040631"/>
    <w:rsid w:val="2B0B5AF1"/>
    <w:rsid w:val="2B793244"/>
    <w:rsid w:val="2C094BA0"/>
    <w:rsid w:val="2C60205D"/>
    <w:rsid w:val="2C8F5C68"/>
    <w:rsid w:val="2CAD317E"/>
    <w:rsid w:val="2CC97424"/>
    <w:rsid w:val="2D2725F0"/>
    <w:rsid w:val="2D345768"/>
    <w:rsid w:val="2D73679B"/>
    <w:rsid w:val="2DF54BFF"/>
    <w:rsid w:val="2E994608"/>
    <w:rsid w:val="2E9C375A"/>
    <w:rsid w:val="2EA60EE0"/>
    <w:rsid w:val="2ED8262F"/>
    <w:rsid w:val="2F242CBD"/>
    <w:rsid w:val="2F4E3B7F"/>
    <w:rsid w:val="2FB34058"/>
    <w:rsid w:val="300C74C4"/>
    <w:rsid w:val="304B3830"/>
    <w:rsid w:val="307D5A91"/>
    <w:rsid w:val="317B20C5"/>
    <w:rsid w:val="32A33E31"/>
    <w:rsid w:val="32C8405C"/>
    <w:rsid w:val="32D048D8"/>
    <w:rsid w:val="32D3622F"/>
    <w:rsid w:val="32D63CF2"/>
    <w:rsid w:val="32F26097"/>
    <w:rsid w:val="330A61F7"/>
    <w:rsid w:val="3341799D"/>
    <w:rsid w:val="337A399F"/>
    <w:rsid w:val="337F2EFA"/>
    <w:rsid w:val="339029A7"/>
    <w:rsid w:val="33CC5FD9"/>
    <w:rsid w:val="33F9688D"/>
    <w:rsid w:val="34697607"/>
    <w:rsid w:val="34DC6FBF"/>
    <w:rsid w:val="352019FA"/>
    <w:rsid w:val="35731520"/>
    <w:rsid w:val="35CA3AD2"/>
    <w:rsid w:val="35F436C6"/>
    <w:rsid w:val="36037C49"/>
    <w:rsid w:val="36A320F4"/>
    <w:rsid w:val="36B804EA"/>
    <w:rsid w:val="371766EB"/>
    <w:rsid w:val="3728049C"/>
    <w:rsid w:val="37CD3E9A"/>
    <w:rsid w:val="37D03480"/>
    <w:rsid w:val="37D87189"/>
    <w:rsid w:val="37E87EA7"/>
    <w:rsid w:val="37F761BE"/>
    <w:rsid w:val="380B1A51"/>
    <w:rsid w:val="382056BC"/>
    <w:rsid w:val="38AB6B19"/>
    <w:rsid w:val="39035D73"/>
    <w:rsid w:val="39144BF9"/>
    <w:rsid w:val="39236305"/>
    <w:rsid w:val="397D1814"/>
    <w:rsid w:val="3991694F"/>
    <w:rsid w:val="39FB0542"/>
    <w:rsid w:val="3A096C45"/>
    <w:rsid w:val="3B3315C9"/>
    <w:rsid w:val="3B3666AA"/>
    <w:rsid w:val="3B5D03F9"/>
    <w:rsid w:val="3B9C69ED"/>
    <w:rsid w:val="3C075E40"/>
    <w:rsid w:val="3C0F314C"/>
    <w:rsid w:val="3C781551"/>
    <w:rsid w:val="3C8400FD"/>
    <w:rsid w:val="3C8D5215"/>
    <w:rsid w:val="3CB96E1E"/>
    <w:rsid w:val="3D322432"/>
    <w:rsid w:val="3D9866A2"/>
    <w:rsid w:val="3DB922D9"/>
    <w:rsid w:val="3E2A5A13"/>
    <w:rsid w:val="3E6A5C1B"/>
    <w:rsid w:val="3E951BD3"/>
    <w:rsid w:val="3EB91E59"/>
    <w:rsid w:val="3FA23A80"/>
    <w:rsid w:val="3FB75DF9"/>
    <w:rsid w:val="3FF379F1"/>
    <w:rsid w:val="418368ED"/>
    <w:rsid w:val="425C64FC"/>
    <w:rsid w:val="4278675D"/>
    <w:rsid w:val="431F105C"/>
    <w:rsid w:val="43F003B4"/>
    <w:rsid w:val="44523F28"/>
    <w:rsid w:val="446458DA"/>
    <w:rsid w:val="446645C4"/>
    <w:rsid w:val="44E00C2F"/>
    <w:rsid w:val="44F12828"/>
    <w:rsid w:val="453F4EE8"/>
    <w:rsid w:val="4552655D"/>
    <w:rsid w:val="457E0C0E"/>
    <w:rsid w:val="459C0667"/>
    <w:rsid w:val="45A27895"/>
    <w:rsid w:val="4654463C"/>
    <w:rsid w:val="469D1E1F"/>
    <w:rsid w:val="4703453A"/>
    <w:rsid w:val="47401AE3"/>
    <w:rsid w:val="47847F9B"/>
    <w:rsid w:val="47B6276E"/>
    <w:rsid w:val="47D7714D"/>
    <w:rsid w:val="48CA305E"/>
    <w:rsid w:val="491D1161"/>
    <w:rsid w:val="4945471C"/>
    <w:rsid w:val="49C23604"/>
    <w:rsid w:val="49D043C8"/>
    <w:rsid w:val="4A6500D9"/>
    <w:rsid w:val="4A9A6942"/>
    <w:rsid w:val="4AC24A90"/>
    <w:rsid w:val="4B4D56DB"/>
    <w:rsid w:val="4BCB58DC"/>
    <w:rsid w:val="4BE87F26"/>
    <w:rsid w:val="4C081E20"/>
    <w:rsid w:val="4C3974A1"/>
    <w:rsid w:val="4C446A29"/>
    <w:rsid w:val="4C4D743A"/>
    <w:rsid w:val="4C561056"/>
    <w:rsid w:val="4CDC25C4"/>
    <w:rsid w:val="4D2A1AAB"/>
    <w:rsid w:val="4D5F4810"/>
    <w:rsid w:val="4D897465"/>
    <w:rsid w:val="4DBE15DE"/>
    <w:rsid w:val="4DFF45BC"/>
    <w:rsid w:val="4E61428A"/>
    <w:rsid w:val="4E7B705D"/>
    <w:rsid w:val="4E9C3FF7"/>
    <w:rsid w:val="4ECB455C"/>
    <w:rsid w:val="4EF16D21"/>
    <w:rsid w:val="4F2C3B85"/>
    <w:rsid w:val="4F4E6BEF"/>
    <w:rsid w:val="4F6745C5"/>
    <w:rsid w:val="4F751E54"/>
    <w:rsid w:val="4FA9510C"/>
    <w:rsid w:val="4FFF0129"/>
    <w:rsid w:val="50891C17"/>
    <w:rsid w:val="51E03E7F"/>
    <w:rsid w:val="520E7D39"/>
    <w:rsid w:val="527310FD"/>
    <w:rsid w:val="52C145B3"/>
    <w:rsid w:val="531269BB"/>
    <w:rsid w:val="53252A96"/>
    <w:rsid w:val="532C19FA"/>
    <w:rsid w:val="536C046F"/>
    <w:rsid w:val="53777260"/>
    <w:rsid w:val="53BD324D"/>
    <w:rsid w:val="53DA3FDB"/>
    <w:rsid w:val="54B52F23"/>
    <w:rsid w:val="559025B5"/>
    <w:rsid w:val="55BE6F35"/>
    <w:rsid w:val="562F4A45"/>
    <w:rsid w:val="56393D2D"/>
    <w:rsid w:val="566B4C6D"/>
    <w:rsid w:val="56AB5747"/>
    <w:rsid w:val="57466A30"/>
    <w:rsid w:val="57CE63B8"/>
    <w:rsid w:val="57E7750E"/>
    <w:rsid w:val="582C3304"/>
    <w:rsid w:val="583E683E"/>
    <w:rsid w:val="584263FC"/>
    <w:rsid w:val="58AA248A"/>
    <w:rsid w:val="592757C1"/>
    <w:rsid w:val="5A097D45"/>
    <w:rsid w:val="5A220ADC"/>
    <w:rsid w:val="5A232744"/>
    <w:rsid w:val="5A8E433F"/>
    <w:rsid w:val="5ACC5639"/>
    <w:rsid w:val="5AFE0937"/>
    <w:rsid w:val="5B022AFF"/>
    <w:rsid w:val="5B1C238B"/>
    <w:rsid w:val="5BB72396"/>
    <w:rsid w:val="5BDA2541"/>
    <w:rsid w:val="5C8E70AE"/>
    <w:rsid w:val="5C9700DF"/>
    <w:rsid w:val="5C9D16C4"/>
    <w:rsid w:val="5CAF59DF"/>
    <w:rsid w:val="5CFF5AEE"/>
    <w:rsid w:val="5D5260D6"/>
    <w:rsid w:val="5E4106DA"/>
    <w:rsid w:val="5E4B362D"/>
    <w:rsid w:val="5E4B3828"/>
    <w:rsid w:val="5EC32979"/>
    <w:rsid w:val="5EFC5263"/>
    <w:rsid w:val="5F2B51D9"/>
    <w:rsid w:val="5F37440C"/>
    <w:rsid w:val="5FB55FFC"/>
    <w:rsid w:val="609E7926"/>
    <w:rsid w:val="60CC769A"/>
    <w:rsid w:val="60F3280A"/>
    <w:rsid w:val="61222B38"/>
    <w:rsid w:val="615A0826"/>
    <w:rsid w:val="616E5025"/>
    <w:rsid w:val="62117B48"/>
    <w:rsid w:val="6233066F"/>
    <w:rsid w:val="62385685"/>
    <w:rsid w:val="625714F8"/>
    <w:rsid w:val="62AF2B34"/>
    <w:rsid w:val="62D7081D"/>
    <w:rsid w:val="63687194"/>
    <w:rsid w:val="638E50BC"/>
    <w:rsid w:val="63E64F40"/>
    <w:rsid w:val="643471A5"/>
    <w:rsid w:val="64D27A6F"/>
    <w:rsid w:val="65765688"/>
    <w:rsid w:val="65A40D91"/>
    <w:rsid w:val="664E5B44"/>
    <w:rsid w:val="66F55A6B"/>
    <w:rsid w:val="67327F2E"/>
    <w:rsid w:val="674609A7"/>
    <w:rsid w:val="67465B30"/>
    <w:rsid w:val="678E3107"/>
    <w:rsid w:val="68082611"/>
    <w:rsid w:val="688C533B"/>
    <w:rsid w:val="692F0DD2"/>
    <w:rsid w:val="692F6DB1"/>
    <w:rsid w:val="696B16A5"/>
    <w:rsid w:val="69772905"/>
    <w:rsid w:val="6A360EF4"/>
    <w:rsid w:val="6A736A2C"/>
    <w:rsid w:val="6AC4173D"/>
    <w:rsid w:val="6B155443"/>
    <w:rsid w:val="6B3F6E7C"/>
    <w:rsid w:val="6B4F76A1"/>
    <w:rsid w:val="6B831921"/>
    <w:rsid w:val="6BB6746F"/>
    <w:rsid w:val="6BFD03AE"/>
    <w:rsid w:val="6BFF6077"/>
    <w:rsid w:val="6C2308EC"/>
    <w:rsid w:val="6C867767"/>
    <w:rsid w:val="6CA34648"/>
    <w:rsid w:val="6D031FFE"/>
    <w:rsid w:val="6D870368"/>
    <w:rsid w:val="6DEF74D5"/>
    <w:rsid w:val="6E9856D0"/>
    <w:rsid w:val="6EB840FC"/>
    <w:rsid w:val="6EE920DC"/>
    <w:rsid w:val="6F377C99"/>
    <w:rsid w:val="6F7E7DE2"/>
    <w:rsid w:val="6FAA433E"/>
    <w:rsid w:val="7018018F"/>
    <w:rsid w:val="704079E5"/>
    <w:rsid w:val="704F1D50"/>
    <w:rsid w:val="7062369D"/>
    <w:rsid w:val="70CB2A0E"/>
    <w:rsid w:val="70D8666D"/>
    <w:rsid w:val="70F772D2"/>
    <w:rsid w:val="70F82977"/>
    <w:rsid w:val="711203ED"/>
    <w:rsid w:val="712A76BE"/>
    <w:rsid w:val="716D6D00"/>
    <w:rsid w:val="719901C6"/>
    <w:rsid w:val="71B131C3"/>
    <w:rsid w:val="71CC5821"/>
    <w:rsid w:val="71F26BCA"/>
    <w:rsid w:val="71F331D2"/>
    <w:rsid w:val="720542F1"/>
    <w:rsid w:val="72380013"/>
    <w:rsid w:val="72540D30"/>
    <w:rsid w:val="72763973"/>
    <w:rsid w:val="73426C39"/>
    <w:rsid w:val="73594771"/>
    <w:rsid w:val="738106E6"/>
    <w:rsid w:val="740F0E4D"/>
    <w:rsid w:val="7469799F"/>
    <w:rsid w:val="74A66F51"/>
    <w:rsid w:val="74E24705"/>
    <w:rsid w:val="750506F3"/>
    <w:rsid w:val="75260E10"/>
    <w:rsid w:val="758944AE"/>
    <w:rsid w:val="758C4507"/>
    <w:rsid w:val="75AA1A6C"/>
    <w:rsid w:val="76C0735A"/>
    <w:rsid w:val="76DE39EB"/>
    <w:rsid w:val="774B42DA"/>
    <w:rsid w:val="77C837D0"/>
    <w:rsid w:val="77CC2AC5"/>
    <w:rsid w:val="78AC0F28"/>
    <w:rsid w:val="78AD7E4B"/>
    <w:rsid w:val="78F21DC1"/>
    <w:rsid w:val="7922758B"/>
    <w:rsid w:val="79766799"/>
    <w:rsid w:val="79864974"/>
    <w:rsid w:val="79B255D2"/>
    <w:rsid w:val="79B45BBB"/>
    <w:rsid w:val="79D0307E"/>
    <w:rsid w:val="79DE121D"/>
    <w:rsid w:val="79E21671"/>
    <w:rsid w:val="79E249A2"/>
    <w:rsid w:val="79F949A2"/>
    <w:rsid w:val="7A5C7B4D"/>
    <w:rsid w:val="7B1F1C18"/>
    <w:rsid w:val="7B387938"/>
    <w:rsid w:val="7C341C52"/>
    <w:rsid w:val="7C622461"/>
    <w:rsid w:val="7CD53911"/>
    <w:rsid w:val="7D033238"/>
    <w:rsid w:val="7D2F6ABF"/>
    <w:rsid w:val="7D50024E"/>
    <w:rsid w:val="7D637EF4"/>
    <w:rsid w:val="7DAA73A1"/>
    <w:rsid w:val="7E341B98"/>
    <w:rsid w:val="7E51328E"/>
    <w:rsid w:val="7F14576E"/>
    <w:rsid w:val="7FB7357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semiHidden="0" w:name="heading 4"/>
    <w:lsdException w:qFormat="1" w:uiPriority="0" w:semiHidden="0" w:name="heading 5"/>
    <w:lsdException w:qFormat="1"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31"/>
    <w:qFormat/>
    <w:uiPriority w:val="99"/>
    <w:pPr>
      <w:keepNext/>
      <w:keepLines/>
      <w:adjustRightInd/>
      <w:snapToGrid/>
      <w:spacing w:before="200" w:line="360" w:lineRule="auto"/>
      <w:jc w:val="center"/>
      <w:textAlignment w:val="baseline"/>
      <w:outlineLvl w:val="0"/>
    </w:pPr>
    <w:rPr>
      <w:rFonts w:ascii="Times New Roman" w:hAnsi="Times New Roman" w:eastAsia="黑体" w:cs="Times New Roman"/>
      <w:b/>
      <w:bCs/>
      <w:color w:val="000000"/>
      <w:kern w:val="44"/>
      <w:sz w:val="36"/>
      <w:szCs w:val="44"/>
      <w:u w:color="000000"/>
    </w:rPr>
  </w:style>
  <w:style w:type="paragraph" w:styleId="3">
    <w:name w:val="heading 2"/>
    <w:basedOn w:val="1"/>
    <w:next w:val="1"/>
    <w:link w:val="32"/>
    <w:qFormat/>
    <w:uiPriority w:val="99"/>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4">
    <w:name w:val="heading 3"/>
    <w:basedOn w:val="1"/>
    <w:next w:val="1"/>
    <w:link w:val="33"/>
    <w:qFormat/>
    <w:uiPriority w:val="99"/>
    <w:pPr>
      <w:keepNext/>
      <w:keepLines/>
      <w:adjustRightInd/>
      <w:snapToGrid/>
      <w:spacing w:before="260" w:after="260" w:line="360" w:lineRule="auto"/>
      <w:textAlignment w:val="baseline"/>
      <w:outlineLvl w:val="2"/>
    </w:pPr>
    <w:rPr>
      <w:rFonts w:ascii="Times New Roman" w:hAnsi="Times New Roman" w:eastAsia="仿宋_GB2312" w:cs="Times New Roman"/>
      <w:b/>
      <w:bCs/>
      <w:sz w:val="30"/>
      <w:szCs w:val="32"/>
      <w:u w:color="000000"/>
    </w:rPr>
  </w:style>
  <w:style w:type="paragraph" w:styleId="5">
    <w:name w:val="heading 4"/>
    <w:basedOn w:val="1"/>
    <w:next w:val="1"/>
    <w:link w:val="34"/>
    <w:unhideWhenUsed/>
    <w:qFormat/>
    <w:uiPriority w:val="0"/>
    <w:pPr>
      <w:keepNext/>
      <w:keepLines/>
      <w:widowControl w:val="0"/>
      <w:adjustRightInd/>
      <w:snapToGrid/>
      <w:spacing w:before="280" w:after="290" w:line="376" w:lineRule="auto"/>
      <w:jc w:val="both"/>
      <w:outlineLvl w:val="3"/>
    </w:pPr>
    <w:rPr>
      <w:rFonts w:asciiTheme="majorHAnsi" w:hAnsiTheme="majorHAnsi" w:eastAsiaTheme="majorEastAsia" w:cstheme="majorBidi"/>
      <w:b/>
      <w:bCs/>
      <w:kern w:val="2"/>
      <w:sz w:val="28"/>
      <w:szCs w:val="28"/>
    </w:rPr>
  </w:style>
  <w:style w:type="paragraph" w:styleId="6">
    <w:name w:val="heading 5"/>
    <w:basedOn w:val="1"/>
    <w:next w:val="1"/>
    <w:link w:val="35"/>
    <w:unhideWhenUsed/>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paragraph" w:styleId="7">
    <w:name w:val="heading 6"/>
    <w:basedOn w:val="1"/>
    <w:next w:val="1"/>
    <w:link w:val="36"/>
    <w:unhideWhenUsed/>
    <w:qFormat/>
    <w:uiPriority w:val="0"/>
    <w:pPr>
      <w:keepNext/>
      <w:keepLines/>
      <w:widowControl w:val="0"/>
      <w:adjustRightInd/>
      <w:snapToGrid/>
      <w:spacing w:before="240" w:after="64" w:line="320" w:lineRule="auto"/>
      <w:jc w:val="both"/>
      <w:outlineLvl w:val="5"/>
    </w:pPr>
    <w:rPr>
      <w:rFonts w:asciiTheme="majorHAnsi" w:hAnsiTheme="majorHAnsi" w:eastAsiaTheme="majorEastAsia" w:cstheme="majorBidi"/>
      <w:b/>
      <w:bCs/>
      <w:kern w:val="2"/>
      <w:sz w:val="24"/>
      <w:szCs w:val="24"/>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8">
    <w:name w:val="Document Map"/>
    <w:basedOn w:val="1"/>
    <w:link w:val="43"/>
    <w:semiHidden/>
    <w:qFormat/>
    <w:uiPriority w:val="99"/>
    <w:pPr>
      <w:widowControl w:val="0"/>
      <w:shd w:val="clear" w:color="auto" w:fill="000080"/>
      <w:adjustRightInd/>
      <w:snapToGrid/>
      <w:spacing w:after="0"/>
      <w:jc w:val="both"/>
    </w:pPr>
    <w:rPr>
      <w:rFonts w:ascii="Times New Roman" w:hAnsi="Times New Roman" w:eastAsia="宋体" w:cs="Times New Roman"/>
      <w:kern w:val="2"/>
      <w:sz w:val="21"/>
      <w:szCs w:val="24"/>
    </w:rPr>
  </w:style>
  <w:style w:type="paragraph" w:styleId="9">
    <w:name w:val="annotation text"/>
    <w:basedOn w:val="1"/>
    <w:link w:val="41"/>
    <w:unhideWhenUsed/>
    <w:qFormat/>
    <w:uiPriority w:val="99"/>
  </w:style>
  <w:style w:type="paragraph" w:styleId="10">
    <w:name w:val="Body Text"/>
    <w:basedOn w:val="1"/>
    <w:link w:val="44"/>
    <w:qFormat/>
    <w:uiPriority w:val="99"/>
    <w:pPr>
      <w:widowControl w:val="0"/>
      <w:adjustRightInd/>
      <w:snapToGrid/>
      <w:spacing w:after="120"/>
      <w:jc w:val="both"/>
    </w:pPr>
    <w:rPr>
      <w:rFonts w:ascii="Times New Roman" w:hAnsi="Times New Roman" w:eastAsia="宋体" w:cs="Times New Roman"/>
      <w:kern w:val="2"/>
      <w:sz w:val="21"/>
      <w:szCs w:val="24"/>
    </w:rPr>
  </w:style>
  <w:style w:type="paragraph" w:styleId="11">
    <w:name w:val="toc 3"/>
    <w:basedOn w:val="1"/>
    <w:next w:val="1"/>
    <w:qFormat/>
    <w:uiPriority w:val="39"/>
    <w:pPr>
      <w:widowControl w:val="0"/>
      <w:adjustRightInd/>
      <w:snapToGrid/>
      <w:spacing w:after="0"/>
      <w:ind w:left="840" w:leftChars="400"/>
      <w:jc w:val="both"/>
    </w:pPr>
    <w:rPr>
      <w:rFonts w:ascii="Times New Roman" w:hAnsi="Times New Roman" w:eastAsia="宋体" w:cs="Times New Roman"/>
      <w:kern w:val="2"/>
      <w:sz w:val="28"/>
      <w:szCs w:val="24"/>
    </w:rPr>
  </w:style>
  <w:style w:type="paragraph" w:styleId="12">
    <w:name w:val="Plain Text"/>
    <w:basedOn w:val="1"/>
    <w:link w:val="45"/>
    <w:qFormat/>
    <w:uiPriority w:val="99"/>
    <w:pPr>
      <w:adjustRightInd/>
      <w:snapToGrid/>
      <w:spacing w:after="0" w:line="351" w:lineRule="atLeast"/>
      <w:ind w:firstLine="419"/>
      <w:jc w:val="both"/>
      <w:textAlignment w:val="baseline"/>
    </w:pPr>
    <w:rPr>
      <w:rFonts w:ascii="宋体" w:hAnsi="Times New Roman" w:eastAsia="宋体" w:cs="Times New Roman"/>
      <w:color w:val="000000"/>
      <w:sz w:val="21"/>
      <w:szCs w:val="20"/>
      <w:u w:color="000000"/>
    </w:rPr>
  </w:style>
  <w:style w:type="paragraph" w:styleId="13">
    <w:name w:val="Balloon Text"/>
    <w:basedOn w:val="1"/>
    <w:link w:val="46"/>
    <w:qFormat/>
    <w:uiPriority w:val="99"/>
    <w:pPr>
      <w:widowControl w:val="0"/>
      <w:adjustRightInd/>
      <w:snapToGrid/>
      <w:spacing w:after="0"/>
      <w:jc w:val="both"/>
    </w:pPr>
    <w:rPr>
      <w:rFonts w:ascii="Times New Roman" w:hAnsi="Times New Roman" w:eastAsia="宋体" w:cs="Times New Roman"/>
      <w:kern w:val="2"/>
      <w:sz w:val="18"/>
      <w:szCs w:val="18"/>
    </w:rPr>
  </w:style>
  <w:style w:type="paragraph" w:styleId="14">
    <w:name w:val="footer"/>
    <w:basedOn w:val="1"/>
    <w:link w:val="38"/>
    <w:unhideWhenUsed/>
    <w:qFormat/>
    <w:uiPriority w:val="99"/>
    <w:pPr>
      <w:tabs>
        <w:tab w:val="center" w:pos="4153"/>
        <w:tab w:val="right" w:pos="8306"/>
      </w:tabs>
    </w:pPr>
    <w:rPr>
      <w:sz w:val="18"/>
      <w:szCs w:val="18"/>
    </w:rPr>
  </w:style>
  <w:style w:type="paragraph" w:styleId="15">
    <w:name w:val="header"/>
    <w:basedOn w:val="1"/>
    <w:link w:val="37"/>
    <w:unhideWhenUsed/>
    <w:qFormat/>
    <w:uiPriority w:val="99"/>
    <w:pPr>
      <w:pBdr>
        <w:bottom w:val="single" w:color="auto" w:sz="6" w:space="1"/>
      </w:pBdr>
      <w:tabs>
        <w:tab w:val="center" w:pos="4153"/>
        <w:tab w:val="right" w:pos="8306"/>
      </w:tabs>
      <w:jc w:val="center"/>
    </w:pPr>
    <w:rPr>
      <w:sz w:val="18"/>
      <w:szCs w:val="18"/>
    </w:rPr>
  </w:style>
  <w:style w:type="paragraph" w:styleId="16">
    <w:name w:val="toc 1"/>
    <w:basedOn w:val="1"/>
    <w:next w:val="1"/>
    <w:qFormat/>
    <w:uiPriority w:val="39"/>
    <w:pPr>
      <w:widowControl w:val="0"/>
      <w:tabs>
        <w:tab w:val="right" w:leader="dot" w:pos="8777"/>
      </w:tabs>
      <w:adjustRightInd/>
      <w:snapToGrid/>
      <w:spacing w:after="0" w:line="360" w:lineRule="auto"/>
      <w:jc w:val="both"/>
    </w:pPr>
    <w:rPr>
      <w:rFonts w:ascii="Times New Roman" w:hAnsi="Times New Roman" w:eastAsia="黑体" w:cs="Times New Roman"/>
      <w:kern w:val="2"/>
      <w:sz w:val="32"/>
      <w:szCs w:val="32"/>
    </w:rPr>
  </w:style>
  <w:style w:type="paragraph" w:styleId="17">
    <w:name w:val="footnote text"/>
    <w:basedOn w:val="1"/>
    <w:link w:val="47"/>
    <w:qFormat/>
    <w:uiPriority w:val="99"/>
    <w:pPr>
      <w:widowControl w:val="0"/>
      <w:adjustRightInd/>
      <w:spacing w:after="0"/>
    </w:pPr>
    <w:rPr>
      <w:rFonts w:ascii="Times New Roman" w:hAnsi="Times New Roman" w:eastAsia="宋体" w:cs="Times New Roman"/>
      <w:kern w:val="2"/>
      <w:sz w:val="18"/>
      <w:szCs w:val="18"/>
    </w:rPr>
  </w:style>
  <w:style w:type="paragraph" w:styleId="18">
    <w:name w:val="toc 2"/>
    <w:basedOn w:val="1"/>
    <w:next w:val="1"/>
    <w:qFormat/>
    <w:uiPriority w:val="39"/>
    <w:pPr>
      <w:widowControl w:val="0"/>
      <w:adjustRightInd/>
      <w:snapToGrid/>
      <w:spacing w:after="0"/>
      <w:ind w:left="420" w:leftChars="200"/>
      <w:jc w:val="both"/>
    </w:pPr>
    <w:rPr>
      <w:rFonts w:ascii="Times New Roman" w:hAnsi="Times New Roman" w:eastAsia="宋体" w:cs="Times New Roman"/>
      <w:kern w:val="2"/>
      <w:sz w:val="30"/>
      <w:szCs w:val="24"/>
    </w:rPr>
  </w:style>
  <w:style w:type="paragraph" w:styleId="19">
    <w:name w:val="HTML Preformatted"/>
    <w:basedOn w:val="1"/>
    <w:link w:val="48"/>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hAnsi="宋体" w:eastAsia="宋体" w:cs="宋体"/>
      <w:sz w:val="24"/>
      <w:szCs w:val="24"/>
    </w:rPr>
  </w:style>
  <w:style w:type="paragraph" w:styleId="20">
    <w:name w:val="Normal (Web)"/>
    <w:basedOn w:val="1"/>
    <w:qFormat/>
    <w:uiPriority w:val="99"/>
    <w:pPr>
      <w:adjustRightInd/>
      <w:snapToGrid/>
      <w:spacing w:before="100" w:beforeAutospacing="1" w:after="100" w:afterAutospacing="1"/>
    </w:pPr>
    <w:rPr>
      <w:rFonts w:ascii="宋体" w:hAnsi="宋体" w:eastAsia="宋体" w:cs="宋体"/>
      <w:sz w:val="24"/>
      <w:szCs w:val="24"/>
    </w:rPr>
  </w:style>
  <w:style w:type="paragraph" w:styleId="21">
    <w:name w:val="Title"/>
    <w:basedOn w:val="1"/>
    <w:next w:val="1"/>
    <w:link w:val="70"/>
    <w:qFormat/>
    <w:uiPriority w:val="0"/>
    <w:pPr>
      <w:widowControl w:val="0"/>
      <w:adjustRightInd/>
      <w:snapToGrid/>
      <w:spacing w:before="240" w:after="60"/>
      <w:jc w:val="center"/>
      <w:outlineLvl w:val="0"/>
    </w:pPr>
    <w:rPr>
      <w:rFonts w:eastAsia="宋体" w:asciiTheme="majorHAnsi" w:hAnsiTheme="majorHAnsi" w:cstheme="majorBidi"/>
      <w:b/>
      <w:bCs/>
      <w:kern w:val="2"/>
      <w:sz w:val="32"/>
      <w:szCs w:val="32"/>
    </w:rPr>
  </w:style>
  <w:style w:type="paragraph" w:styleId="22">
    <w:name w:val="annotation subject"/>
    <w:basedOn w:val="9"/>
    <w:next w:val="9"/>
    <w:link w:val="42"/>
    <w:qFormat/>
    <w:uiPriority w:val="99"/>
    <w:pPr>
      <w:widowControl w:val="0"/>
      <w:adjustRightInd/>
      <w:snapToGrid/>
      <w:spacing w:after="0"/>
    </w:pPr>
    <w:rPr>
      <w:rFonts w:ascii="Times New Roman" w:hAnsi="Times New Roman" w:eastAsia="宋体" w:cs="Times New Roman"/>
      <w:b/>
      <w:bCs/>
      <w:kern w:val="2"/>
      <w:sz w:val="21"/>
      <w:szCs w:val="24"/>
    </w:rPr>
  </w:style>
  <w:style w:type="character" w:styleId="25">
    <w:name w:val="page number"/>
    <w:basedOn w:val="24"/>
    <w:qFormat/>
    <w:uiPriority w:val="99"/>
  </w:style>
  <w:style w:type="character" w:styleId="26">
    <w:name w:val="FollowedHyperlink"/>
    <w:basedOn w:val="24"/>
    <w:unhideWhenUsed/>
    <w:qFormat/>
    <w:uiPriority w:val="99"/>
    <w:rPr>
      <w:color w:val="800080"/>
      <w:u w:val="single"/>
    </w:rPr>
  </w:style>
  <w:style w:type="character" w:styleId="27">
    <w:name w:val="Emphasis"/>
    <w:qFormat/>
    <w:uiPriority w:val="99"/>
    <w:rPr>
      <w:color w:val="CC0000"/>
    </w:rPr>
  </w:style>
  <w:style w:type="character" w:styleId="28">
    <w:name w:val="Hyperlink"/>
    <w:qFormat/>
    <w:uiPriority w:val="99"/>
    <w:rPr>
      <w:color w:val="0000FF"/>
      <w:u w:val="single"/>
    </w:rPr>
  </w:style>
  <w:style w:type="character" w:styleId="29">
    <w:name w:val="annotation reference"/>
    <w:basedOn w:val="24"/>
    <w:qFormat/>
    <w:uiPriority w:val="99"/>
    <w:rPr>
      <w:sz w:val="21"/>
      <w:szCs w:val="21"/>
    </w:rPr>
  </w:style>
  <w:style w:type="character" w:styleId="30">
    <w:name w:val="footnote reference"/>
    <w:basedOn w:val="24"/>
    <w:qFormat/>
    <w:uiPriority w:val="99"/>
    <w:rPr>
      <w:vertAlign w:val="superscript"/>
    </w:rPr>
  </w:style>
  <w:style w:type="character" w:customStyle="1" w:styleId="31">
    <w:name w:val="标题 1 字符"/>
    <w:basedOn w:val="24"/>
    <w:link w:val="2"/>
    <w:qFormat/>
    <w:uiPriority w:val="99"/>
    <w:rPr>
      <w:rFonts w:ascii="Times New Roman" w:hAnsi="Times New Roman" w:eastAsia="黑体" w:cs="Times New Roman"/>
      <w:b/>
      <w:bCs/>
      <w:color w:val="000000"/>
      <w:kern w:val="44"/>
      <w:sz w:val="36"/>
      <w:szCs w:val="44"/>
      <w:u w:color="000000"/>
    </w:rPr>
  </w:style>
  <w:style w:type="character" w:customStyle="1" w:styleId="32">
    <w:name w:val="标题 2 字符"/>
    <w:basedOn w:val="24"/>
    <w:link w:val="3"/>
    <w:qFormat/>
    <w:uiPriority w:val="99"/>
    <w:rPr>
      <w:rFonts w:ascii="Arial" w:hAnsi="Arial" w:eastAsia="黑体" w:cs="Times New Roman"/>
      <w:b/>
      <w:bCs/>
      <w:kern w:val="2"/>
      <w:sz w:val="32"/>
      <w:szCs w:val="32"/>
    </w:rPr>
  </w:style>
  <w:style w:type="character" w:customStyle="1" w:styleId="33">
    <w:name w:val="标题 3 字符"/>
    <w:basedOn w:val="24"/>
    <w:link w:val="4"/>
    <w:qFormat/>
    <w:uiPriority w:val="99"/>
    <w:rPr>
      <w:rFonts w:ascii="Times New Roman" w:hAnsi="Times New Roman" w:eastAsia="仿宋_GB2312" w:cs="Times New Roman"/>
      <w:b/>
      <w:bCs/>
      <w:sz w:val="30"/>
      <w:szCs w:val="32"/>
      <w:u w:color="000000"/>
    </w:rPr>
  </w:style>
  <w:style w:type="character" w:customStyle="1" w:styleId="34">
    <w:name w:val="标题 4 字符"/>
    <w:basedOn w:val="24"/>
    <w:link w:val="5"/>
    <w:qFormat/>
    <w:uiPriority w:val="0"/>
    <w:rPr>
      <w:rFonts w:asciiTheme="majorHAnsi" w:hAnsiTheme="majorHAnsi" w:eastAsiaTheme="majorEastAsia" w:cstheme="majorBidi"/>
      <w:b/>
      <w:bCs/>
      <w:kern w:val="2"/>
      <w:sz w:val="28"/>
      <w:szCs w:val="28"/>
    </w:rPr>
  </w:style>
  <w:style w:type="character" w:customStyle="1" w:styleId="35">
    <w:name w:val="标题 5 字符"/>
    <w:basedOn w:val="24"/>
    <w:link w:val="6"/>
    <w:qFormat/>
    <w:uiPriority w:val="0"/>
    <w:rPr>
      <w:rFonts w:ascii="Times New Roman" w:hAnsi="Times New Roman" w:eastAsia="宋体" w:cs="Times New Roman"/>
      <w:b/>
      <w:bCs/>
      <w:kern w:val="2"/>
      <w:sz w:val="28"/>
      <w:szCs w:val="28"/>
    </w:rPr>
  </w:style>
  <w:style w:type="character" w:customStyle="1" w:styleId="36">
    <w:name w:val="标题 6 字符"/>
    <w:basedOn w:val="24"/>
    <w:link w:val="7"/>
    <w:qFormat/>
    <w:uiPriority w:val="0"/>
    <w:rPr>
      <w:rFonts w:asciiTheme="majorHAnsi" w:hAnsiTheme="majorHAnsi" w:eastAsiaTheme="majorEastAsia" w:cstheme="majorBidi"/>
      <w:b/>
      <w:bCs/>
      <w:kern w:val="2"/>
      <w:sz w:val="24"/>
      <w:szCs w:val="24"/>
    </w:rPr>
  </w:style>
  <w:style w:type="character" w:customStyle="1" w:styleId="37">
    <w:name w:val="页眉 字符"/>
    <w:basedOn w:val="24"/>
    <w:link w:val="15"/>
    <w:qFormat/>
    <w:uiPriority w:val="99"/>
    <w:rPr>
      <w:rFonts w:ascii="Tahoma" w:hAnsi="Tahoma"/>
      <w:sz w:val="18"/>
      <w:szCs w:val="18"/>
    </w:rPr>
  </w:style>
  <w:style w:type="character" w:customStyle="1" w:styleId="38">
    <w:name w:val="页脚 字符"/>
    <w:basedOn w:val="24"/>
    <w:link w:val="14"/>
    <w:qFormat/>
    <w:uiPriority w:val="99"/>
    <w:rPr>
      <w:rFonts w:ascii="Tahoma" w:hAnsi="Tahoma"/>
      <w:sz w:val="18"/>
      <w:szCs w:val="18"/>
    </w:rPr>
  </w:style>
  <w:style w:type="paragraph" w:customStyle="1" w:styleId="39">
    <w:name w:val="标题1"/>
    <w:basedOn w:val="1"/>
    <w:qFormat/>
    <w:uiPriority w:val="0"/>
    <w:pPr>
      <w:widowControl w:val="0"/>
      <w:adjustRightInd/>
      <w:snapToGrid/>
      <w:spacing w:after="0"/>
      <w:ind w:firstLine="640" w:firstLineChars="200"/>
      <w:jc w:val="center"/>
    </w:pPr>
    <w:rPr>
      <w:rFonts w:ascii="Times New Roman" w:hAnsi="Times New Roman" w:eastAsia="黑体" w:cs="Times New Roman"/>
      <w:kern w:val="2"/>
      <w:sz w:val="32"/>
      <w:szCs w:val="21"/>
    </w:rPr>
  </w:style>
  <w:style w:type="paragraph" w:styleId="40">
    <w:name w:val="List Paragraph"/>
    <w:basedOn w:val="1"/>
    <w:qFormat/>
    <w:uiPriority w:val="99"/>
    <w:pPr>
      <w:ind w:firstLine="420" w:firstLineChars="200"/>
    </w:pPr>
  </w:style>
  <w:style w:type="character" w:customStyle="1" w:styleId="41">
    <w:name w:val="批注文字 字符"/>
    <w:basedOn w:val="24"/>
    <w:link w:val="9"/>
    <w:qFormat/>
    <w:uiPriority w:val="99"/>
    <w:rPr>
      <w:rFonts w:ascii="Tahoma" w:hAnsi="Tahoma"/>
    </w:rPr>
  </w:style>
  <w:style w:type="character" w:customStyle="1" w:styleId="42">
    <w:name w:val="批注主题 字符"/>
    <w:basedOn w:val="41"/>
    <w:link w:val="22"/>
    <w:qFormat/>
    <w:uiPriority w:val="99"/>
    <w:rPr>
      <w:rFonts w:ascii="Times New Roman" w:hAnsi="Times New Roman" w:eastAsia="宋体" w:cs="Times New Roman"/>
      <w:b/>
      <w:bCs/>
      <w:kern w:val="2"/>
      <w:sz w:val="21"/>
      <w:szCs w:val="24"/>
    </w:rPr>
  </w:style>
  <w:style w:type="character" w:customStyle="1" w:styleId="43">
    <w:name w:val="文档结构图 字符"/>
    <w:basedOn w:val="24"/>
    <w:link w:val="8"/>
    <w:semiHidden/>
    <w:qFormat/>
    <w:uiPriority w:val="99"/>
    <w:rPr>
      <w:rFonts w:ascii="Times New Roman" w:hAnsi="Times New Roman" w:eastAsia="宋体" w:cs="Times New Roman"/>
      <w:kern w:val="2"/>
      <w:sz w:val="21"/>
      <w:szCs w:val="24"/>
      <w:shd w:val="clear" w:color="auto" w:fill="000080"/>
    </w:rPr>
  </w:style>
  <w:style w:type="character" w:customStyle="1" w:styleId="44">
    <w:name w:val="正文文本 字符"/>
    <w:basedOn w:val="24"/>
    <w:link w:val="10"/>
    <w:qFormat/>
    <w:uiPriority w:val="99"/>
    <w:rPr>
      <w:rFonts w:ascii="Times New Roman" w:hAnsi="Times New Roman" w:eastAsia="宋体" w:cs="Times New Roman"/>
      <w:kern w:val="2"/>
      <w:sz w:val="21"/>
      <w:szCs w:val="24"/>
    </w:rPr>
  </w:style>
  <w:style w:type="character" w:customStyle="1" w:styleId="45">
    <w:name w:val="纯文本 字符"/>
    <w:basedOn w:val="24"/>
    <w:link w:val="12"/>
    <w:qFormat/>
    <w:uiPriority w:val="99"/>
    <w:rPr>
      <w:rFonts w:ascii="宋体" w:hAnsi="Times New Roman" w:eastAsia="宋体" w:cs="Times New Roman"/>
      <w:color w:val="000000"/>
      <w:sz w:val="21"/>
      <w:szCs w:val="20"/>
      <w:u w:color="000000"/>
    </w:rPr>
  </w:style>
  <w:style w:type="character" w:customStyle="1" w:styleId="46">
    <w:name w:val="批注框文本 字符"/>
    <w:basedOn w:val="24"/>
    <w:link w:val="13"/>
    <w:qFormat/>
    <w:uiPriority w:val="99"/>
    <w:rPr>
      <w:rFonts w:ascii="Times New Roman" w:hAnsi="Times New Roman" w:eastAsia="宋体" w:cs="Times New Roman"/>
      <w:kern w:val="2"/>
      <w:sz w:val="18"/>
      <w:szCs w:val="18"/>
    </w:rPr>
  </w:style>
  <w:style w:type="character" w:customStyle="1" w:styleId="47">
    <w:name w:val="脚注文本 字符"/>
    <w:basedOn w:val="24"/>
    <w:link w:val="17"/>
    <w:qFormat/>
    <w:uiPriority w:val="99"/>
    <w:rPr>
      <w:rFonts w:ascii="Times New Roman" w:hAnsi="Times New Roman" w:eastAsia="宋体" w:cs="Times New Roman"/>
      <w:kern w:val="2"/>
      <w:sz w:val="18"/>
      <w:szCs w:val="18"/>
    </w:rPr>
  </w:style>
  <w:style w:type="character" w:customStyle="1" w:styleId="48">
    <w:name w:val="HTML 预设格式 字符"/>
    <w:basedOn w:val="24"/>
    <w:link w:val="19"/>
    <w:qFormat/>
    <w:uiPriority w:val="0"/>
    <w:rPr>
      <w:rFonts w:ascii="宋体" w:hAnsi="宋体" w:eastAsia="宋体" w:cs="宋体"/>
      <w:sz w:val="24"/>
      <w:szCs w:val="24"/>
    </w:rPr>
  </w:style>
  <w:style w:type="paragraph" w:customStyle="1" w:styleId="49">
    <w:name w:val="xl69"/>
    <w:basedOn w:val="1"/>
    <w:qFormat/>
    <w:uiPriority w:val="99"/>
    <w:pPr>
      <w:pBdr>
        <w:top w:val="single" w:color="auto" w:sz="8" w:space="0"/>
        <w:left w:val="single" w:color="auto" w:sz="8" w:space="0"/>
        <w:right w:val="single" w:color="auto" w:sz="8" w:space="0"/>
      </w:pBdr>
      <w:adjustRightInd/>
      <w:snapToGrid/>
      <w:spacing w:before="100" w:beforeAutospacing="1" w:after="100" w:afterAutospacing="1"/>
      <w:jc w:val="center"/>
    </w:pPr>
    <w:rPr>
      <w:rFonts w:ascii="宋体" w:hAnsi="宋体" w:eastAsia="宋体" w:cs="宋体"/>
      <w:b/>
      <w:bCs/>
      <w:sz w:val="24"/>
      <w:szCs w:val="24"/>
    </w:rPr>
  </w:style>
  <w:style w:type="paragraph" w:customStyle="1" w:styleId="50">
    <w:name w:val="xl74"/>
    <w:basedOn w:val="1"/>
    <w:qFormat/>
    <w:uiPriority w:val="99"/>
    <w:pPr>
      <w:pBdr>
        <w:right w:val="single" w:color="auto" w:sz="8" w:space="0"/>
      </w:pBdr>
      <w:adjustRightInd/>
      <w:snapToGrid/>
      <w:spacing w:before="100" w:beforeAutospacing="1" w:after="100" w:afterAutospacing="1"/>
      <w:jc w:val="center"/>
    </w:pPr>
    <w:rPr>
      <w:rFonts w:ascii="宋体" w:hAnsi="宋体" w:eastAsia="宋体" w:cs="宋体"/>
    </w:rPr>
  </w:style>
  <w:style w:type="paragraph" w:customStyle="1" w:styleId="51">
    <w:name w:val="xl70"/>
    <w:basedOn w:val="1"/>
    <w:qFormat/>
    <w:uiPriority w:val="99"/>
    <w:pPr>
      <w:pBdr>
        <w:left w:val="single" w:color="auto" w:sz="8" w:space="0"/>
        <w:bottom w:val="single" w:color="auto" w:sz="8" w:space="0"/>
        <w:right w:val="single" w:color="auto" w:sz="8" w:space="0"/>
      </w:pBdr>
      <w:adjustRightInd/>
      <w:snapToGrid/>
      <w:spacing w:before="100" w:beforeAutospacing="1" w:after="100" w:afterAutospacing="1"/>
      <w:jc w:val="center"/>
    </w:pPr>
    <w:rPr>
      <w:rFonts w:ascii="宋体" w:hAnsi="宋体" w:eastAsia="宋体" w:cs="宋体"/>
      <w:b/>
      <w:bCs/>
      <w:sz w:val="24"/>
      <w:szCs w:val="24"/>
    </w:rPr>
  </w:style>
  <w:style w:type="paragraph" w:customStyle="1" w:styleId="52">
    <w:name w:val="font7"/>
    <w:basedOn w:val="1"/>
    <w:qFormat/>
    <w:uiPriority w:val="99"/>
    <w:pPr>
      <w:adjustRightInd/>
      <w:snapToGrid/>
      <w:spacing w:before="100" w:beforeAutospacing="1" w:after="100" w:afterAutospacing="1"/>
    </w:pPr>
    <w:rPr>
      <w:rFonts w:ascii="宋体" w:hAnsi="宋体" w:eastAsia="宋体" w:cs="宋体"/>
      <w:color w:val="000000"/>
      <w:sz w:val="24"/>
      <w:szCs w:val="24"/>
    </w:rPr>
  </w:style>
  <w:style w:type="paragraph" w:customStyle="1" w:styleId="53">
    <w:name w:val="xl72"/>
    <w:basedOn w:val="1"/>
    <w:qFormat/>
    <w:uiPriority w:val="99"/>
    <w:pPr>
      <w:pBdr>
        <w:bottom w:val="single" w:color="auto" w:sz="8" w:space="0"/>
        <w:right w:val="single" w:color="auto" w:sz="8" w:space="0"/>
      </w:pBdr>
      <w:adjustRightInd/>
      <w:snapToGrid/>
      <w:spacing w:before="100" w:beforeAutospacing="1" w:after="100" w:afterAutospacing="1"/>
      <w:jc w:val="center"/>
    </w:pPr>
    <w:rPr>
      <w:rFonts w:ascii="宋体" w:hAnsi="宋体" w:eastAsia="宋体" w:cs="宋体"/>
      <w:b/>
      <w:bCs/>
    </w:rPr>
  </w:style>
  <w:style w:type="paragraph" w:customStyle="1" w:styleId="54">
    <w:name w:val="xl67"/>
    <w:basedOn w:val="1"/>
    <w:qFormat/>
    <w:uiPriority w:val="99"/>
    <w:pPr>
      <w:pBdr>
        <w:bottom w:val="single" w:color="auto" w:sz="8" w:space="0"/>
        <w:right w:val="single" w:color="auto" w:sz="8" w:space="0"/>
      </w:pBdr>
      <w:adjustRightInd/>
      <w:snapToGrid/>
      <w:spacing w:before="100" w:beforeAutospacing="1" w:after="100" w:afterAutospacing="1"/>
      <w:jc w:val="center"/>
    </w:pPr>
    <w:rPr>
      <w:rFonts w:ascii="宋体" w:hAnsi="宋体" w:eastAsia="宋体" w:cs="宋体"/>
      <w:b/>
      <w:bCs/>
      <w:sz w:val="24"/>
      <w:szCs w:val="24"/>
    </w:rPr>
  </w:style>
  <w:style w:type="paragraph" w:customStyle="1" w:styleId="55">
    <w:name w:val="font5"/>
    <w:basedOn w:val="1"/>
    <w:qFormat/>
    <w:uiPriority w:val="99"/>
    <w:pPr>
      <w:adjustRightInd/>
      <w:snapToGrid/>
      <w:spacing w:before="100" w:beforeAutospacing="1" w:after="100" w:afterAutospacing="1"/>
    </w:pPr>
    <w:rPr>
      <w:rFonts w:ascii="宋体" w:hAnsi="宋体" w:eastAsia="宋体" w:cs="宋体"/>
      <w:b/>
      <w:bCs/>
      <w:color w:val="000000"/>
      <w:sz w:val="24"/>
      <w:szCs w:val="24"/>
    </w:rPr>
  </w:style>
  <w:style w:type="paragraph" w:customStyle="1" w:styleId="56">
    <w:name w:val="xl65"/>
    <w:basedOn w:val="1"/>
    <w:qFormat/>
    <w:uiPriority w:val="99"/>
    <w:pPr>
      <w:adjustRightInd/>
      <w:snapToGrid/>
      <w:spacing w:before="100" w:beforeAutospacing="1" w:after="100" w:afterAutospacing="1"/>
    </w:pPr>
    <w:rPr>
      <w:rFonts w:ascii="宋体" w:hAnsi="宋体" w:eastAsia="宋体" w:cs="宋体"/>
      <w:sz w:val="24"/>
      <w:szCs w:val="24"/>
    </w:rPr>
  </w:style>
  <w:style w:type="paragraph" w:customStyle="1" w:styleId="57">
    <w:name w:val="font6"/>
    <w:basedOn w:val="1"/>
    <w:qFormat/>
    <w:uiPriority w:val="99"/>
    <w:pPr>
      <w:adjustRightInd/>
      <w:snapToGrid/>
      <w:spacing w:before="100" w:beforeAutospacing="1" w:after="100" w:afterAutospacing="1"/>
    </w:pPr>
    <w:rPr>
      <w:rFonts w:ascii="宋体" w:hAnsi="宋体" w:eastAsia="宋体" w:cs="宋体"/>
      <w:color w:val="000000"/>
    </w:rPr>
  </w:style>
  <w:style w:type="paragraph" w:customStyle="1" w:styleId="58">
    <w:name w:val="xl75"/>
    <w:basedOn w:val="1"/>
    <w:qFormat/>
    <w:uiPriority w:val="99"/>
    <w:pPr>
      <w:pBdr>
        <w:bottom w:val="single" w:color="auto" w:sz="8" w:space="0"/>
        <w:right w:val="single" w:color="auto" w:sz="8" w:space="0"/>
      </w:pBdr>
      <w:adjustRightInd/>
      <w:snapToGrid/>
      <w:spacing w:before="100" w:beforeAutospacing="1" w:after="100" w:afterAutospacing="1"/>
      <w:jc w:val="center"/>
    </w:pPr>
    <w:rPr>
      <w:rFonts w:ascii="宋体" w:hAnsi="宋体" w:eastAsia="宋体" w:cs="宋体"/>
    </w:rPr>
  </w:style>
  <w:style w:type="paragraph" w:customStyle="1" w:styleId="59">
    <w:name w:val="Char Char Char Char Char Char1 Char"/>
    <w:basedOn w:val="1"/>
    <w:qFormat/>
    <w:uiPriority w:val="99"/>
    <w:pPr>
      <w:adjustRightInd/>
      <w:snapToGrid/>
      <w:spacing w:after="160" w:line="240" w:lineRule="exact"/>
    </w:pPr>
    <w:rPr>
      <w:rFonts w:ascii="Times New Roman" w:hAnsi="Times New Roman" w:eastAsia="宋体" w:cs="Times New Roman"/>
      <w:kern w:val="2"/>
      <w:sz w:val="21"/>
      <w:szCs w:val="24"/>
    </w:rPr>
  </w:style>
  <w:style w:type="paragraph" w:customStyle="1" w:styleId="60">
    <w:name w:val="xl68"/>
    <w:basedOn w:val="1"/>
    <w:qFormat/>
    <w:uiPriority w:val="99"/>
    <w:pPr>
      <w:pBdr>
        <w:bottom w:val="single" w:color="auto" w:sz="8" w:space="0"/>
        <w:right w:val="single" w:color="auto" w:sz="8" w:space="0"/>
      </w:pBdr>
      <w:adjustRightInd/>
      <w:snapToGrid/>
      <w:spacing w:before="100" w:beforeAutospacing="1" w:after="100" w:afterAutospacing="1"/>
      <w:jc w:val="center"/>
      <w:textAlignment w:val="top"/>
    </w:pPr>
    <w:rPr>
      <w:rFonts w:ascii="宋体" w:hAnsi="宋体" w:eastAsia="宋体" w:cs="宋体"/>
    </w:rPr>
  </w:style>
  <w:style w:type="paragraph" w:customStyle="1" w:styleId="61">
    <w:name w:val="xl66"/>
    <w:basedOn w:val="1"/>
    <w:qFormat/>
    <w:uiPriority w:val="99"/>
    <w:pPr>
      <w:pBdr>
        <w:top w:val="single" w:color="auto" w:sz="8" w:space="0"/>
        <w:bottom w:val="single" w:color="auto" w:sz="8" w:space="0"/>
        <w:right w:val="single" w:color="auto" w:sz="8" w:space="0"/>
      </w:pBdr>
      <w:adjustRightInd/>
      <w:snapToGrid/>
      <w:spacing w:before="100" w:beforeAutospacing="1" w:after="100" w:afterAutospacing="1"/>
      <w:jc w:val="center"/>
    </w:pPr>
    <w:rPr>
      <w:rFonts w:ascii="宋体" w:hAnsi="宋体" w:eastAsia="宋体" w:cs="宋体"/>
      <w:b/>
      <w:bCs/>
      <w:sz w:val="24"/>
      <w:szCs w:val="24"/>
    </w:rPr>
  </w:style>
  <w:style w:type="paragraph" w:customStyle="1" w:styleId="62">
    <w:name w:val="xl73"/>
    <w:basedOn w:val="1"/>
    <w:qFormat/>
    <w:uiPriority w:val="99"/>
    <w:pPr>
      <w:pBdr>
        <w:top w:val="single" w:color="auto" w:sz="8" w:space="0"/>
        <w:right w:val="single" w:color="auto" w:sz="8" w:space="0"/>
      </w:pBdr>
      <w:adjustRightInd/>
      <w:snapToGrid/>
      <w:spacing w:before="100" w:beforeAutospacing="1" w:after="100" w:afterAutospacing="1"/>
      <w:jc w:val="center"/>
    </w:pPr>
    <w:rPr>
      <w:rFonts w:ascii="宋体" w:hAnsi="宋体" w:eastAsia="宋体" w:cs="宋体"/>
      <w:b/>
      <w:bCs/>
      <w:sz w:val="24"/>
      <w:szCs w:val="24"/>
    </w:rPr>
  </w:style>
  <w:style w:type="paragraph" w:customStyle="1" w:styleId="63">
    <w:name w:val="xl71"/>
    <w:basedOn w:val="1"/>
    <w:qFormat/>
    <w:uiPriority w:val="99"/>
    <w:pPr>
      <w:pBdr>
        <w:right w:val="single" w:color="auto" w:sz="8" w:space="0"/>
      </w:pBdr>
      <w:adjustRightInd/>
      <w:snapToGrid/>
      <w:spacing w:before="100" w:beforeAutospacing="1" w:after="100" w:afterAutospacing="1"/>
      <w:jc w:val="center"/>
    </w:pPr>
    <w:rPr>
      <w:rFonts w:ascii="宋体" w:hAnsi="宋体" w:eastAsia="宋体" w:cs="宋体"/>
      <w:b/>
      <w:bCs/>
    </w:rPr>
  </w:style>
  <w:style w:type="paragraph" w:customStyle="1" w:styleId="64">
    <w:name w:val="样式 标题 2 + 行距: 固定值 30 磅"/>
    <w:basedOn w:val="3"/>
    <w:qFormat/>
    <w:uiPriority w:val="99"/>
    <w:pPr>
      <w:widowControl/>
      <w:spacing w:line="600" w:lineRule="exact"/>
      <w:jc w:val="left"/>
      <w:textAlignment w:val="baseline"/>
    </w:pPr>
    <w:rPr>
      <w:rFonts w:eastAsia="楷体_GB2312" w:cs="宋体"/>
      <w:color w:val="000000"/>
      <w:kern w:val="0"/>
      <w:szCs w:val="20"/>
      <w:u w:color="000000"/>
    </w:rPr>
  </w:style>
  <w:style w:type="paragraph" w:customStyle="1" w:styleId="65">
    <w:name w:val="列出段落1"/>
    <w:basedOn w:val="1"/>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4"/>
    </w:rPr>
  </w:style>
  <w:style w:type="paragraph" w:customStyle="1" w:styleId="66">
    <w:name w:val="Char Char"/>
    <w:basedOn w:val="1"/>
    <w:qFormat/>
    <w:uiPriority w:val="0"/>
    <w:pPr>
      <w:widowControl w:val="0"/>
      <w:adjustRightInd/>
      <w:snapToGrid/>
      <w:spacing w:after="0"/>
      <w:jc w:val="both"/>
    </w:pPr>
    <w:rPr>
      <w:rFonts w:ascii="Times New Roman" w:hAnsi="Times New Roman" w:eastAsia="宋体" w:cs="Times New Roman"/>
      <w:kern w:val="2"/>
      <w:sz w:val="21"/>
      <w:szCs w:val="24"/>
    </w:rPr>
  </w:style>
  <w:style w:type="paragraph" w:customStyle="1" w:styleId="67">
    <w:name w:val="Char"/>
    <w:basedOn w:val="1"/>
    <w:qFormat/>
    <w:uiPriority w:val="99"/>
    <w:pPr>
      <w:adjustRightInd/>
      <w:snapToGrid/>
      <w:spacing w:after="160" w:line="240" w:lineRule="exact"/>
    </w:pPr>
    <w:rPr>
      <w:rFonts w:ascii="Calibri" w:hAnsi="Calibri" w:eastAsia="宋体" w:cs="Times New Roman"/>
      <w:kern w:val="2"/>
      <w:sz w:val="21"/>
    </w:rPr>
  </w:style>
  <w:style w:type="paragraph" w:customStyle="1" w:styleId="68">
    <w:name w:val="p"/>
    <w:basedOn w:val="1"/>
    <w:qFormat/>
    <w:uiPriority w:val="99"/>
    <w:pPr>
      <w:adjustRightInd/>
      <w:snapToGrid/>
      <w:spacing w:before="100" w:beforeAutospacing="1" w:after="100" w:afterAutospacing="1"/>
    </w:pPr>
    <w:rPr>
      <w:rFonts w:ascii="宋体" w:hAnsi="宋体" w:eastAsia="宋体" w:cs="宋体"/>
      <w:sz w:val="24"/>
      <w:szCs w:val="24"/>
    </w:rPr>
  </w:style>
  <w:style w:type="paragraph" w:customStyle="1" w:styleId="69">
    <w:name w:val="默认段落字体 Para Char Char Char Char"/>
    <w:basedOn w:val="1"/>
    <w:qFormat/>
    <w:uiPriority w:val="99"/>
    <w:pPr>
      <w:widowControl w:val="0"/>
      <w:adjustRightInd/>
      <w:snapToGrid/>
      <w:spacing w:after="0"/>
      <w:jc w:val="both"/>
    </w:pPr>
    <w:rPr>
      <w:rFonts w:ascii="Times New Roman" w:hAnsi="Times New Roman" w:eastAsia="宋体" w:cs="Times New Roman"/>
      <w:sz w:val="21"/>
      <w:szCs w:val="20"/>
      <w:lang w:eastAsia="en-US"/>
    </w:rPr>
  </w:style>
  <w:style w:type="character" w:customStyle="1" w:styleId="70">
    <w:name w:val="标题 字符"/>
    <w:basedOn w:val="24"/>
    <w:link w:val="21"/>
    <w:qFormat/>
    <w:uiPriority w:val="0"/>
    <w:rPr>
      <w:rFonts w:eastAsia="宋体" w:asciiTheme="majorHAnsi" w:hAnsiTheme="majorHAnsi" w:cstheme="majorBidi"/>
      <w:b/>
      <w:bCs/>
      <w:kern w:val="2"/>
      <w:sz w:val="32"/>
      <w:szCs w:val="32"/>
    </w:rPr>
  </w:style>
  <w:style w:type="paragraph" w:customStyle="1" w:styleId="71">
    <w:name w:val="TOC 标题1"/>
    <w:basedOn w:val="2"/>
    <w:next w:val="1"/>
    <w:unhideWhenUsed/>
    <w:qFormat/>
    <w:uiPriority w:val="39"/>
    <w:pPr>
      <w:spacing w:before="480" w:after="0" w:line="276" w:lineRule="auto"/>
      <w:jc w:val="left"/>
      <w:textAlignment w:val="auto"/>
      <w:outlineLvl w:val="9"/>
    </w:pPr>
    <w:rPr>
      <w:rFonts w:asciiTheme="majorHAnsi" w:hAnsiTheme="majorHAnsi" w:eastAsiaTheme="majorEastAsia" w:cstheme="majorBidi"/>
      <w:color w:val="366091" w:themeColor="accent1" w:themeShade="BF"/>
      <w:kern w:val="0"/>
      <w:sz w:val="28"/>
      <w:szCs w:val="28"/>
    </w:rPr>
  </w:style>
  <w:style w:type="character" w:customStyle="1" w:styleId="72">
    <w:name w:val="font01"/>
    <w:basedOn w:val="24"/>
    <w:qFormat/>
    <w:uiPriority w:val="0"/>
    <w:rPr>
      <w:rFonts w:hint="eastAsia" w:ascii="宋体" w:hAnsi="宋体" w:eastAsia="宋体" w:cs="宋体"/>
      <w:b/>
      <w:color w:val="000000"/>
      <w:sz w:val="32"/>
      <w:szCs w:val="32"/>
      <w:u w:val="none"/>
    </w:rPr>
  </w:style>
  <w:style w:type="character" w:customStyle="1" w:styleId="73">
    <w:name w:val="font21"/>
    <w:basedOn w:val="24"/>
    <w:qFormat/>
    <w:uiPriority w:val="0"/>
    <w:rPr>
      <w:rFonts w:hint="default" w:ascii="Times New Roman" w:hAnsi="Times New Roman" w:cs="Times New Roman"/>
      <w:b/>
      <w:color w:val="000000"/>
      <w:sz w:val="32"/>
      <w:szCs w:val="32"/>
      <w:u w:val="none"/>
    </w:rPr>
  </w:style>
  <w:style w:type="paragraph" w:customStyle="1" w:styleId="74">
    <w:name w:val="插入文本样式-插入总体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75">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chart" Target="charts/chart4.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1.&#39044;&#12289;&#20915;&#31639;\1.&#39044;&#31639;\&#39044;&#31639;\1.&#39044;&#31639;&#32534;&#21046;\&#20197;&#21069;&#24180;&#24230;&#39044;&#31639;\2.&#39033;&#30446;&#36164;&#26009;\2023\4.&#32489;&#25928;&#36816;&#34892;&#35780;&#20215;\2.&#37096;&#38376;&#25972;&#20307;&#25903;&#20986;&#32489;&#25928;&#35780;&#20215;\2022&#24180;&#25972;&#20307;&#25903;&#20986;&#19978;&#25253;&#36164;&#26009;\&#20934;&#22791;&#36164;&#26009;2&#12289;304&#24037;&#20449;&#23616;&#35780;&#20215;&#25253;&#21578;&#25554;&#20837;&#2227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1.&#39044;&#12289;&#20915;&#31639;\1.&#39044;&#31639;\&#39044;&#31639;\1.&#39044;&#31639;&#32534;&#21046;\&#20197;&#21069;&#24180;&#24230;&#39044;&#31639;\2.&#39033;&#30446;&#36164;&#26009;\2023\4.&#32489;&#25928;&#36816;&#34892;&#35780;&#20215;\2.&#37096;&#38376;&#25972;&#20307;&#25903;&#20986;&#32489;&#25928;&#35780;&#20215;\2022&#24180;&#25972;&#20307;&#25903;&#20986;&#19978;&#25253;&#36164;&#26009;\&#20934;&#22791;&#36164;&#26009;2&#12289;304&#24037;&#20449;&#23616;&#35780;&#20215;&#25253;&#21578;&#25554;&#20837;&#2227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1.&#39044;&#12289;&#20915;&#31639;\1.&#39044;&#31639;\&#39044;&#31639;\1.&#39044;&#31639;&#32534;&#21046;\&#20197;&#21069;&#24180;&#24230;&#39044;&#31639;\2.&#39033;&#30446;&#36164;&#26009;\2023\4.&#32489;&#25928;&#36816;&#34892;&#35780;&#20215;\2.&#37096;&#38376;&#25972;&#20307;&#25903;&#20986;&#32489;&#25928;&#35780;&#20215;\2022&#24180;&#25972;&#20307;&#25903;&#20986;&#19978;&#25253;&#36164;&#26009;\&#20934;&#22791;&#36164;&#26009;2&#12289;304&#24037;&#20449;&#23616;&#35780;&#20215;&#25253;&#21578;&#25554;&#20837;&#2227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E:\1.&#39044;&#12289;&#20915;&#31639;\1.&#39044;&#31639;\&#39044;&#31639;\1.&#39044;&#31639;&#32534;&#21046;\&#20197;&#21069;&#24180;&#24230;&#39044;&#31639;\2.&#39033;&#30446;&#36164;&#26009;\2023\4.&#32489;&#25928;&#36816;&#34892;&#35780;&#20215;\2.&#37096;&#38376;&#25972;&#20307;&#25903;&#20986;&#32489;&#25928;&#35780;&#20215;\2022&#24180;&#25972;&#20307;&#25903;&#20986;&#19978;&#25253;&#36164;&#26009;\&#20934;&#22791;&#36164;&#26009;2&#12289;304&#24037;&#20449;&#23616;&#35780;&#20215;&#25253;&#21578;&#25554;&#20837;&#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600" b="1" i="0" u="none" strike="noStrike" kern="1200" baseline="0">
              <a:solidFill>
                <a:schemeClr val="tx2"/>
              </a:solidFill>
              <a:latin typeface="+mn-lt"/>
              <a:ea typeface="+mn-ea"/>
              <a:cs typeface="+mn-cs"/>
            </a:defRPr>
          </a:pPr>
        </a:p>
      </c:txPr>
    </c:title>
    <c:autoTitleDeleted val="0"/>
    <c:plotArea>
      <c:layout/>
      <c:pieChart>
        <c:varyColors val="1"/>
        <c:ser>
          <c:idx val="0"/>
          <c:order val="0"/>
          <c:tx>
            <c:strRef>
              <c:f>[准备资料2、304工信局评价报告插入图.xlsx]决算功能分类收入划分!$A$4</c:f>
              <c:strCache>
                <c:ptCount val="1"/>
                <c:pt idx="0">
                  <c:v>金额</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dPt>
          <c:dLbls>
            <c:dLbl>
              <c:idx val="0"/>
              <c:layout>
                <c:manualLayout>
                  <c:x val="-0.0380137659833128"/>
                  <c:y val="0.0420121080856631"/>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3"/>
              <c:layout>
                <c:manualLayout>
                  <c:x val="-0.0560303845371463"/>
                  <c:y val="9.53548649374007e-17"/>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5"/>
              <c:layout>
                <c:manualLayout>
                  <c:x val="0.0687751157052051"/>
                  <c:y val="0.141438488056837"/>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6"/>
              <c:layout>
                <c:manualLayout>
                  <c:x val="0.146008563137185"/>
                  <c:y val="0.0388683932682505"/>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inEnd"/>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[准备资料2、304工信局评价报告插入图.xlsx]决算功能分类收入划分!$B$3:$H$3</c:f>
              <c:strCache>
                <c:ptCount val="7"/>
                <c:pt idx="0">
                  <c:v>一般公共服务支出</c:v>
                </c:pt>
                <c:pt idx="1">
                  <c:v>科学技术支出</c:v>
                </c:pt>
                <c:pt idx="2">
                  <c:v>社会保障和就业支出</c:v>
                </c:pt>
                <c:pt idx="3">
                  <c:v>卫生健康支出</c:v>
                </c:pt>
                <c:pt idx="4">
                  <c:v>城乡社区支出</c:v>
                </c:pt>
                <c:pt idx="5">
                  <c:v>资源勘探信息等支出</c:v>
                </c:pt>
                <c:pt idx="6">
                  <c:v>住房保障支出</c:v>
                </c:pt>
              </c:strCache>
            </c:strRef>
          </c:cat>
          <c:val>
            <c:numRef>
              <c:f>[准备资料2、304工信局评价报告插入图.xlsx]决算功能分类收入划分!$B$4:$H$4</c:f>
              <c:numCache>
                <c:formatCode>General</c:formatCode>
                <c:ptCount val="7"/>
                <c:pt idx="1">
                  <c:v>1832.76</c:v>
                </c:pt>
                <c:pt idx="2">
                  <c:v>219.6</c:v>
                </c:pt>
                <c:pt idx="5">
                  <c:v>702.16</c:v>
                </c:pt>
              </c:numCache>
            </c:numRef>
          </c:val>
        </c:ser>
        <c:ser>
          <c:idx val="1"/>
          <c:order val="1"/>
          <c:tx>
            <c:strRef>
              <c:f>[准备资料2、304工信局评价报告插入图.xlsx]决算功能分类收入划分!$A$5</c:f>
              <c:strCache>
                <c:ptCount val="1"/>
                <c:pt idx="0">
                  <c:v>比例</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[准备资料2、304工信局评价报告插入图.xlsx]决算功能分类收入划分!$B$3:$H$3</c:f>
              <c:strCache>
                <c:ptCount val="7"/>
                <c:pt idx="0">
                  <c:v>一般公共服务支出</c:v>
                </c:pt>
                <c:pt idx="1">
                  <c:v>科学技术支出</c:v>
                </c:pt>
                <c:pt idx="2">
                  <c:v>社会保障和就业支出</c:v>
                </c:pt>
                <c:pt idx="3">
                  <c:v>卫生健康支出</c:v>
                </c:pt>
                <c:pt idx="4">
                  <c:v>城乡社区支出</c:v>
                </c:pt>
                <c:pt idx="5">
                  <c:v>资源勘探信息等支出</c:v>
                </c:pt>
                <c:pt idx="6">
                  <c:v>住房保障支出</c:v>
                </c:pt>
              </c:strCache>
            </c:strRef>
          </c:cat>
          <c:val>
            <c:numRef>
              <c:f>[准备资料2、304工信局评价报告插入图.xlsx]决算功能分类收入划分!$B$5:$H$5</c:f>
              <c:numCache>
                <c:formatCode>General</c:formatCode>
                <c:ptCount val="7"/>
                <c:pt idx="1" c:formatCode="0.00%">
                  <c:v>0.665364564425018</c:v>
                </c:pt>
                <c:pt idx="2" c:formatCode="0.00%">
                  <c:v>0.0797235089961227</c:v>
                </c:pt>
                <c:pt idx="5" c:formatCode="0.00%">
                  <c:v>0.254911926578859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tx1"/>
                </a:solidFill>
                <a:latin typeface="+mn-lt"/>
                <a:ea typeface="+mn-ea"/>
                <a:cs typeface="+mn-cs"/>
              </a:defRPr>
            </a:pPr>
            <a:r>
              <a:t>202</a:t>
            </a:r>
            <a:r>
              <a:rPr lang="en-US" altLang="zh-CN"/>
              <a:t>2</a:t>
            </a:r>
            <a:r>
              <a:t>年度区工信局预算收入与决算收入对比图</a:t>
            </a:r>
          </a:p>
        </c:rich>
      </c:tx>
      <c:layout/>
      <c:overlay val="0"/>
    </c:title>
    <c:autoTitleDeleted val="0"/>
    <c:plotArea>
      <c:layout/>
      <c:barChart>
        <c:barDir val="col"/>
        <c:grouping val="clustered"/>
        <c:varyColors val="0"/>
        <c:ser>
          <c:idx val="0"/>
          <c:order val="0"/>
          <c:tx>
            <c:strRef>
              <c:f>[准备资料2、304工信局评价报告插入图.xlsx]年初预算、决算收入对比!$C$3</c:f>
              <c:strCache>
                <c:ptCount val="1"/>
                <c:pt idx="0">
                  <c:v>年初预算数</c:v>
                </c:pt>
              </c:strCache>
            </c:strRef>
          </c:tx>
          <c:invertIfNegative val="0"/>
          <c:dLbls>
            <c:dLbl>
              <c:idx val="2"/>
              <c:layout>
                <c:manualLayout>
                  <c:x val="-0.0142450142450142"/>
                  <c:y val="-0.028949545078577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delete val="1"/>
            </c:dLbl>
            <c:dLbl>
              <c:idx val="5"/>
              <c:layout>
                <c:manualLayout>
                  <c:x val="7.4615879314403e-17"/>
                  <c:y val="-0.037220843672456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6"/>
              <c:delete val="1"/>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[准备资料2、304工信局评价报告插入图.xlsx]年初预算、决算收入对比!$B$4:$B$10</c:f>
              <c:strCache>
                <c:ptCount val="7"/>
                <c:pt idx="0">
                  <c:v>科学技术支出</c:v>
                </c:pt>
                <c:pt idx="1">
                  <c:v>社会保障和就业支出</c:v>
                </c:pt>
                <c:pt idx="2">
                  <c:v>卫生健康支出</c:v>
                </c:pt>
                <c:pt idx="3">
                  <c:v>城乡社区支出</c:v>
                </c:pt>
                <c:pt idx="4">
                  <c:v>资源勘探信息等支出</c:v>
                </c:pt>
                <c:pt idx="5">
                  <c:v>住房保障支出</c:v>
                </c:pt>
                <c:pt idx="6">
                  <c:v>一般公共服务支出</c:v>
                </c:pt>
              </c:strCache>
            </c:strRef>
          </c:cat>
          <c:val>
            <c:numRef>
              <c:f>[准备资料2、304工信局评价报告插入图.xlsx]年初预算、决算收入对比!$C$4:$C$10</c:f>
              <c:numCache>
                <c:formatCode>General</c:formatCode>
                <c:ptCount val="7"/>
                <c:pt idx="0">
                  <c:v>1186.79</c:v>
                </c:pt>
                <c:pt idx="1">
                  <c:v>126.04</c:v>
                </c:pt>
                <c:pt idx="4">
                  <c:v>0</c:v>
                </c:pt>
              </c:numCache>
            </c:numRef>
          </c:val>
        </c:ser>
        <c:ser>
          <c:idx val="1"/>
          <c:order val="1"/>
          <c:tx>
            <c:strRef>
              <c:f>[准备资料2、304工信局评价报告插入图.xlsx]年初预算、决算收入对比!$D$3</c:f>
              <c:strCache>
                <c:ptCount val="1"/>
                <c:pt idx="0">
                  <c:v>决算数</c:v>
                </c:pt>
              </c:strCache>
            </c:strRef>
          </c:tx>
          <c:invertIfNegative val="0"/>
          <c:dLbls>
            <c:dLbl>
              <c:idx val="1"/>
              <c:layout>
                <c:manualLayout>
                  <c:x val="0.00810635538261997"/>
                  <c:y val="-0.049603174603174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22100122100121"/>
                  <c:y val="-0.0041356492969396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142450142450142"/>
                  <c:y val="0.012406947890818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[准备资料2、304工信局评价报告插入图.xlsx]年初预算、决算收入对比!$B$4:$B$10</c:f>
              <c:strCache>
                <c:ptCount val="7"/>
                <c:pt idx="0">
                  <c:v>科学技术支出</c:v>
                </c:pt>
                <c:pt idx="1">
                  <c:v>社会保障和就业支出</c:v>
                </c:pt>
                <c:pt idx="2">
                  <c:v>卫生健康支出</c:v>
                </c:pt>
                <c:pt idx="3">
                  <c:v>城乡社区支出</c:v>
                </c:pt>
                <c:pt idx="4">
                  <c:v>资源勘探信息等支出</c:v>
                </c:pt>
                <c:pt idx="5">
                  <c:v>住房保障支出</c:v>
                </c:pt>
                <c:pt idx="6">
                  <c:v>一般公共服务支出</c:v>
                </c:pt>
              </c:strCache>
            </c:strRef>
          </c:cat>
          <c:val>
            <c:numRef>
              <c:f>[准备资料2、304工信局评价报告插入图.xlsx]年初预算、决算收入对比!$D$4:$D$10</c:f>
              <c:numCache>
                <c:formatCode>General</c:formatCode>
                <c:ptCount val="7"/>
                <c:pt idx="0">
                  <c:v>1832.76</c:v>
                </c:pt>
                <c:pt idx="1">
                  <c:v>219.6</c:v>
                </c:pt>
                <c:pt idx="4">
                  <c:v>702.16</c:v>
                </c:pt>
              </c:numCache>
            </c:numRef>
          </c:val>
        </c:ser>
        <c:dLbls>
          <c:showLegendKey val="0"/>
          <c:showVal val="1"/>
          <c:showCatName val="0"/>
          <c:showSerName val="0"/>
          <c:showPercent val="0"/>
          <c:showBubbleSize val="0"/>
        </c:dLbls>
        <c:gapWidth val="150"/>
        <c:axId val="100558336"/>
        <c:axId val="100559872"/>
      </c:barChart>
      <c:catAx>
        <c:axId val="100558336"/>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0559872"/>
        <c:crosses val="autoZero"/>
        <c:auto val="1"/>
        <c:lblAlgn val="ctr"/>
        <c:lblOffset val="100"/>
        <c:noMultiLvlLbl val="0"/>
      </c:catAx>
      <c:valAx>
        <c:axId val="100559872"/>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0558336"/>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600" b="1" i="0" u="none" strike="noStrike" kern="1200" baseline="0">
                <a:solidFill>
                  <a:schemeClr val="tx2"/>
                </a:solidFill>
                <a:latin typeface="+mn-lt"/>
                <a:ea typeface="+mn-ea"/>
                <a:cs typeface="+mn-cs"/>
              </a:defRPr>
            </a:pPr>
            <a:r>
              <a:t>202</a:t>
            </a:r>
            <a:r>
              <a:rPr lang="en-US" altLang="zh-CN"/>
              <a:t>2</a:t>
            </a:r>
            <a:r>
              <a:t>年度区工信局决算支出结构图</a:t>
            </a:r>
          </a:p>
        </c:rich>
      </c:tx>
      <c:layout/>
      <c:overlay val="0"/>
      <c:spPr>
        <a:noFill/>
        <a:ln>
          <a:noFill/>
        </a:ln>
        <a:effectLst/>
      </c:spPr>
    </c:title>
    <c:autoTitleDeleted val="0"/>
    <c:plotArea>
      <c:layout/>
      <c:pieChart>
        <c:varyColors val="1"/>
        <c:ser>
          <c:idx val="0"/>
          <c:order val="0"/>
          <c:tx>
            <c:strRef>
              <c:f>[准备资料2、304工信局评价报告插入图.xlsx]决算功能分类支出划分!$A$4</c:f>
              <c:strCache>
                <c:ptCount val="1"/>
                <c:pt idx="0">
                  <c:v>金额</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dPt>
          <c:dLbls>
            <c:dLbl>
              <c:idx val="0"/>
              <c:layout>
                <c:manualLayout>
                  <c:x val="-0.0672283031766709"/>
                  <c:y val="0.0370042108571728"/>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2"/>
              <c:layout>
                <c:manualLayout>
                  <c:x val="0.0146323675777181"/>
                  <c:y val="-0.0681816286325433"/>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3"/>
              <c:layout>
                <c:manualLayout>
                  <c:x val="-0.0255433265794109"/>
                  <c:y val="-9.90734969251556e-17"/>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5"/>
              <c:layout>
                <c:manualLayout>
                  <c:x val="0.0592127079676338"/>
                  <c:y val="0.137114856622612"/>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dLbl>
              <c:idx val="6"/>
              <c:layout>
                <c:manualLayout>
                  <c:x val="0.112784202934846"/>
                  <c:y val="0.0288357426496867"/>
                </c:manualLayout>
              </c:layout>
              <c:dLblPos val="bestFit"/>
              <c:showLegendKey val="0"/>
              <c:showVal val="1"/>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inEnd"/>
            <c:showLegendKey val="0"/>
            <c:showVal val="1"/>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[准备资料2、304工信局评价报告插入图.xlsx]决算功能分类支出划分!$B$3:$H$3</c:f>
              <c:strCache>
                <c:ptCount val="7"/>
                <c:pt idx="0">
                  <c:v>一般公共服务支出</c:v>
                </c:pt>
                <c:pt idx="1">
                  <c:v>科学技术支出</c:v>
                </c:pt>
                <c:pt idx="2">
                  <c:v>社会保障和就业支出</c:v>
                </c:pt>
                <c:pt idx="3">
                  <c:v>卫生健康支出</c:v>
                </c:pt>
                <c:pt idx="4">
                  <c:v>城乡社区支出</c:v>
                </c:pt>
                <c:pt idx="5">
                  <c:v>资源勘探信息等支出</c:v>
                </c:pt>
                <c:pt idx="6">
                  <c:v>住房保障支出</c:v>
                </c:pt>
              </c:strCache>
            </c:strRef>
          </c:cat>
          <c:val>
            <c:numRef>
              <c:f>[准备资料2、304工信局评价报告插入图.xlsx]决算功能分类支出划分!$B$4:$H$4</c:f>
              <c:numCache>
                <c:formatCode>General</c:formatCode>
                <c:ptCount val="7"/>
                <c:pt idx="1">
                  <c:v>1832.76</c:v>
                </c:pt>
                <c:pt idx="2">
                  <c:v>219.6</c:v>
                </c:pt>
                <c:pt idx="5">
                  <c:v>702.16</c:v>
                </c:pt>
              </c:numCache>
            </c:numRef>
          </c:val>
        </c:ser>
        <c:ser>
          <c:idx val="1"/>
          <c:order val="1"/>
          <c:tx>
            <c:strRef>
              <c:f>[准备资料2、304工信局评价报告插入图.xlsx]决算功能分类支出划分!$A$5</c:f>
              <c:strCache>
                <c:ptCount val="1"/>
                <c:pt idx="0">
                  <c:v>比例</c:v>
                </c:pt>
              </c:strCache>
            </c:strRef>
          </c:tx>
          <c:spPr/>
          <c:explosion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c:spPr>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2"/>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[准备资料2、304工信局评价报告插入图.xlsx]决算功能分类支出划分!$B$3:$H$3</c:f>
              <c:strCache>
                <c:ptCount val="7"/>
                <c:pt idx="0">
                  <c:v>一般公共服务支出</c:v>
                </c:pt>
                <c:pt idx="1">
                  <c:v>科学技术支出</c:v>
                </c:pt>
                <c:pt idx="2">
                  <c:v>社会保障和就业支出</c:v>
                </c:pt>
                <c:pt idx="3">
                  <c:v>卫生健康支出</c:v>
                </c:pt>
                <c:pt idx="4">
                  <c:v>城乡社区支出</c:v>
                </c:pt>
                <c:pt idx="5">
                  <c:v>资源勘探信息等支出</c:v>
                </c:pt>
                <c:pt idx="6">
                  <c:v>住房保障支出</c:v>
                </c:pt>
              </c:strCache>
            </c:strRef>
          </c:cat>
          <c:val>
            <c:numRef>
              <c:f>[准备资料2、304工信局评价报告插入图.xlsx]决算功能分类支出划分!$B$5:$H$5</c:f>
              <c:numCache>
                <c:formatCode>0.00_ </c:formatCode>
                <c:ptCount val="7"/>
                <c:pt idx="0">
                  <c:v>0</c:v>
                </c:pt>
                <c:pt idx="1">
                  <c:v>69.3712243940105</c:v>
                </c:pt>
                <c:pt idx="2">
                  <c:v>8.31201077987555</c:v>
                </c:pt>
                <c:pt idx="3">
                  <c:v>0</c:v>
                </c:pt>
                <c:pt idx="4">
                  <c:v>0</c:v>
                </c:pt>
                <c:pt idx="5">
                  <c:v>26.5772381110993</c:v>
                </c:pt>
                <c:pt idx="6">
                  <c:v>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2"/>
              </a:solidFill>
              <a:latin typeface="+mn-lt"/>
              <a:ea typeface="+mn-ea"/>
              <a:cs typeface="+mn-cs"/>
            </a:defRPr>
          </a:pPr>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tx1"/>
                </a:solidFill>
                <a:latin typeface="+mn-lt"/>
                <a:ea typeface="+mn-ea"/>
                <a:cs typeface="+mn-cs"/>
              </a:defRPr>
            </a:pPr>
            <a:r>
              <a:t>202</a:t>
            </a:r>
            <a:r>
              <a:rPr lang="en-US" altLang="zh-CN"/>
              <a:t>2</a:t>
            </a:r>
            <a:r>
              <a:t>年度区工信局预算支出与决算支出对比图</a:t>
            </a:r>
          </a:p>
        </c:rich>
      </c:tx>
      <c:layout/>
      <c:overlay val="0"/>
    </c:title>
    <c:autoTitleDeleted val="0"/>
    <c:plotArea>
      <c:layout/>
      <c:barChart>
        <c:barDir val="col"/>
        <c:grouping val="clustered"/>
        <c:varyColors val="0"/>
        <c:ser>
          <c:idx val="0"/>
          <c:order val="0"/>
          <c:tx>
            <c:strRef>
              <c:f>[准备资料2、304工信局评价报告插入图.xlsx]财政年初预算、决算支出对比!$C$3</c:f>
              <c:strCache>
                <c:ptCount val="1"/>
                <c:pt idx="0">
                  <c:v>年初预算数</c:v>
                </c:pt>
              </c:strCache>
            </c:strRef>
          </c:tx>
          <c:invertIfNegative val="0"/>
          <c:dLbls>
            <c:dLbl>
              <c:idx val="2"/>
              <c:layout>
                <c:manualLayout>
                  <c:x val="-0.0111111111111111"/>
                  <c:y val="-0.032407407407407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25"/>
                  <c:y val="-0.0046296296296296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0.027777777777777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[准备资料2、304工信局评价报告插入图.xlsx]财政年初预算、决算支出对比!$B$4:$B$10</c:f>
              <c:strCache>
                <c:ptCount val="7"/>
                <c:pt idx="0">
                  <c:v>科学技术支出</c:v>
                </c:pt>
                <c:pt idx="1">
                  <c:v>社会保障和就业支出</c:v>
                </c:pt>
                <c:pt idx="2">
                  <c:v>卫生健康支出</c:v>
                </c:pt>
                <c:pt idx="3">
                  <c:v>城乡社区支出</c:v>
                </c:pt>
                <c:pt idx="4">
                  <c:v>资源勘探信息等支出</c:v>
                </c:pt>
                <c:pt idx="5">
                  <c:v>住房保障支出</c:v>
                </c:pt>
                <c:pt idx="6">
                  <c:v>一般公共服务支出</c:v>
                </c:pt>
              </c:strCache>
            </c:strRef>
          </c:cat>
          <c:val>
            <c:numRef>
              <c:f>[准备资料2、304工信局评价报告插入图.xlsx]财政年初预算、决算支出对比!$C$4:$C$10</c:f>
              <c:numCache>
                <c:formatCode>General</c:formatCode>
                <c:ptCount val="7"/>
                <c:pt idx="0">
                  <c:v>1186.79</c:v>
                </c:pt>
                <c:pt idx="1">
                  <c:v>126.04</c:v>
                </c:pt>
                <c:pt idx="6">
                  <c:v>0</c:v>
                </c:pt>
              </c:numCache>
            </c:numRef>
          </c:val>
        </c:ser>
        <c:ser>
          <c:idx val="1"/>
          <c:order val="1"/>
          <c:tx>
            <c:strRef>
              <c:f>[准备资料2、304工信局评价报告插入图.xlsx]财政年初预算、决算支出对比!$D$3</c:f>
              <c:strCache>
                <c:ptCount val="1"/>
                <c:pt idx="0">
                  <c:v>决算数</c:v>
                </c:pt>
              </c:strCache>
            </c:strRef>
          </c:tx>
          <c:invertIfNegative val="0"/>
          <c:dLbls>
            <c:dLbl>
              <c:idx val="0"/>
              <c:layout>
                <c:manualLayout>
                  <c:x val="0.0277777777777778"/>
                  <c:y val="-0.018518518518518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111111111111111"/>
                  <c:y val="-0.0072548887993914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77777777777778"/>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38888888888889"/>
                  <c:y val="4.24377813600667e-1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0277777777777778"/>
                  <c:y val="0.013888888888888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[准备资料2、304工信局评价报告插入图.xlsx]财政年初预算、决算支出对比!$B$4:$B$10</c:f>
              <c:strCache>
                <c:ptCount val="7"/>
                <c:pt idx="0">
                  <c:v>科学技术支出</c:v>
                </c:pt>
                <c:pt idx="1">
                  <c:v>社会保障和就业支出</c:v>
                </c:pt>
                <c:pt idx="2">
                  <c:v>卫生健康支出</c:v>
                </c:pt>
                <c:pt idx="3">
                  <c:v>城乡社区支出</c:v>
                </c:pt>
                <c:pt idx="4">
                  <c:v>资源勘探信息等支出</c:v>
                </c:pt>
                <c:pt idx="5">
                  <c:v>住房保障支出</c:v>
                </c:pt>
                <c:pt idx="6">
                  <c:v>一般公共服务支出</c:v>
                </c:pt>
              </c:strCache>
            </c:strRef>
          </c:cat>
          <c:val>
            <c:numRef>
              <c:f>[准备资料2、304工信局评价报告插入图.xlsx]财政年初预算、决算支出对比!$D$4:$D$10</c:f>
              <c:numCache>
                <c:formatCode>General</c:formatCode>
                <c:ptCount val="7"/>
                <c:pt idx="0">
                  <c:v>1832.76</c:v>
                </c:pt>
                <c:pt idx="1">
                  <c:v>219.6</c:v>
                </c:pt>
                <c:pt idx="4">
                  <c:v>702.16</c:v>
                </c:pt>
              </c:numCache>
            </c:numRef>
          </c:val>
        </c:ser>
        <c:dLbls>
          <c:showLegendKey val="0"/>
          <c:showVal val="1"/>
          <c:showCatName val="0"/>
          <c:showSerName val="0"/>
          <c:showPercent val="0"/>
          <c:showBubbleSize val="0"/>
        </c:dLbls>
        <c:gapWidth val="150"/>
        <c:axId val="100638720"/>
        <c:axId val="100640256"/>
      </c:barChart>
      <c:catAx>
        <c:axId val="100638720"/>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0640256"/>
        <c:crosses val="autoZero"/>
        <c:auto val="1"/>
        <c:lblAlgn val="ctr"/>
        <c:lblOffset val="100"/>
        <c:noMultiLvlLbl val="0"/>
      </c:catAx>
      <c:valAx>
        <c:axId val="100640256"/>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0638720"/>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495635-C516-409F-8F36-1848A5B6142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32</Pages>
  <Words>2156</Words>
  <Characters>12293</Characters>
  <Lines>102</Lines>
  <Paragraphs>28</Paragraphs>
  <TotalTime>0</TotalTime>
  <ScaleCrop>false</ScaleCrop>
  <LinksUpToDate>false</LinksUpToDate>
  <CharactersWithSpaces>14421</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2019-11-18T06:52:00Z</dcterms:created>
  <dc:creator>Administrator</dc:creator>
  <cp:lastModifiedBy>user</cp:lastModifiedBy>
  <cp:lastPrinted>2023-08-14T09:35:00Z</cp:lastPrinted>
  <dcterms:modified xsi:type="dcterms:W3CDTF">2023-08-15T00:47:21Z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7E7588654FC244E380CF99C244D2BB12</vt:lpwstr>
  </property>
</Properties>
</file>