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中共保定市徐水区委区直机关工作委员会</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按照《</w:t>
      </w:r>
      <w:r>
        <w:rPr>
          <w:rFonts w:hint="eastAsia" w:ascii="仿宋" w:hAnsi="仿宋" w:eastAsia="仿宋"/>
          <w:color w:val="000000" w:themeColor="text1"/>
          <w:sz w:val="32"/>
          <w:szCs w:val="32"/>
          <w:lang w:val="en-US" w:eastAsia="zh-CN"/>
          <w14:textFill>
            <w14:solidFill>
              <w14:schemeClr w14:val="tx1"/>
            </w14:solidFill>
          </w14:textFill>
        </w:rPr>
        <w:t>中华人民共和国</w:t>
      </w:r>
      <w:bookmarkStart w:id="5" w:name="_GoBack"/>
      <w:bookmarkEnd w:id="5"/>
      <w:r>
        <w:rPr>
          <w:rFonts w:hint="eastAsia" w:ascii="仿宋" w:hAnsi="仿宋" w:eastAsia="仿宋"/>
          <w:color w:val="000000" w:themeColor="text1"/>
          <w:sz w:val="32"/>
          <w:szCs w:val="32"/>
          <w14:textFill>
            <w14:solidFill>
              <w14:schemeClr w14:val="tx1"/>
            </w14:solidFill>
          </w14:textFill>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根据《中共保定市徐水区委区直机关工作委员会职能配置、内设机构和人员编制规定》，</w:t>
      </w:r>
      <w:r>
        <w:rPr>
          <w:rFonts w:ascii="仿宋" w:hAnsi="仿宋" w:eastAsia="仿宋"/>
          <w:sz w:val="32"/>
          <w:szCs w:val="32"/>
        </w:rPr>
        <w:t xml:space="preserve"> 中共保定市徐水区委区直机关工作委员会的主要职责是：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（一）统一组织、规划、部署区直机关党的工作，提出加强和改进机关党的建设的意见和建议，研究制定工作规划，并抓好组织实施。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（二）指导区直机关党的政治建设、思想建设、组织建设、作风建设、纪律建设，把制度建设贯彻其中，深入推进反腐败斗争。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（三）指导区直机关党组织和广大党员学习马克思列宁主义、毛泽东思想、邓小平理论、“三个代表”重要思想、科学发展观、习近平新时代中国特色社会主义思想。</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（四）对区直机关党组织、党员领导干部落实党建责任制、遵守政治纪律和政治规矩情况进行监督检查，并向区委报告。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（五）指导区直机关党组织实施对党员特别是党员领导干部的监督和管理，定期了解各部门党员和群众对领导干部的意见，及时向区委反映各部门领导班子、领导干部的情况。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（六）配合区委有关部门抓好区直机关各部门领导班子思想政治建设，参与对党员领导干部民主生活会和区直各部门党组(党委)理论学习中心组学习的督促检查和指导，了解掌握情况，按规定报送情况报告。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（七）指导区直各部门机关党组织的建立、撤销、换届选举，对人员任免进行审批。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（八）指导党组织加强基层组织建设，做好党员发展、教育管理等工作。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（九）了解掌握区直机关工作人员的思想状况，指导区直机关各级党组织加强思想政治工作和精神文明建设。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（十）指导区直机关党组织做好党的统一战线工作和人民武装工作。领导区直机关工会、共青团、妇联等群团组织的工作，指导区直机关党组织做好党的群众工作。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（十一）协助有关部门协调区直机关各部门做好维护稳定工作。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（十二）完成区委交办的其他任务。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w:t>
            </w:r>
          </w:p>
          <w:p>
            <w:pPr>
              <w:jc w:val="center"/>
              <w:rPr>
                <w:rFonts w:ascii="仿宋_GB2312" w:hAnsi="仿宋" w:eastAsia="仿宋_GB2312"/>
                <w:bCs/>
                <w:sz w:val="24"/>
                <w:szCs w:val="24"/>
              </w:rPr>
            </w:pPr>
            <w:r>
              <w:rPr>
                <w:rFonts w:hint="eastAsia" w:ascii="仿宋_GB2312" w:hAnsi="仿宋" w:eastAsia="仿宋_GB2312"/>
                <w:bCs/>
                <w:sz w:val="24"/>
                <w:szCs w:val="24"/>
              </w:rPr>
              <w:t>区直机关工作委员会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179.27</w:t>
      </w:r>
      <w:r>
        <w:rPr>
          <w:rFonts w:ascii="仿宋" w:hAnsi="仿宋" w:eastAsia="仿宋"/>
          <w:sz w:val="32"/>
          <w:szCs w:val="32"/>
        </w:rPr>
        <w:t>万元,其中：一般公共预算收入</w:t>
      </w:r>
      <w:r>
        <w:rPr>
          <w:rFonts w:hint="eastAsia" w:ascii="仿宋" w:hAnsi="仿宋" w:eastAsia="仿宋"/>
          <w:sz w:val="32"/>
          <w:szCs w:val="32"/>
        </w:rPr>
        <w:t>179.26</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0.01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w:t>
      </w:r>
      <w:r>
        <w:rPr>
          <w:rFonts w:hint="eastAsia" w:ascii="仿宋" w:hAnsi="仿宋" w:eastAsia="仿宋"/>
          <w:sz w:val="32"/>
          <w:szCs w:val="32"/>
        </w:rPr>
        <w:t>179.27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基本支出179.26万元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162.33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16.92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0.01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0.01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本年度预算收支安排179.27万元，较上年增加42.37</w:t>
      </w:r>
      <w:r>
        <w:rPr>
          <w:rFonts w:ascii="仿宋" w:hAnsi="仿宋" w:eastAsia="仿宋"/>
          <w:sz w:val="32"/>
          <w:szCs w:val="32"/>
        </w:rPr>
        <w:t>万元。其中:基本支出增加</w:t>
      </w:r>
      <w:r>
        <w:rPr>
          <w:rFonts w:hint="eastAsia" w:ascii="仿宋" w:hAnsi="仿宋" w:eastAsia="仿宋"/>
          <w:sz w:val="32"/>
          <w:szCs w:val="32"/>
        </w:rPr>
        <w:t>42.36</w:t>
      </w:r>
      <w:r>
        <w:rPr>
          <w:rFonts w:ascii="仿宋" w:hAnsi="仿宋" w:eastAsia="仿宋"/>
          <w:sz w:val="32"/>
          <w:szCs w:val="32"/>
        </w:rPr>
        <w:t>万元，主要原因是</w:t>
      </w:r>
      <w:r>
        <w:rPr>
          <w:rFonts w:hint="eastAsia" w:ascii="仿宋" w:hAnsi="仿宋" w:eastAsia="仿宋"/>
          <w:sz w:val="32"/>
          <w:szCs w:val="32"/>
        </w:rPr>
        <w:t>工资调整，人员经费增加</w:t>
      </w:r>
      <w:r>
        <w:rPr>
          <w:rFonts w:ascii="仿宋" w:hAnsi="仿宋" w:eastAsia="仿宋"/>
          <w:sz w:val="32"/>
          <w:szCs w:val="32"/>
        </w:rPr>
        <w:t>；项目支出增加</w:t>
      </w:r>
      <w:r>
        <w:rPr>
          <w:rFonts w:hint="eastAsia" w:ascii="仿宋" w:hAnsi="仿宋" w:eastAsia="仿宋"/>
          <w:sz w:val="32"/>
          <w:szCs w:val="32"/>
        </w:rPr>
        <w:t>0.01</w:t>
      </w:r>
      <w:r>
        <w:rPr>
          <w:rFonts w:ascii="仿宋" w:hAnsi="仿宋" w:eastAsia="仿宋"/>
          <w:sz w:val="32"/>
          <w:szCs w:val="32"/>
        </w:rPr>
        <w:t>万元，主要原因是</w:t>
      </w:r>
      <w:r>
        <w:rPr>
          <w:rFonts w:hint="eastAsia" w:ascii="仿宋" w:hAnsi="仿宋" w:eastAsia="仿宋"/>
          <w:sz w:val="32"/>
          <w:szCs w:val="32"/>
        </w:rPr>
        <w:t>利息支出列入项目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w:t>
      </w:r>
      <w:r>
        <w:rPr>
          <w:rFonts w:hint="eastAsia" w:ascii="仿宋" w:hAnsi="仿宋" w:eastAsia="仿宋"/>
          <w:sz w:val="32"/>
          <w:szCs w:val="32"/>
        </w:rPr>
        <w:t>16.92</w:t>
      </w:r>
      <w:r>
        <w:rPr>
          <w:rFonts w:ascii="仿宋" w:hAnsi="仿宋" w:eastAsia="仿宋"/>
          <w:sz w:val="32"/>
          <w:szCs w:val="32"/>
        </w:rPr>
        <w:t>万元，其中办公费</w:t>
      </w:r>
      <w:r>
        <w:rPr>
          <w:rFonts w:hint="eastAsia" w:ascii="仿宋" w:hAnsi="仿宋" w:eastAsia="仿宋"/>
          <w:sz w:val="32"/>
          <w:szCs w:val="32"/>
        </w:rPr>
        <w:t>1.88</w:t>
      </w:r>
      <w:r>
        <w:rPr>
          <w:rFonts w:ascii="仿宋" w:hAnsi="仿宋" w:eastAsia="仿宋"/>
          <w:sz w:val="32"/>
          <w:szCs w:val="32"/>
        </w:rPr>
        <w:t>万元，邮电费</w:t>
      </w:r>
      <w:r>
        <w:rPr>
          <w:rFonts w:hint="eastAsia" w:ascii="仿宋" w:hAnsi="仿宋" w:eastAsia="仿宋"/>
          <w:sz w:val="32"/>
          <w:szCs w:val="32"/>
        </w:rPr>
        <w:t>3.95</w:t>
      </w:r>
      <w:r>
        <w:rPr>
          <w:rFonts w:ascii="仿宋" w:hAnsi="仿宋" w:eastAsia="仿宋"/>
          <w:sz w:val="32"/>
          <w:szCs w:val="32"/>
        </w:rPr>
        <w:t>万元，工会经费、福利费</w:t>
      </w:r>
      <w:r>
        <w:rPr>
          <w:rFonts w:hint="eastAsia" w:ascii="仿宋" w:hAnsi="仿宋" w:eastAsia="仿宋"/>
          <w:sz w:val="32"/>
          <w:szCs w:val="32"/>
        </w:rPr>
        <w:t>1.79</w:t>
      </w:r>
      <w:r>
        <w:rPr>
          <w:rFonts w:ascii="仿宋" w:hAnsi="仿宋" w:eastAsia="仿宋"/>
          <w:sz w:val="32"/>
          <w:szCs w:val="32"/>
        </w:rPr>
        <w:t>万元，公务用车运行维护费</w:t>
      </w:r>
      <w:r>
        <w:rPr>
          <w:rFonts w:hint="eastAsia" w:ascii="仿宋" w:hAnsi="仿宋" w:eastAsia="仿宋"/>
          <w:sz w:val="32"/>
          <w:szCs w:val="32"/>
        </w:rPr>
        <w:t>2.43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6.87</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-0.27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根据政策，厉行压减</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-0.27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根据政策，厉行压减</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0" w:after="10"/>
        <w:ind w:firstLine="560"/>
        <w:outlineLvl w:val="1"/>
        <w:rPr>
          <w:rFonts w:ascii="仿宋" w:hAnsi="仿宋" w:eastAsia="仿宋"/>
          <w:sz w:val="32"/>
          <w:szCs w:val="32"/>
        </w:rPr>
      </w:pPr>
      <w:bookmarkStart w:id="0" w:name="_Toc_2_2_0000000001"/>
      <w:r>
        <w:rPr>
          <w:rFonts w:ascii="仿宋" w:hAnsi="仿宋" w:eastAsia="仿宋" w:cs="方正黑体_GBK"/>
          <w:color w:val="000000"/>
          <w:sz w:val="32"/>
          <w:szCs w:val="32"/>
        </w:rPr>
        <w:t>一、总体绩效目标</w:t>
      </w:r>
      <w:bookmarkEnd w:id="0"/>
    </w:p>
    <w:p>
      <w:pPr>
        <w:pStyle w:val="10"/>
        <w:rPr>
          <w:rFonts w:ascii="仿宋" w:hAnsi="仿宋" w:eastAsia="仿宋"/>
          <w:sz w:val="32"/>
          <w:szCs w:val="32"/>
        </w:rPr>
      </w:pPr>
      <w:r>
        <w:rPr>
          <w:rFonts w:ascii="仿宋" w:hAnsi="仿宋" w:eastAsia="仿宋"/>
          <w:sz w:val="32"/>
          <w:szCs w:val="32"/>
        </w:rPr>
        <w:t>坚持以习近平新时代中国特色社会主义思想为指导，认真贯彻落实党的十九大和十九届二中、三中、四中、五中、六中全会精神，深入贯彻落实省委市委区委全会精神以及省市系列会议精神，坚持稳中求进工作总基调，坚持新发展理念，牢牢把握新时代党的建设总要求，以党的政治建设为统领，以践行“三个表率”、建设“模范机关”为主线，紧扣“围绕中心、建设队伍、服务群众”核心任务，促进党建工作和业务工作发展融合，全面提升区直机关党的建设质量和水平，圆满完成区委交给的工作任务，有力促进区委决策部署在区直机关落地见效，机关党建工作影响力、凝聚力、号召力进一步提升，为建设经济强区、幸福徐水提供坚强保障。</w:t>
      </w:r>
    </w:p>
    <w:p>
      <w:pPr>
        <w:spacing w:before="10" w:after="10"/>
        <w:ind w:firstLine="560"/>
        <w:outlineLvl w:val="1"/>
        <w:rPr>
          <w:rFonts w:ascii="仿宋" w:hAnsi="仿宋" w:eastAsia="仿宋"/>
          <w:sz w:val="32"/>
          <w:szCs w:val="32"/>
        </w:rPr>
      </w:pPr>
      <w:bookmarkStart w:id="1" w:name="_Toc_2_2_0000000002"/>
      <w:r>
        <w:rPr>
          <w:rFonts w:ascii="仿宋" w:hAnsi="仿宋" w:eastAsia="仿宋" w:cs="方正黑体_GBK"/>
          <w:color w:val="000000"/>
          <w:sz w:val="32"/>
          <w:szCs w:val="32"/>
        </w:rPr>
        <w:t>二、分项绩效目标</w:t>
      </w:r>
      <w:bookmarkEnd w:id="1"/>
    </w:p>
    <w:p>
      <w:pPr>
        <w:pStyle w:val="11"/>
        <w:rPr>
          <w:rFonts w:ascii="仿宋" w:hAnsi="仿宋" w:eastAsia="仿宋"/>
          <w:sz w:val="32"/>
          <w:szCs w:val="32"/>
        </w:rPr>
      </w:pPr>
      <w:r>
        <w:rPr>
          <w:rFonts w:ascii="仿宋" w:hAnsi="仿宋" w:eastAsia="仿宋"/>
          <w:sz w:val="32"/>
          <w:szCs w:val="32"/>
        </w:rPr>
        <w:t>1.区直机关党的建设质量进一步提高</w:t>
      </w:r>
    </w:p>
    <w:p>
      <w:pPr>
        <w:pStyle w:val="11"/>
        <w:rPr>
          <w:rFonts w:ascii="仿宋" w:hAnsi="仿宋" w:eastAsia="仿宋"/>
          <w:sz w:val="32"/>
          <w:szCs w:val="32"/>
        </w:rPr>
      </w:pPr>
      <w:r>
        <w:rPr>
          <w:rFonts w:ascii="仿宋" w:hAnsi="仿宋" w:eastAsia="仿宋"/>
          <w:sz w:val="32"/>
          <w:szCs w:val="32"/>
        </w:rPr>
        <w:t>绩效目标：开展建设“模范机关”活动，为全区各级机关树立标杆；对基层党组织开展分类指导，选树先进集体和个人，党支部建设标准化、规范化水平不断提升，党务干部集中教育培训覆盖面不断扩大，基层党组织组织力明显提升，实现全面进步全面过硬；充分运用区级机关作风公开评议结果持续纠正“四风”，推动区直机关不断转变作风、提高效能；深化运用监督执纪“四种形态”，进一步严明党的纪律进一步严明，不断提高干部业务能力。</w:t>
      </w:r>
    </w:p>
    <w:p>
      <w:pPr>
        <w:pStyle w:val="11"/>
        <w:rPr>
          <w:rFonts w:ascii="仿宋" w:hAnsi="仿宋" w:eastAsia="仿宋"/>
          <w:sz w:val="32"/>
          <w:szCs w:val="32"/>
        </w:rPr>
      </w:pPr>
      <w:r>
        <w:rPr>
          <w:rFonts w:ascii="仿宋" w:hAnsi="仿宋" w:eastAsia="仿宋"/>
          <w:sz w:val="32"/>
          <w:szCs w:val="32"/>
        </w:rPr>
        <w:t>绩效指标：召开年度工作会议1次，召开1次年度区直机关党组织书记述职评议会；组织指导区直单位广泛深入创建“模范机关”，召开区直“模范机关”创建工作调度和推进会各1次，组织开展1次区直机关党建工作督查；推动区直机关开展中心组学习，举办区直部门党委（党组）理论学习培训，完成区直精神文明创建工作；基层党组织覆盖率达到100%，完成区直机关“两优一先”评选表彰，表彰基层先进党组织10个，优秀党务工作者15名，优秀共产党员300名，党务干部教育培训力争做到全覆盖，举办党务干部和入党积极分子培训班2期，完成区级机关作风公开评议工作；干部职工满意度保持在95%以上，基层党组织满意率保持在95%以上。</w:t>
      </w:r>
    </w:p>
    <w:p>
      <w:pPr>
        <w:pStyle w:val="11"/>
        <w:rPr>
          <w:rFonts w:ascii="仿宋" w:hAnsi="仿宋" w:eastAsia="仿宋"/>
          <w:sz w:val="32"/>
          <w:szCs w:val="32"/>
        </w:rPr>
      </w:pPr>
      <w:r>
        <w:rPr>
          <w:rFonts w:ascii="仿宋" w:hAnsi="仿宋" w:eastAsia="仿宋"/>
          <w:sz w:val="32"/>
          <w:szCs w:val="32"/>
        </w:rPr>
        <w:t xml:space="preserve">2.区直机关群团工作水平进一步提升 ，综合事务管理能力进一步增强      </w:t>
      </w:r>
    </w:p>
    <w:p>
      <w:pPr>
        <w:pStyle w:val="11"/>
        <w:rPr>
          <w:rFonts w:ascii="仿宋" w:hAnsi="仿宋" w:eastAsia="仿宋"/>
          <w:sz w:val="32"/>
          <w:szCs w:val="32"/>
        </w:rPr>
      </w:pPr>
      <w:r>
        <w:rPr>
          <w:rFonts w:ascii="仿宋" w:hAnsi="仿宋" w:eastAsia="仿宋"/>
          <w:sz w:val="32"/>
          <w:szCs w:val="32"/>
        </w:rPr>
        <w:t>绩效目标：群团工作方式方法不断创新，开展志愿服务和特色文化活动丰富多彩。推动党建协作常态化，加强党建工作调研交流和上下联动，广泛展示区直机关党建重点亮点工作；党建信息化综合管理服务作用充分发挥，不断扩大机关党建工作的宣传力度；积极协调做好区直机关维稳工作，切实提升维稳意识和能力。</w:t>
      </w:r>
    </w:p>
    <w:p>
      <w:pPr>
        <w:pStyle w:val="11"/>
        <w:rPr>
          <w:rFonts w:ascii="仿宋" w:hAnsi="仿宋" w:eastAsia="仿宋"/>
          <w:sz w:val="32"/>
          <w:szCs w:val="32"/>
        </w:rPr>
      </w:pPr>
      <w:r>
        <w:rPr>
          <w:rFonts w:ascii="仿宋" w:hAnsi="仿宋" w:eastAsia="仿宋"/>
          <w:sz w:val="32"/>
          <w:szCs w:val="32"/>
        </w:rPr>
        <w:t>绩效指标：组织区直青年“微党课”比赛，评选区直“巾帼文明岗”，完成“五四”优秀青年集体和个人评选表彰，举办区直干部培训班1期，干部职工满意度保持在95%以上。积极参与机关党建理论研讨会，交流提炼总结经验做法，举办党员干部培训班。</w:t>
      </w:r>
    </w:p>
    <w:p>
      <w:pPr>
        <w:spacing w:before="10" w:after="10"/>
        <w:ind w:firstLine="560"/>
        <w:outlineLvl w:val="1"/>
        <w:rPr>
          <w:rFonts w:ascii="仿宋" w:hAnsi="仿宋" w:eastAsia="仿宋"/>
          <w:sz w:val="32"/>
          <w:szCs w:val="32"/>
        </w:rPr>
      </w:pPr>
      <w:bookmarkStart w:id="2" w:name="_Toc_2_2_0000000003"/>
      <w:r>
        <w:rPr>
          <w:rFonts w:ascii="仿宋" w:hAnsi="仿宋" w:eastAsia="仿宋" w:cs="方正黑体_GBK"/>
          <w:color w:val="000000"/>
          <w:sz w:val="32"/>
          <w:szCs w:val="32"/>
        </w:rPr>
        <w:t>三、工作保障措施</w:t>
      </w:r>
      <w:bookmarkEnd w:id="2"/>
    </w:p>
    <w:p>
      <w:pPr>
        <w:pStyle w:val="12"/>
        <w:rPr>
          <w:rFonts w:ascii="仿宋" w:hAnsi="仿宋" w:eastAsia="仿宋"/>
          <w:sz w:val="32"/>
          <w:szCs w:val="32"/>
        </w:rPr>
      </w:pPr>
      <w:r>
        <w:rPr>
          <w:rFonts w:ascii="仿宋" w:hAnsi="仿宋" w:eastAsia="仿宋"/>
          <w:sz w:val="32"/>
          <w:szCs w:val="32"/>
        </w:rPr>
        <w:t>1.加强组织领导，积极部署推进。成立以工委书记为组长、领导班子成员任副组长、有关科室负责人为成员的预算绩效管理领导小组，切实担起组织实施和推进督导责任，确保预算绩效管理专人管、专人抓，各项工作任务有序顺利开展；定期召开领导小组专题会议，及时研究推进重点工作，不断完善工作措施，协调解决难点问题，检查督导预算进度，做好目标绩效评估等。</w:t>
      </w:r>
    </w:p>
    <w:p>
      <w:pPr>
        <w:pStyle w:val="12"/>
        <w:rPr>
          <w:rFonts w:ascii="仿宋" w:hAnsi="仿宋" w:eastAsia="仿宋"/>
          <w:sz w:val="32"/>
          <w:szCs w:val="32"/>
        </w:rPr>
      </w:pPr>
      <w:r>
        <w:rPr>
          <w:rFonts w:ascii="仿宋" w:hAnsi="仿宋" w:eastAsia="仿宋"/>
          <w:sz w:val="32"/>
          <w:szCs w:val="32"/>
        </w:rPr>
        <w:t>2.明确责任分工，狠抓工作落实。认真研究事前评估、目标管理、运行监控、绩效评价、结果运用等预算绩效管理全过程各环节改革措施，围绕年度总体绩效目标和分类绩效目标，进一步细化工作方案；明确办公室牵头负责日常绩效管理的组织实施、沟通协调、绩效分析和检查监督等日常工作，及时开展工作、组织活动，确保资金使用达到预期目的。</w:t>
      </w:r>
    </w:p>
    <w:p>
      <w:pPr>
        <w:pStyle w:val="12"/>
        <w:rPr>
          <w:rFonts w:ascii="仿宋" w:hAnsi="仿宋" w:eastAsia="仿宋"/>
          <w:sz w:val="32"/>
          <w:szCs w:val="32"/>
        </w:rPr>
      </w:pPr>
      <w:r>
        <w:rPr>
          <w:rFonts w:ascii="仿宋" w:hAnsi="仿宋" w:eastAsia="仿宋"/>
          <w:sz w:val="32"/>
          <w:szCs w:val="32"/>
        </w:rPr>
        <w:t>3.强化日常管理、确保目标完成。切实加强支出管理，及时进行督促提醒，要求提交加快支出的工作措施，同时将预算执行与预算编制挂钩，完善科学财务管理制度，加快履行政府采购等有关手续，及时支付相关费用，继续做好固定资产的管理使用，充分发挥保障作用；加强与职能绩效管理责任科室协调联动，确保各项目标任务按照时间节点全面落实、高效完成。确保 绩效管理取得实际效果。</w:t>
      </w:r>
    </w:p>
    <w:p>
      <w:pPr>
        <w:pStyle w:val="12"/>
        <w:rPr>
          <w:rFonts w:ascii="仿宋" w:hAnsi="仿宋" w:eastAsia="仿宋"/>
          <w:sz w:val="32"/>
          <w:szCs w:val="32"/>
        </w:rPr>
      </w:pPr>
      <w:r>
        <w:rPr>
          <w:rFonts w:ascii="仿宋" w:hAnsi="仿宋" w:eastAsia="仿宋"/>
          <w:sz w:val="32"/>
          <w:szCs w:val="32"/>
        </w:rPr>
        <w:t>4.注重培训宣传、促进工作提升。</w:t>
      </w:r>
    </w:p>
    <w:p>
      <w:pPr>
        <w:pStyle w:val="12"/>
        <w:rPr>
          <w:rFonts w:ascii="仿宋" w:hAnsi="仿宋" w:eastAsia="仿宋"/>
        </w:rPr>
      </w:pPr>
      <w:r>
        <w:rPr>
          <w:rFonts w:ascii="仿宋" w:hAnsi="仿宋" w:eastAsia="仿宋"/>
          <w:sz w:val="32"/>
          <w:szCs w:val="32"/>
        </w:rPr>
        <w:t>积极广泛宣传预算绩效管理理念，培育绩效管理文化，增强预算绩效意识，为预算绩效管理创造浓厚氛围;积极参加财政局等单位组织的学习培训，增强工作人员的业务素质和工作能力，不断提高预算绩效管理的工作水平。</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center"/>
      </w:pPr>
    </w:p>
    <w:p>
      <w:pPr>
        <w:pStyle w:val="18"/>
        <w:numPr>
          <w:ilvl w:val="0"/>
          <w:numId w:val="1"/>
        </w:numPr>
        <w:ind w:firstLineChars="0"/>
        <w:outlineLvl w:val="3"/>
        <w:rPr>
          <w:rFonts w:ascii="方正仿宋_GBK" w:hAnsi="方正仿宋_GBK" w:eastAsia="方正仿宋_GBK" w:cs="方正仿宋_GBK"/>
          <w:color w:val="000000"/>
          <w:sz w:val="28"/>
        </w:rPr>
      </w:pPr>
      <w:bookmarkStart w:id="3" w:name="_Toc_4_4_0000000004"/>
      <w:r>
        <w:rPr>
          <w:rFonts w:ascii="方正仿宋_GBK" w:hAnsi="方正仿宋_GBK" w:eastAsia="方正仿宋_GBK" w:cs="方正仿宋_GBK"/>
          <w:color w:val="000000"/>
          <w:sz w:val="28"/>
        </w:rPr>
        <w:t>利息收入绩效目标表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286001中共保定市徐水区委区直机关工作委员会本级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13062522P00459810054B</w:t>
            </w:r>
          </w:p>
        </w:tc>
        <w:tc>
          <w:tcPr>
            <w:tcW w:w="1587" w:type="dxa"/>
            <w:vAlign w:val="center"/>
          </w:tcPr>
          <w:p>
            <w:pPr>
              <w:pStyle w:val="16"/>
            </w:pPr>
            <w:r>
              <w:t>项目名称</w:t>
            </w:r>
          </w:p>
        </w:tc>
        <w:tc>
          <w:tcPr>
            <w:tcW w:w="4422" w:type="dxa"/>
            <w:gridSpan w:val="3"/>
            <w:vAlign w:val="center"/>
          </w:tcPr>
          <w:p>
            <w:pPr>
              <w:pStyle w:val="15"/>
            </w:pPr>
            <w:r>
              <w:t>利息收入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0.01</w:t>
            </w:r>
          </w:p>
        </w:tc>
        <w:tc>
          <w:tcPr>
            <w:tcW w:w="1587" w:type="dxa"/>
            <w:vAlign w:val="center"/>
          </w:tcPr>
          <w:p>
            <w:pPr>
              <w:pStyle w:val="16"/>
            </w:pPr>
            <w:r>
              <w:t>其中：财政    资金</w:t>
            </w:r>
          </w:p>
        </w:tc>
        <w:tc>
          <w:tcPr>
            <w:tcW w:w="1304" w:type="dxa"/>
            <w:vAlign w:val="center"/>
          </w:tcPr>
          <w:p>
            <w:pPr>
              <w:pStyle w:val="15"/>
            </w:pPr>
            <w:r>
              <w:t>0.01</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用于办公费</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1.按实际情况支出</w:t>
            </w:r>
          </w:p>
          <w:p>
            <w:pPr>
              <w:pStyle w:val="15"/>
            </w:pPr>
            <w:r>
              <w:t>2.年底支出100%</w:t>
            </w:r>
          </w:p>
          <w:p>
            <w:pPr>
              <w:pStyle w:val="15"/>
            </w:pPr>
            <w:r>
              <w:t>3.办公费</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利息金额</w:t>
            </w:r>
          </w:p>
        </w:tc>
        <w:tc>
          <w:tcPr>
            <w:tcW w:w="2891" w:type="dxa"/>
            <w:vAlign w:val="center"/>
          </w:tcPr>
          <w:p>
            <w:pPr>
              <w:pStyle w:val="15"/>
            </w:pPr>
            <w:r>
              <w:t>本年度利息收入金额</w:t>
            </w:r>
          </w:p>
        </w:tc>
        <w:tc>
          <w:tcPr>
            <w:tcW w:w="1276" w:type="dxa"/>
            <w:vAlign w:val="center"/>
          </w:tcPr>
          <w:p>
            <w:pPr>
              <w:pStyle w:val="15"/>
            </w:pPr>
            <w:r>
              <w:t>100元</w:t>
            </w:r>
          </w:p>
        </w:tc>
        <w:tc>
          <w:tcPr>
            <w:tcW w:w="1843" w:type="dxa"/>
            <w:vAlign w:val="center"/>
          </w:tcPr>
          <w:p>
            <w:pPr>
              <w:pStyle w:val="15"/>
            </w:pPr>
            <w:r>
              <w:t>近三年利息收入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支出率</w:t>
            </w:r>
          </w:p>
        </w:tc>
        <w:tc>
          <w:tcPr>
            <w:tcW w:w="2891" w:type="dxa"/>
            <w:vAlign w:val="center"/>
          </w:tcPr>
          <w:p>
            <w:pPr>
              <w:pStyle w:val="15"/>
            </w:pPr>
            <w:r>
              <w:t>全部利息收入支出情况</w:t>
            </w:r>
          </w:p>
        </w:tc>
        <w:tc>
          <w:tcPr>
            <w:tcW w:w="1276" w:type="dxa"/>
            <w:vAlign w:val="center"/>
          </w:tcPr>
          <w:p>
            <w:pPr>
              <w:pStyle w:val="15"/>
            </w:pPr>
            <w:r>
              <w:t>100%</w:t>
            </w:r>
          </w:p>
        </w:tc>
        <w:tc>
          <w:tcPr>
            <w:tcW w:w="1843" w:type="dxa"/>
            <w:vAlign w:val="center"/>
          </w:tcPr>
          <w:p>
            <w:pPr>
              <w:pStyle w:val="15"/>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全部支出时间</w:t>
            </w:r>
          </w:p>
        </w:tc>
        <w:tc>
          <w:tcPr>
            <w:tcW w:w="2891" w:type="dxa"/>
            <w:vAlign w:val="center"/>
          </w:tcPr>
          <w:p>
            <w:pPr>
              <w:pStyle w:val="15"/>
            </w:pPr>
            <w:r>
              <w:t>利息收入全部支出时间节点</w:t>
            </w:r>
          </w:p>
        </w:tc>
        <w:tc>
          <w:tcPr>
            <w:tcW w:w="1276" w:type="dxa"/>
            <w:vAlign w:val="center"/>
          </w:tcPr>
          <w:p>
            <w:pPr>
              <w:pStyle w:val="15"/>
            </w:pPr>
            <w:r>
              <w:t>≤12月</w:t>
            </w:r>
          </w:p>
        </w:tc>
        <w:tc>
          <w:tcPr>
            <w:tcW w:w="1843" w:type="dxa"/>
            <w:vAlign w:val="center"/>
          </w:tcPr>
          <w:p>
            <w:pPr>
              <w:pStyle w:val="15"/>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项目完成投入资金情况</w:t>
            </w:r>
          </w:p>
        </w:tc>
        <w:tc>
          <w:tcPr>
            <w:tcW w:w="2891" w:type="dxa"/>
            <w:vAlign w:val="center"/>
          </w:tcPr>
          <w:p>
            <w:pPr>
              <w:pStyle w:val="15"/>
            </w:pPr>
            <w:r>
              <w:t>完成利息收入全部支出完成率</w:t>
            </w:r>
          </w:p>
        </w:tc>
        <w:tc>
          <w:tcPr>
            <w:tcW w:w="1276" w:type="dxa"/>
            <w:vAlign w:val="center"/>
          </w:tcPr>
          <w:p>
            <w:pPr>
              <w:pStyle w:val="15"/>
            </w:pPr>
            <w:r>
              <w:t>100%</w:t>
            </w:r>
          </w:p>
        </w:tc>
        <w:tc>
          <w:tcPr>
            <w:tcW w:w="1843" w:type="dxa"/>
            <w:vAlign w:val="center"/>
          </w:tcPr>
          <w:p>
            <w:pPr>
              <w:pStyle w:val="15"/>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工作完成率</w:t>
            </w:r>
          </w:p>
        </w:tc>
        <w:tc>
          <w:tcPr>
            <w:tcW w:w="2891" w:type="dxa"/>
            <w:vAlign w:val="center"/>
          </w:tcPr>
          <w:p>
            <w:pPr>
              <w:pStyle w:val="15"/>
            </w:pPr>
            <w:r>
              <w:t>补充经费不足，促进工作完成</w:t>
            </w:r>
          </w:p>
        </w:tc>
        <w:tc>
          <w:tcPr>
            <w:tcW w:w="1276" w:type="dxa"/>
            <w:vAlign w:val="center"/>
          </w:tcPr>
          <w:p>
            <w:pPr>
              <w:pStyle w:val="15"/>
            </w:pPr>
            <w:r>
              <w:t>≥95%</w:t>
            </w:r>
          </w:p>
        </w:tc>
        <w:tc>
          <w:tcPr>
            <w:tcW w:w="1843" w:type="dxa"/>
            <w:vAlign w:val="center"/>
          </w:tcPr>
          <w:p>
            <w:pPr>
              <w:pStyle w:val="15"/>
            </w:pPr>
            <w:r>
              <w:t>工作需求</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tbl>
      <w:tblPr>
        <w:tblStyle w:val="5"/>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4" w:name="RANGE!A1"/>
            <w:r>
              <w:rPr>
                <w:rFonts w:hint="eastAsia" w:ascii="宋体" w:hAnsi="宋体" w:eastAsia="宋体" w:cs="宋体"/>
                <w:color w:val="000000"/>
                <w:kern w:val="0"/>
                <w:sz w:val="32"/>
                <w:szCs w:val="32"/>
              </w:rPr>
              <w:t>部门政府采购预算</w:t>
            </w:r>
            <w:bookmarkEnd w:id="4"/>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24"/>
                <w:szCs w:val="24"/>
              </w:rPr>
            </w:pPr>
            <w:r>
              <w:rPr>
                <w:rStyle w:val="19"/>
                <w:rFonts w:eastAsia="等线"/>
                <w:lang w:bidi="ar"/>
              </w:rPr>
              <w:t>XX</w:t>
            </w:r>
            <w:r>
              <w:rPr>
                <w:rStyle w:val="20"/>
                <w:rFonts w:hint="default"/>
                <w:lang w:bidi="ar"/>
              </w:rPr>
              <w:t>局</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70"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政府采购金额（当年部门预算安排资金）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hint="eastAsia" w:ascii="Times New Roman" w:hAnsi="Times New Roman" w:eastAsia="等线" w:cs="Times New Roman"/>
                <w:b/>
                <w:bCs/>
                <w:color w:val="000000"/>
                <w:kern w:val="0"/>
                <w:szCs w:val="21"/>
              </w:rPr>
              <w:t>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footerReference r:id="rId3" w:type="default"/>
          <w:pgSz w:w="16838" w:h="11906" w:orient="landscape"/>
          <w:pgMar w:top="1800" w:right="1440" w:bottom="1800" w:left="1440"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上年末我部门固定资产总金额为29.09万元（详见下表）。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000000" w:themeColor="text1"/>
                <w:kern w:val="0"/>
                <w:sz w:val="28"/>
                <w:szCs w:val="28"/>
                <w14:textFill>
                  <w14:solidFill>
                    <w14:schemeClr w14:val="tx1"/>
                  </w14:solidFill>
                </w14:textFill>
              </w:rPr>
              <w:t>2021</w:t>
            </w:r>
            <w:r>
              <w:rPr>
                <w:rFonts w:hint="eastAsia" w:ascii="仿宋_GB2312" w:hAnsi="仿宋" w:eastAsia="仿宋_GB2312" w:cs="宋体"/>
                <w:bCs/>
                <w:color w:val="000000" w:themeColor="text1"/>
                <w:kern w:val="0"/>
                <w:sz w:val="28"/>
                <w:szCs w:val="28"/>
                <w14:textFill>
                  <w14:solidFill>
                    <w14:schemeClr w14:val="tx1"/>
                  </w14:solidFill>
                </w14:textFill>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29.09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17.11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11.98</w:t>
            </w: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F71405"/>
    <w:multiLevelType w:val="multilevel"/>
    <w:tmpl w:val="2DF71405"/>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ZjM4MmYwMDhlZDg1NzdiYWRiYzMyNTllZDNiNWIifQ=="/>
  </w:docVars>
  <w:rsids>
    <w:rsidRoot w:val="00055F1F"/>
    <w:rsid w:val="00012651"/>
    <w:rsid w:val="00013B8A"/>
    <w:rsid w:val="00044FBC"/>
    <w:rsid w:val="00055F1F"/>
    <w:rsid w:val="000577EF"/>
    <w:rsid w:val="00057F18"/>
    <w:rsid w:val="000A445D"/>
    <w:rsid w:val="000C178B"/>
    <w:rsid w:val="000D319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C20AF"/>
    <w:rsid w:val="002D7614"/>
    <w:rsid w:val="002E01F6"/>
    <w:rsid w:val="002F1ACB"/>
    <w:rsid w:val="002F530F"/>
    <w:rsid w:val="00305E97"/>
    <w:rsid w:val="00310532"/>
    <w:rsid w:val="0032782B"/>
    <w:rsid w:val="00340B3D"/>
    <w:rsid w:val="0034253A"/>
    <w:rsid w:val="003633B5"/>
    <w:rsid w:val="003669CF"/>
    <w:rsid w:val="00367A30"/>
    <w:rsid w:val="003A06D2"/>
    <w:rsid w:val="003A3E71"/>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54813"/>
    <w:rsid w:val="00561529"/>
    <w:rsid w:val="00570142"/>
    <w:rsid w:val="00586C35"/>
    <w:rsid w:val="00596BA2"/>
    <w:rsid w:val="005B1B6F"/>
    <w:rsid w:val="005B6CCB"/>
    <w:rsid w:val="005B6EF6"/>
    <w:rsid w:val="005C54AA"/>
    <w:rsid w:val="005C7B89"/>
    <w:rsid w:val="005F3D58"/>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A73B6"/>
    <w:rsid w:val="008B5402"/>
    <w:rsid w:val="008D11BC"/>
    <w:rsid w:val="008E7ECE"/>
    <w:rsid w:val="0090527E"/>
    <w:rsid w:val="00905BB7"/>
    <w:rsid w:val="0090620C"/>
    <w:rsid w:val="00912DA4"/>
    <w:rsid w:val="009302B8"/>
    <w:rsid w:val="009305C6"/>
    <w:rsid w:val="0097068B"/>
    <w:rsid w:val="009752AE"/>
    <w:rsid w:val="00982F3D"/>
    <w:rsid w:val="00983232"/>
    <w:rsid w:val="009A278A"/>
    <w:rsid w:val="009B0136"/>
    <w:rsid w:val="009B6368"/>
    <w:rsid w:val="009C7568"/>
    <w:rsid w:val="009F5978"/>
    <w:rsid w:val="009F63C4"/>
    <w:rsid w:val="00A16957"/>
    <w:rsid w:val="00A6155C"/>
    <w:rsid w:val="00A8079E"/>
    <w:rsid w:val="00A82B26"/>
    <w:rsid w:val="00A90328"/>
    <w:rsid w:val="00A92D66"/>
    <w:rsid w:val="00AA4262"/>
    <w:rsid w:val="00AB16E3"/>
    <w:rsid w:val="00AB5A90"/>
    <w:rsid w:val="00AB7449"/>
    <w:rsid w:val="00AE4AA5"/>
    <w:rsid w:val="00AE7FA9"/>
    <w:rsid w:val="00AF7AB0"/>
    <w:rsid w:val="00B147EB"/>
    <w:rsid w:val="00B22155"/>
    <w:rsid w:val="00B76AA9"/>
    <w:rsid w:val="00B80FAB"/>
    <w:rsid w:val="00B81C88"/>
    <w:rsid w:val="00B93597"/>
    <w:rsid w:val="00BA5C83"/>
    <w:rsid w:val="00BC6A7D"/>
    <w:rsid w:val="00BC7F08"/>
    <w:rsid w:val="00BD4829"/>
    <w:rsid w:val="00BD6002"/>
    <w:rsid w:val="00BD719F"/>
    <w:rsid w:val="00BE3C58"/>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01854"/>
    <w:rsid w:val="00E12C68"/>
    <w:rsid w:val="00E2325B"/>
    <w:rsid w:val="00E24075"/>
    <w:rsid w:val="00E270C9"/>
    <w:rsid w:val="00E35F38"/>
    <w:rsid w:val="00E46F27"/>
    <w:rsid w:val="00E509CC"/>
    <w:rsid w:val="00E56DC0"/>
    <w:rsid w:val="00E64F70"/>
    <w:rsid w:val="00E71A04"/>
    <w:rsid w:val="00E763CF"/>
    <w:rsid w:val="00E90DA6"/>
    <w:rsid w:val="00E96342"/>
    <w:rsid w:val="00EA2FEA"/>
    <w:rsid w:val="00EA56CB"/>
    <w:rsid w:val="00EA7853"/>
    <w:rsid w:val="00EB351F"/>
    <w:rsid w:val="00EE6FB9"/>
    <w:rsid w:val="00F000B1"/>
    <w:rsid w:val="00F012D3"/>
    <w:rsid w:val="00F044C3"/>
    <w:rsid w:val="00F10D04"/>
    <w:rsid w:val="00F169E3"/>
    <w:rsid w:val="00F35D4B"/>
    <w:rsid w:val="00F3746B"/>
    <w:rsid w:val="00F42B1D"/>
    <w:rsid w:val="00F572CB"/>
    <w:rsid w:val="00F621AF"/>
    <w:rsid w:val="00F8024E"/>
    <w:rsid w:val="00F82447"/>
    <w:rsid w:val="00F868E5"/>
    <w:rsid w:val="00FB2F32"/>
    <w:rsid w:val="00FC3191"/>
    <w:rsid w:val="00FE0F1F"/>
    <w:rsid w:val="00FF61F3"/>
    <w:rsid w:val="0A214432"/>
    <w:rsid w:val="0AEB73DB"/>
    <w:rsid w:val="19C71013"/>
    <w:rsid w:val="27733670"/>
    <w:rsid w:val="27CC1EEA"/>
    <w:rsid w:val="366003CD"/>
    <w:rsid w:val="44903175"/>
    <w:rsid w:val="5B321A89"/>
    <w:rsid w:val="680E5A14"/>
    <w:rsid w:val="745E5245"/>
    <w:rsid w:val="7B921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styleId="18">
    <w:name w:val="List Paragraph"/>
    <w:basedOn w:val="1"/>
    <w:unhideWhenUsed/>
    <w:uiPriority w:val="99"/>
    <w:pPr>
      <w:ind w:firstLine="420" w:firstLineChars="200"/>
    </w:pPr>
  </w:style>
  <w:style w:type="character" w:customStyle="1" w:styleId="19">
    <w:name w:val="font21"/>
    <w:basedOn w:val="6"/>
    <w:uiPriority w:val="0"/>
    <w:rPr>
      <w:rFonts w:hint="default" w:ascii="Times New Roman" w:hAnsi="Times New Roman" w:cs="Times New Roman"/>
      <w:color w:val="000000"/>
      <w:sz w:val="24"/>
      <w:szCs w:val="24"/>
      <w:u w:val="none"/>
    </w:rPr>
  </w:style>
  <w:style w:type="character" w:customStyle="1" w:styleId="20">
    <w:name w:val="font0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68381-E6F3-41C9-A8F7-52CE966EB624}">
  <ds:schemaRefs/>
</ds:datastoreItem>
</file>

<file path=docProps/app.xml><?xml version="1.0" encoding="utf-8"?>
<Properties xmlns="http://schemas.openxmlformats.org/officeDocument/2006/extended-properties" xmlns:vt="http://schemas.openxmlformats.org/officeDocument/2006/docPropsVTypes">
  <Template>Normal</Template>
  <Pages>12</Pages>
  <Words>744</Words>
  <Characters>4247</Characters>
  <Lines>35</Lines>
  <Paragraphs>9</Paragraphs>
  <TotalTime>931</TotalTime>
  <ScaleCrop>false</ScaleCrop>
  <LinksUpToDate>false</LinksUpToDate>
  <CharactersWithSpaces>4982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某时某刻</cp:lastModifiedBy>
  <cp:lastPrinted>2021-04-14T02:06:00Z</cp:lastPrinted>
  <dcterms:modified xsi:type="dcterms:W3CDTF">2023-11-14T09:29:37Z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1C42FFF89FDA4AC5B475085850211763_13</vt:lpwstr>
  </property>
</Properties>
</file>