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保定市徐水区文广新局</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w:t>
      </w:r>
      <w:bookmarkStart w:id="0" w:name="_GoBack"/>
      <w:bookmarkEnd w:id="0"/>
      <w:r>
        <w:rPr>
          <w:rFonts w:hint="eastAsia" w:ascii="仿宋" w:hAnsi="仿宋" w:eastAsia="仿宋"/>
          <w:sz w:val="32"/>
          <w:szCs w:val="32"/>
        </w:rPr>
        <w:t>》、《地方预决算公开操作规程》等文件规定，现将我部门预算信息公开如下：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我单位主要职责如下：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贯彻执行党和国家关于文化艺术、广播电影电视、新闻出版、版权、体育、文物、旅游等事业的路线、方针、政策和法律法规；研究拟定关于文化、广播电影电视、新闻出版、版权、体育、旅游等工作的地方政策、规章、发展规划和管理办法并负责组织、监督贯彻执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综合管理、指导、协调全县社会文化艺术、广播电影电视、新闻出版、版权、体育、文物、旅游等事业的发展；指导下属事业单位的文化体制改革；组织、指导、协调全县艺术创作和艺术生产；组织、指导、协调全县性重大文化、体育活动。研究制定全县文化发展战略和中长期发展规划，年度执行计划并监督执行。贯彻文化产业政策和拟订文化产业规划，指导、协调文化产业发展；参与规划、实施县重点文化、体育设施建设，管理县级公共文化、体育设施，加强文化馆、图书馆、乡镇街道文化站建设，组织、管理、指导群众性文化体育活动。指导和管理社会文化及图书馆事业，指导镇级文化设施建设。指导全县艺术创作、研究、生产、教育等事业，主办全县重大艺术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依法管理社会文化市场，负责文化市场、广播电影电视市场、新闻出版市场综合执法工作和稽查工作。在各级扫黄办领导下开展好扫黄打非工作。会同有关部门对文化市场和文化娱乐市场的行政执法、管理和稽查；研究制订有关政策和发展规划；负责全县文化市场管理和行政执法队伍建设；负责办理相关行政复议案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（四）依法负责管理全县演出、电影、图书、音像、文物、电子出版物和包装装潢印刷品印刷经营活动。负责电影发行放映和文艺演出的指导和管理。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（五）负责对外文化工作和对外文化交流联络工作。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（六）负责对全县文化艺术经营活动进行行业监管，对从事演艺活动的民办机构进行审核、监管。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（七）拟订全县动漫、游戏产业发展规划；指导动漫、游戏产业发展；负责动漫、网络游戏的项目建设、会展交易和市场监管。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（八）依法对网吧等上网服务营业场所实行经营许可证管理，对具有资格的网吧的违法违规行为进行稽查，对网络游戏服务进行审核、监管。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负责对全县出版活动进行监管，负责对全县出版物内容、出版物市场经营活动进行监管；负责对全县互联网出版活动和开办手机书刊、手机文学业务进行审核及监管。组织查处严重违规出版物和重大违法违规出版活动；对从事出版活动的民办机构、中介机构和社团组织的出版、印刷、发行工作进行指导、监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（十）负责全县印刷业的监管。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（十一）负责全县著作权管理工作，组织查处有重大影响的著作权侵权案件。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（十二）制定全县体育经营活动的从业条件。统筹安排县拨文化体育事业经费，推动国有文化、体育资产的规划、开发和利用。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（十三）编制全县旅游业发展的中长期规划和年度发展计划；对全县旅游业进行行业管理。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四）管理、指导和协调全县文物的保护、抢救、发掘、研究、宣传、利用等业务工作。研究处理文物保护重要问题。审核、申报县级文物保护单位，推荐、申报市级以上文物保护单位。负责贯彻落实国家有关非物质文化遗产保护政策，拟订县级非物质文化遗产保护规划，组织实施非物质文化遗产保护和优秀民族文化的传承普及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（十五）负责全县新闻单位记者证的审核申报、监管。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六）负责广播电影电视播出节目的内容和质量审查；组织、指导全县的广播电影电视宣传和电视剧创作及生产，促进广播电影电视事业的发展和繁荣。负责全县广播电视节目传播、监测和安全播出的监督管理；指导全县广播电影电视系统安全保卫工作，查处危害、破坏广播电视设施的行为；监督管理广播电视节目、卫星电视节目和通过信息网络向公众传播的视听节目，指导、协调广播电视的传输覆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七）负责对县级广播电视播出机构进行管理。申报全县各级广播电台、电视台、转播台、发射台的建立和撤消；指导、协调全县广播电影电视事业发展的有关事项。指导和协调全县广播电影电视系统科学技术的科学研究和开发利用，网络建设和管理工作；负责全县广播电影电视、信息网络视听节目服务机构和业务的监管并实施准入和退出审核、备案，负责对全县从事广播电影电视节目制作民办机构的监管工作。综合管理全县广播电视系统的对外交流与合作等外事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（十八）负责相关专业技术资格评审材料的审核工作；负责组织实施和管理有关业务培训工作。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（十九）承办县政府交办的其他事项。</w:t>
      </w:r>
    </w:p>
    <w:p>
      <w:pPr>
        <w:spacing w:line="360" w:lineRule="auto"/>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692" w:type="dxa"/>
            <w:tcBorders>
              <w:bottom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保定市徐水区文化广电新闻出版局(行政)</w:t>
            </w:r>
          </w:p>
        </w:tc>
        <w:tc>
          <w:tcPr>
            <w:tcW w:w="1701" w:type="dxa"/>
            <w:vAlign w:val="center"/>
          </w:tcPr>
          <w:p>
            <w:pPr>
              <w:widowControl/>
              <w:jc w:val="center"/>
              <w:rPr>
                <w:rFonts w:ascii="宋体" w:hAnsi="宋体" w:cs="宋体"/>
                <w:kern w:val="0"/>
                <w:sz w:val="20"/>
                <w:szCs w:val="20"/>
              </w:rPr>
            </w:pPr>
            <w:r>
              <w:rPr>
                <w:rFonts w:hint="eastAsia" w:ascii="宋体" w:hAnsi="宋体" w:cs="宋体"/>
                <w:kern w:val="0"/>
                <w:sz w:val="20"/>
                <w:szCs w:val="20"/>
              </w:rPr>
              <w:t>行政</w:t>
            </w:r>
          </w:p>
        </w:tc>
        <w:tc>
          <w:tcPr>
            <w:tcW w:w="1418" w:type="dxa"/>
            <w:vAlign w:val="center"/>
          </w:tcPr>
          <w:p>
            <w:pPr>
              <w:widowControl/>
              <w:jc w:val="center"/>
              <w:rPr>
                <w:rFonts w:ascii="宋体" w:hAnsi="宋体" w:cs="宋体"/>
                <w:kern w:val="0"/>
                <w:sz w:val="20"/>
                <w:szCs w:val="20"/>
              </w:rPr>
            </w:pPr>
            <w:r>
              <w:rPr>
                <w:rFonts w:hint="eastAsia" w:ascii="宋体" w:hAnsi="宋体" w:cs="宋体"/>
                <w:kern w:val="0"/>
                <w:sz w:val="20"/>
                <w:szCs w:val="20"/>
              </w:rPr>
              <w:t>正科级</w:t>
            </w:r>
          </w:p>
        </w:tc>
        <w:tc>
          <w:tcPr>
            <w:tcW w:w="3260" w:type="dxa"/>
            <w:vAlign w:val="center"/>
          </w:tcPr>
          <w:p>
            <w:pPr>
              <w:widowControl/>
              <w:jc w:val="center"/>
              <w:rPr>
                <w:rFonts w:ascii="宋体" w:hAnsi="宋体" w:cs="宋体"/>
                <w:kern w:val="0"/>
                <w:sz w:val="20"/>
                <w:szCs w:val="20"/>
              </w:rPr>
            </w:pPr>
            <w:r>
              <w:rPr>
                <w:rFonts w:hint="eastAsia" w:ascii="宋体" w:hAnsi="宋体" w:cs="宋体"/>
                <w:kern w:val="0"/>
                <w:sz w:val="20"/>
                <w:szCs w:val="2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692" w:type="dxa"/>
            <w:tcBorders>
              <w:top w:val="single" w:color="auto" w:sz="4" w:space="0"/>
              <w:bottom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保定市徐水区文化广电新闻出版局（事业）</w:t>
            </w:r>
          </w:p>
        </w:tc>
        <w:tc>
          <w:tcPr>
            <w:tcW w:w="1701" w:type="dxa"/>
            <w:vAlign w:val="center"/>
          </w:tcPr>
          <w:p>
            <w:pPr>
              <w:widowControl/>
              <w:jc w:val="center"/>
              <w:rPr>
                <w:rFonts w:ascii="宋体" w:hAnsi="宋体" w:cs="宋体"/>
                <w:kern w:val="0"/>
                <w:sz w:val="20"/>
                <w:szCs w:val="20"/>
              </w:rPr>
            </w:pPr>
            <w:r>
              <w:rPr>
                <w:rFonts w:hint="eastAsia" w:ascii="宋体" w:hAnsi="宋体" w:cs="宋体"/>
                <w:kern w:val="0"/>
                <w:sz w:val="20"/>
                <w:szCs w:val="20"/>
              </w:rPr>
              <w:t>事业</w:t>
            </w:r>
          </w:p>
        </w:tc>
        <w:tc>
          <w:tcPr>
            <w:tcW w:w="1418" w:type="dxa"/>
            <w:vAlign w:val="center"/>
          </w:tcPr>
          <w:p>
            <w:pPr>
              <w:widowControl/>
              <w:jc w:val="center"/>
              <w:rPr>
                <w:rFonts w:ascii="宋体" w:hAnsi="宋体" w:cs="宋体"/>
                <w:kern w:val="0"/>
                <w:sz w:val="20"/>
                <w:szCs w:val="20"/>
              </w:rPr>
            </w:pPr>
            <w:r>
              <w:rPr>
                <w:rFonts w:hint="eastAsia" w:ascii="宋体" w:hAnsi="宋体" w:cs="宋体"/>
                <w:kern w:val="0"/>
                <w:sz w:val="20"/>
                <w:szCs w:val="20"/>
              </w:rPr>
              <w:t>副科级</w:t>
            </w:r>
          </w:p>
        </w:tc>
        <w:tc>
          <w:tcPr>
            <w:tcW w:w="3260" w:type="dxa"/>
            <w:vAlign w:val="center"/>
          </w:tcPr>
          <w:p>
            <w:pPr>
              <w:widowControl/>
              <w:ind w:firstLine="300" w:firstLineChars="150"/>
              <w:rPr>
                <w:rFonts w:ascii="宋体" w:hAnsi="宋体" w:cs="宋体"/>
                <w:kern w:val="0"/>
                <w:sz w:val="20"/>
                <w:szCs w:val="20"/>
              </w:rPr>
            </w:pPr>
            <w:r>
              <w:rPr>
                <w:rFonts w:hint="eastAsia" w:ascii="宋体" w:hAnsi="宋体" w:cs="宋体"/>
                <w:kern w:val="0"/>
                <w:sz w:val="20"/>
                <w:szCs w:val="20"/>
              </w:rPr>
              <w:t>财政性资金基本保证</w:t>
            </w: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1717.44</w:t>
      </w:r>
      <w:r>
        <w:rPr>
          <w:rFonts w:ascii="仿宋" w:hAnsi="仿宋" w:eastAsia="仿宋"/>
          <w:sz w:val="32"/>
          <w:szCs w:val="32"/>
        </w:rPr>
        <w:t>万元,其中：一般公共预算收入</w:t>
      </w:r>
      <w:r>
        <w:rPr>
          <w:rFonts w:hint="eastAsia" w:ascii="仿宋" w:hAnsi="仿宋" w:eastAsia="仿宋"/>
          <w:sz w:val="32"/>
          <w:szCs w:val="32"/>
        </w:rPr>
        <w:t>1710.44</w:t>
      </w:r>
      <w:r>
        <w:rPr>
          <w:rFonts w:ascii="仿宋" w:hAnsi="仿宋" w:eastAsia="仿宋"/>
          <w:sz w:val="32"/>
          <w:szCs w:val="32"/>
        </w:rPr>
        <w:t>万元，基金预算收入</w:t>
      </w:r>
      <w:r>
        <w:rPr>
          <w:rFonts w:hint="eastAsia" w:ascii="仿宋" w:hAnsi="仿宋" w:eastAsia="仿宋"/>
          <w:sz w:val="32"/>
          <w:szCs w:val="32"/>
        </w:rPr>
        <w:t>7</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1717.44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基本支出1201.36万元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1116.87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84.49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516.08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516.08</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left="420" w:firstLine="217" w:firstLineChars="68"/>
        <w:rPr>
          <w:rFonts w:ascii="仿宋" w:hAnsi="仿宋" w:eastAsia="仿宋"/>
          <w:sz w:val="32"/>
          <w:szCs w:val="32"/>
        </w:rPr>
      </w:pPr>
      <w:r>
        <w:rPr>
          <w:rFonts w:hint="eastAsia" w:ascii="仿宋" w:hAnsi="仿宋" w:eastAsia="仿宋"/>
          <w:sz w:val="32"/>
          <w:szCs w:val="32"/>
        </w:rPr>
        <w:t>本年度预算收支安排1717.44万元，较上年增加237.27</w:t>
      </w:r>
      <w:r>
        <w:rPr>
          <w:rFonts w:ascii="仿宋" w:hAnsi="仿宋" w:eastAsia="仿宋"/>
          <w:sz w:val="32"/>
          <w:szCs w:val="32"/>
        </w:rPr>
        <w:t>万元。其中:基本支出增加</w:t>
      </w:r>
      <w:r>
        <w:rPr>
          <w:rFonts w:hint="eastAsia" w:ascii="仿宋" w:hAnsi="仿宋" w:eastAsia="仿宋"/>
          <w:sz w:val="32"/>
          <w:szCs w:val="32"/>
        </w:rPr>
        <w:t>343.71</w:t>
      </w:r>
      <w:r>
        <w:rPr>
          <w:rFonts w:ascii="仿宋" w:hAnsi="仿宋" w:eastAsia="仿宋"/>
          <w:sz w:val="32"/>
          <w:szCs w:val="32"/>
        </w:rPr>
        <w:t>万元，主要原因是</w:t>
      </w:r>
      <w:r>
        <w:rPr>
          <w:rFonts w:hint="eastAsia" w:ascii="仿宋" w:hAnsi="仿宋" w:eastAsia="仿宋"/>
          <w:sz w:val="32"/>
          <w:szCs w:val="32"/>
        </w:rPr>
        <w:t>人员工资福利增加</w:t>
      </w:r>
      <w:r>
        <w:rPr>
          <w:rFonts w:ascii="仿宋" w:hAnsi="仿宋" w:eastAsia="仿宋"/>
          <w:sz w:val="32"/>
          <w:szCs w:val="32"/>
        </w:rPr>
        <w:t>；项目支出减少</w:t>
      </w:r>
      <w:r>
        <w:rPr>
          <w:rFonts w:hint="eastAsia" w:ascii="仿宋" w:hAnsi="仿宋" w:eastAsia="仿宋"/>
          <w:sz w:val="32"/>
          <w:szCs w:val="32"/>
        </w:rPr>
        <w:t>106.44</w:t>
      </w:r>
      <w:r>
        <w:rPr>
          <w:rFonts w:ascii="仿宋" w:hAnsi="仿宋" w:eastAsia="仿宋"/>
          <w:sz w:val="32"/>
          <w:szCs w:val="32"/>
        </w:rPr>
        <w:t>万元，主要原因是</w:t>
      </w:r>
      <w:r>
        <w:rPr>
          <w:rFonts w:hint="eastAsia" w:ascii="仿宋" w:hAnsi="仿宋" w:eastAsia="仿宋"/>
          <w:sz w:val="32"/>
          <w:szCs w:val="32"/>
        </w:rPr>
        <w:t>项目核算支出减少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84.49</w:t>
      </w:r>
      <w:r>
        <w:rPr>
          <w:rFonts w:ascii="仿宋" w:hAnsi="仿宋" w:eastAsia="仿宋"/>
          <w:sz w:val="32"/>
          <w:szCs w:val="32"/>
        </w:rPr>
        <w:t>万元，其中办公费</w:t>
      </w:r>
      <w:r>
        <w:rPr>
          <w:rFonts w:hint="eastAsia" w:ascii="仿宋" w:hAnsi="仿宋" w:eastAsia="仿宋"/>
          <w:sz w:val="32"/>
          <w:szCs w:val="32"/>
        </w:rPr>
        <w:t>26.87</w:t>
      </w:r>
      <w:r>
        <w:rPr>
          <w:rFonts w:ascii="仿宋" w:hAnsi="仿宋" w:eastAsia="仿宋"/>
          <w:sz w:val="32"/>
          <w:szCs w:val="32"/>
        </w:rPr>
        <w:t>万元，邮电费</w:t>
      </w:r>
      <w:r>
        <w:rPr>
          <w:rFonts w:hint="eastAsia" w:ascii="仿宋" w:hAnsi="仿宋" w:eastAsia="仿宋"/>
          <w:sz w:val="32"/>
          <w:szCs w:val="32"/>
        </w:rPr>
        <w:t>6.48</w:t>
      </w:r>
      <w:r>
        <w:rPr>
          <w:rFonts w:ascii="仿宋" w:hAnsi="仿宋" w:eastAsia="仿宋"/>
          <w:sz w:val="32"/>
          <w:szCs w:val="32"/>
        </w:rPr>
        <w:t>万元，工会经费、福利费</w:t>
      </w:r>
      <w:r>
        <w:rPr>
          <w:rFonts w:hint="eastAsia" w:ascii="仿宋" w:hAnsi="仿宋" w:eastAsia="仿宋"/>
          <w:sz w:val="32"/>
          <w:szCs w:val="32"/>
        </w:rPr>
        <w:t>17.7</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23.44</w:t>
      </w:r>
      <w:r>
        <w:rPr>
          <w:rFonts w:ascii="仿宋" w:hAnsi="仿宋" w:eastAsia="仿宋"/>
          <w:sz w:val="32"/>
          <w:szCs w:val="32"/>
        </w:rPr>
        <w:t>万元。</w:t>
      </w:r>
      <w:r>
        <w:rPr>
          <w:rFonts w:hint="eastAsia" w:ascii="仿宋" w:hAnsi="仿宋" w:eastAsia="仿宋"/>
          <w:sz w:val="32"/>
          <w:szCs w:val="32"/>
        </w:rPr>
        <w:t>（按照本部门</w:t>
      </w:r>
      <w:r>
        <w:rPr>
          <w:rFonts w:ascii="仿宋" w:hAnsi="仿宋" w:eastAsia="仿宋"/>
          <w:sz w:val="32"/>
          <w:szCs w:val="32"/>
        </w:rPr>
        <w:t>机关运行经费</w:t>
      </w:r>
      <w:r>
        <w:rPr>
          <w:rFonts w:hint="eastAsia" w:ascii="仿宋" w:hAnsi="仿宋" w:eastAsia="仿宋"/>
          <w:sz w:val="32"/>
          <w:szCs w:val="32"/>
        </w:rPr>
        <w:t>明细的实际</w:t>
      </w:r>
      <w:r>
        <w:rPr>
          <w:rFonts w:ascii="仿宋" w:hAnsi="仿宋" w:eastAsia="仿宋"/>
          <w:sz w:val="32"/>
          <w:szCs w:val="32"/>
        </w:rPr>
        <w:t>情况填报</w:t>
      </w:r>
      <w:r>
        <w:rPr>
          <w:rFonts w:hint="eastAsia" w:ascii="仿宋" w:hAnsi="仿宋" w:eastAsia="仿宋"/>
          <w:sz w:val="32"/>
          <w:szCs w:val="32"/>
        </w:rPr>
        <w:t>）</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p>
          <w:tbl>
            <w:tblPr>
              <w:tblStyle w:val="5"/>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一、总体绩效目标：</w:t>
      </w:r>
    </w:p>
    <w:p>
      <w:pPr>
        <w:spacing w:line="500" w:lineRule="exact"/>
        <w:ind w:firstLine="560"/>
        <w:rPr>
          <w:rFonts w:ascii="方正仿宋_GBK" w:eastAsia="方正仿宋_GBK"/>
          <w:sz w:val="28"/>
        </w:rPr>
      </w:pPr>
      <w:r>
        <w:rPr>
          <w:rFonts w:hint="eastAsia" w:ascii="方正仿宋_GBK" w:hAnsi="宋体" w:eastAsia="方正仿宋_GBK"/>
          <w:sz w:val="28"/>
        </w:rPr>
        <w:t>不断完善区域文化产业发展规划，大力发展文化产业，积极培育和开拓市场，加强区、乡文化广电新闻出版设施建设，建立政府为主导，社会力量共同兴办的全区文化广电新闻出版事业新格局；逐步形成布局合理、设施较为完善、具有徐水特色的与经济协调发展的文化广电新闻出版体系。一是努力繁荣文化事业，二是加快发展广播电影电视事业，三是大力发展新闻出版业，四是切实加强体育事业，五是加快旅游业的发展</w:t>
      </w:r>
      <w:r>
        <w:rPr>
          <w:rFonts w:ascii="方正仿宋_GBK" w:eastAsia="方正仿宋_GBK"/>
          <w:sz w:val="28"/>
        </w:rPr>
        <w:t>,</w:t>
      </w:r>
      <w:r>
        <w:rPr>
          <w:rFonts w:hint="eastAsia" w:ascii="方正仿宋_GBK" w:hAnsi="宋体" w:eastAsia="方正仿宋_GBK"/>
          <w:sz w:val="28"/>
        </w:rPr>
        <w:t>六是管理、指导和协调全区文物保护工作。</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二、部门职责及工作活动绩效目标指标</w:t>
      </w: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357</w:t>
            </w:r>
            <w:r>
              <w:rPr>
                <w:rFonts w:hint="eastAsia" w:ascii="方正小标宋_GBK" w:eastAsia="方正小标宋_GBK"/>
                <w:sz w:val="24"/>
              </w:rPr>
              <w:t>保定市徐水区文化广电新闻出版局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一、新闻出版广播影视事业建设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31.95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做好各类广播电视节目制作、宣传、采访报道、传输发射实验以及影视剧、专题片等创作生产。建立广播电视安全播出保障体系，加强台站、安全播出管理。组织实施重大公益工程和公益活动。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党的路线、方针、政策和区委、区政府的工作部署，坚持正确舆论导向，发挥主流媒体作用；办好各类广播电视节目；开展各类宣传工作；配合上级台完成我区的采访报道工作并提供各类节目；承担区委、区政府宣传片的创作生产、专题片等的创作生产。负责相关设备的正常运行和维护。</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、广播影视节目制作播出</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坚持正确舆论导向，发挥主流媒体作用，加强内容形式以及方法手段创新，提高广播电视覆盖人口规模与数量，提升电台、电视台影响力。</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研发新节目，打造品牌活动；媒体识别度和影响力进一步提升，收听收看群体扩大；广告创收任务完成。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综合覆盖率（明确指标含义）</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广播≥</w:t>
            </w:r>
            <w:r>
              <w:rPr>
                <w:rFonts w:ascii="方正书宋_GBK" w:eastAsia="方正书宋_GBK"/>
              </w:rPr>
              <w:t xml:space="preserve">90% </w:t>
            </w:r>
            <w:r>
              <w:rPr>
                <w:rFonts w:hint="eastAsia" w:ascii="方正书宋_GBK" w:eastAsia="方正书宋_GBK"/>
              </w:rPr>
              <w:t>电视≥</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广播≥</w:t>
            </w:r>
            <w:r>
              <w:rPr>
                <w:rFonts w:ascii="方正书宋_GBK" w:eastAsia="方正书宋_GBK"/>
              </w:rPr>
              <w:t xml:space="preserve">80% </w:t>
            </w:r>
            <w:r>
              <w:rPr>
                <w:rFonts w:hint="eastAsia" w:ascii="方正书宋_GBK" w:eastAsia="方正书宋_GBK"/>
              </w:rPr>
              <w:t>电视≥</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广播≥</w:t>
            </w:r>
            <w:r>
              <w:rPr>
                <w:rFonts w:ascii="方正书宋_GBK" w:eastAsia="方正书宋_GBK"/>
              </w:rPr>
              <w:t xml:space="preserve">70% </w:t>
            </w:r>
            <w:r>
              <w:rPr>
                <w:rFonts w:hint="eastAsia" w:ascii="方正书宋_GBK" w:eastAsia="方正书宋_GBK"/>
              </w:rPr>
              <w:t>电视≥</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广播＜</w:t>
            </w:r>
            <w:r>
              <w:rPr>
                <w:rFonts w:ascii="方正书宋_GBK" w:eastAsia="方正书宋_GBK"/>
              </w:rPr>
              <w:t xml:space="preserve">70% </w:t>
            </w:r>
            <w:r>
              <w:rPr>
                <w:rFonts w:hint="eastAsia" w:ascii="方正书宋_GBK" w:eastAsia="方正书宋_GBK"/>
              </w:rPr>
              <w:t>电视＜</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开办新栏目、新节目数量（个）</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对上报道录用率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、广播影视节目制作能力建设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加强技术管理、技术升级改造及设备设施维护，开展新技术应用。向移动互联网跨越发展，打造智能生活服务类客户端，促进媒体融合。</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通过技术升级，实现区级台内容资源互通互享，提高节目制力和传播能力；拓展新媒体传播途径，开拓新型业务。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新媒体的融合度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新媒体设备利用率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数字化设备更新率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、安全播出管理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对广播电视节目传输、覆盖及网络和新媒体内容等的安全播出情况进行监管；对发射台的运行维护管理。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建立起完备的广播电视安全播出保障体系，私开、私设频率（频道）违法行为和非法音视频内容查处有力。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违规违法查处案件完成率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信号测定准确度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能准确对无线信号进行测定</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能较为准确对无线信号进行测定</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测定信号误差较大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无法测定无线信号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无线广播电视节目的传输、覆盖和安全播出参数测算准确度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能准确测算参数指标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较为准确测算参数指标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测量参数指标误差较大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无法进行检测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、公共服务工程推广</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31.95</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根据省市下达的任务目标，完成全区广播电视直播卫星户户通工程、区城数字影院升级改造、农家书屋建设、全民阅读活动、老放映员生活补助。</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重大公益工程和公益活动推进扎实，新闻出版广播影视惠民政策成效显著。</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全年公益电影放映场次完成率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区城数字影院票房总额年度增长率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户户通</w:t>
            </w:r>
            <w:r>
              <w:rPr>
                <w:rFonts w:hint="cs" w:ascii="方正书宋_GBK" w:eastAsia="方正书宋_GBK"/>
              </w:rPr>
              <w:t>”</w:t>
            </w:r>
            <w:r>
              <w:rPr>
                <w:rFonts w:hint="eastAsia" w:ascii="方正书宋_GBK" w:eastAsia="方正书宋_GBK"/>
              </w:rPr>
              <w:t>入户数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农家书屋出版物补充、更新及配送量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二、新闻出版广播影视产业建设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57.73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统筹规划并组织实施新闻出版广播影视产业发展</w:t>
            </w:r>
            <w:r>
              <w:rPr>
                <w:rFonts w:ascii="方正书宋_GBK" w:eastAsia="方正书宋_GBK"/>
              </w:rPr>
              <w:t>,</w:t>
            </w:r>
            <w:r>
              <w:rPr>
                <w:rFonts w:hint="eastAsia" w:ascii="方正书宋_GBK" w:eastAsia="方正书宋_GBK"/>
              </w:rPr>
              <w:t>推进广电网与电信网、互联网三网融合</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统筹规划并组织实施新闻出版广播影视产业发展</w:t>
            </w:r>
            <w:r>
              <w:rPr>
                <w:rFonts w:ascii="方正书宋_GBK" w:eastAsia="方正书宋_GBK"/>
              </w:rPr>
              <w:t>,</w:t>
            </w:r>
            <w:r>
              <w:rPr>
                <w:rFonts w:hint="eastAsia" w:ascii="方正书宋_GBK" w:eastAsia="方正书宋_GBK"/>
              </w:rPr>
              <w:t>推进广电网与电信网、互联网三网融合</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、新闻出版广播影视产业发展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57.73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指导、协调产业项目开展，推动</w:t>
            </w:r>
            <w:r>
              <w:rPr>
                <w:rFonts w:ascii="方正书宋_GBK" w:eastAsia="方正书宋_GBK"/>
              </w:rPr>
              <w:t>IPTV</w:t>
            </w:r>
            <w:r>
              <w:rPr>
                <w:rFonts w:hint="eastAsia" w:ascii="方正书宋_GBK" w:eastAsia="方正书宋_GBK"/>
              </w:rPr>
              <w:t>播控平台功能完善工作，监督、指导相关单位在全区全面推开</w:t>
            </w:r>
            <w:r>
              <w:rPr>
                <w:rFonts w:ascii="方正书宋_GBK" w:eastAsia="方正书宋_GBK"/>
              </w:rPr>
              <w:t>IPTV</w:t>
            </w:r>
            <w:r>
              <w:rPr>
                <w:rFonts w:hint="eastAsia" w:ascii="方正书宋_GBK" w:eastAsia="方正书宋_GBK"/>
              </w:rPr>
              <w:t>业务。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新闻出版广播影视产业不断发展壮大。</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w:t>
            </w:r>
            <w:r>
              <w:rPr>
                <w:rFonts w:ascii="方正书宋_GBK" w:eastAsia="方正书宋_GBK"/>
              </w:rPr>
              <w:t>IPTV</w:t>
            </w:r>
            <w:r>
              <w:rPr>
                <w:rFonts w:hint="eastAsia" w:ascii="方正书宋_GBK" w:eastAsia="方正书宋_GBK"/>
              </w:rPr>
              <w:t>任务目标完成率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174.21</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拟定新闻出版广播影视产业发展规划；新闻出版物、广播影视节目内容和质量监督管理；负责市场经营活动的监督管理工作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54.69</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拟定新闻出版广播影视产业发展规划；开展新闻出版影视行业监督管理；监督管理市场经营活动。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119.52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开展的新闻出版广播电视研究、培训、后勤保障以及其他各项基础性保障工作。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保障机关工作正常高效运转。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四、文化艺术管理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184.67</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管理和指导全区文化建设，推进文化发展环境能力建设，提供公共文化服务、文化艺术资源建设和文化艺术生产。</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文化发展环境健康向上，文化发展能力不断增强，文化艺术资源丰富，公共文化服务和文化艺术生产水平不断提高。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、公共文化服务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184.67</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规划、推动全区各级文化服务机构、设施和队伍建设，创新公共文化服务模式，建立公共文化资源共享机制，健全公共文化服务网络。组织指导公共文化产品生产，提供文化服务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公共文化设施达标，机构和队伍健全，实现公共文化资源共享，形成城乡一体公共文化服务网络；公共文化产品生产和服务能力提高，基本公共文化服务标准化、均等化水平不断提高。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公共文化服务活动数量（场次）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公共文化场馆免费率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送公益流动文化服务进基层完成率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、文化艺术资源建设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管理、指导公共图书馆、美术馆等文化机构开展收藏、收集和保存工作；收藏、整理保管各类型资源文献、文化艺术作品和档案资料等；推广数字化建设和资源共享。</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收藏工作有序开展，收藏设施设备和物品等国有资产安全完整、高效利用。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仓储设施设备及环境完好率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收藏及保管物品完好率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收集品入藏情况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、文化艺术生产</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加强艺术教育和文化科研建设，指导、推动文化艺术创作生产和展览展示，组织举办各类文化艺术活动。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文化艺术作品进一步丰富，专业艺术创作生产能力和地位不断提高，文化科研能力进一步提升。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创作美术作品并展示数量（件）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区城年演出场次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五、文化宣传交流</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指导、组织全区优秀文化产品、服务和品牌活动宣传推介；组织全区文化交流活动。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提升文化交流档次和水平，不断增大我区文化产业产值，扩大我区文化影响力。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、文化交流合作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利用各类文化交流平台开展合作，宣传推介我区文化艺术资源，提升文化交流水平。</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全方位宣传推介我区文化艺术资源，提升交流水平和档次。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文化交流次数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与其他区域文化机构合作数量完成率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资助对外输出文化产品服务人次的增长率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、文化宣传推介</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组织优秀文化产品和活动等参加比赛活动，入选项目中后期监督、管理；对我区文化进行综合宣传推介。</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推动更多文化项目入选上级扶持项目；推动更多文化项目取得大赛名次和被认知；提高我区文化的影响力。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推介和获奖项目媒体宣传率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推介成功率和获奖率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组织推介申报项目情况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六、文化保护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指导、组织开展文化保护工作</w:t>
            </w:r>
            <w:r>
              <w:rPr>
                <w:rFonts w:ascii="方正书宋_GBK" w:eastAsia="方正书宋_GBK"/>
              </w:rPr>
              <w:t>;</w:t>
            </w:r>
            <w:r>
              <w:rPr>
                <w:rFonts w:hint="eastAsia" w:ascii="方正书宋_GBK" w:eastAsia="方正书宋_GBK"/>
              </w:rPr>
              <w:t>组织实施优秀民族文化的传承普及工作；维护国家文化安全。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构建健全的文化保护体系，文化保护工作得到全面加强，优秀文化得到传承和发扬。</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、文化保护</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组织开展非物质文化保护工作；组织实施优秀民族文化的传承普及工作。</w:t>
            </w:r>
            <w:r>
              <w:rPr>
                <w:rFonts w:ascii="方正书宋_GBK" w:eastAsia="方正书宋_GBK"/>
              </w:rPr>
              <w:t xml:space="preserve"> </w:t>
            </w:r>
            <w:r>
              <w:rPr>
                <w:rFonts w:hint="eastAsia" w:ascii="方正书宋_GBK" w:eastAsia="方正书宋_GBK"/>
              </w:rPr>
              <w:t>对城乡特色鲜明的艺术形式和文化活动进行扶持和保护，推动特色文化传承发扬。</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珍贵、濒危的非物质文化遗产得到有效抢救和保护，优秀特色文化得到传承和发扬。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展示和传承优秀项目占比数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濒危和重点项目有效保护覆盖率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七、文化政务管理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确保各项业务工作谋划到位、顺利开展。保障机关工作正常高效运转。</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拟订并组织实施全区文化艺术事业发展规划</w:t>
            </w:r>
            <w:r>
              <w:rPr>
                <w:rFonts w:ascii="方正书宋_GBK" w:eastAsia="方正书宋_GBK"/>
              </w:rPr>
              <w:t>,</w:t>
            </w:r>
            <w:r>
              <w:rPr>
                <w:rFonts w:hint="eastAsia" w:ascii="方正书宋_GBK" w:eastAsia="方正书宋_GBK"/>
              </w:rPr>
              <w:t>开展全区文化事业调查研究，履行文化市场监管职责，加快文化产业发展，加强非物质文化遗产保护和优秀民族文化的传承普及，开展文化宣传、交流、合作、保护等业务管理工作。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文化管理和发展硬件、软件水平；加强人才引进、培养和文化队伍建设，加强艺术教育建设；加快文化科研和信息化建设；筹备召开全区文化工作会议和一般性专项会议；不断提升工作的规范化水平；保障机关运转，努力改善机关形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保障机关工作正常高效运转。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八、体育发展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推动多元化体育服务体系建设，推动体育公共服务；规范体育服务管理工作。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加强体育公共服务体系建设，促进全区体育事业全面协调可持续发展。引导全区体育产业繁荣、健康、良性发展。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、体育发展</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全民健身条例》，推行全民健身计划，组织开展群众体育活动，加强群众体育设施建设，指导群众科学健身，指导开展群众性体育活动，会同有关部门举办全区残疾人、农民、少数民族、职工综合性运动会，培训社会体育指导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全民健身条例》，推行全民健身计划，发展全民健身事业，完善全民健身公共服务体系；促进全区群众体育活动开展，加强群众体育设施建设，满足群众健身需求，提高群众身体素质和健康水平；指导群众科学健身，会同有关部门举办全区残疾人、农民、少数民族、职工综合性运动会，培训社会体育指导员，开展国民体质监测。</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举办综合性运动比赛次数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大型比赛群众参与度（人次）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场馆设施运行状况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运行良好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正常运行</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部分不能正常运行</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不能使用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组织开展大型全民健身活动次数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做好社会体育指导员的管理、指导和培训</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大型全民健身活动参与人数增长率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、体育设施建设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加强体育场馆、体育设施建设，加强公共体育设施监督管理。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建设功能明确、特色鲜明、设备先进、管理科学的体育训练场地、场馆和设施，使之成为群众健身、体育训练和服务的基础保障。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场地建设达标率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年度基本建设和维修改造计划完成率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确保各项业务工作谋划到位、顺利开展。保障机关工作正常高效运转。</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拟定体育事业和产业发展规划，开展体育赛事管理、体育交流合作宣传等工作。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公众满意度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主要开展设施维护运行等保障运转工作。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保障机关工作正常高效运转。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十、旅游政务管理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负责贯彻国家发展旅游业的方针、政策、法规，规范旅游市场秩序，监督管理服务质量，维护旅游消费者和经营者合法权益；负责日常监管和行业培训，接受游客投诉，开展行风评议。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拟定全县重大旅游政策、标准，起草地方性法规、规章并监督实施，指导全县旅游工作；开展旅游行业管理，规范旅游行业行为，年度评定</w:t>
            </w:r>
            <w:r>
              <w:rPr>
                <w:rFonts w:ascii="方正书宋_GBK" w:eastAsia="方正书宋_GBK"/>
              </w:rPr>
              <w:t>4A</w:t>
            </w:r>
            <w:r>
              <w:rPr>
                <w:rFonts w:hint="eastAsia" w:ascii="方正书宋_GBK" w:eastAsia="方正书宋_GBK"/>
              </w:rPr>
              <w:t>级旅行社达到</w:t>
            </w:r>
            <w:r>
              <w:rPr>
                <w:rFonts w:ascii="方正书宋_GBK" w:eastAsia="方正书宋_GBK"/>
              </w:rPr>
              <w:t>20</w:t>
            </w:r>
            <w:r>
              <w:rPr>
                <w:rFonts w:hint="eastAsia" w:ascii="方正书宋_GBK" w:eastAsia="方正书宋_GBK"/>
              </w:rPr>
              <w:t>家以上、年度评定绿色饭店达到</w:t>
            </w:r>
            <w:r>
              <w:rPr>
                <w:rFonts w:ascii="方正书宋_GBK" w:eastAsia="方正书宋_GBK"/>
              </w:rPr>
              <w:t>5</w:t>
            </w:r>
            <w:r>
              <w:rPr>
                <w:rFonts w:hint="eastAsia" w:ascii="方正书宋_GBK" w:eastAsia="方正书宋_GBK"/>
              </w:rPr>
              <w:t>家以上。开展旅游行业从业人员培训，开展旅游行业导游考试工作，考试规范化程度达到</w:t>
            </w:r>
            <w:r>
              <w:rPr>
                <w:rFonts w:ascii="方正书宋_GBK" w:eastAsia="方正书宋_GBK"/>
              </w:rPr>
              <w:t>95%</w:t>
            </w:r>
            <w:r>
              <w:rPr>
                <w:rFonts w:hint="eastAsia" w:ascii="方正书宋_GBK" w:eastAsia="方正书宋_GBK"/>
              </w:rPr>
              <w:t>以上。保证机关正常云装，圆满完成省政府交办的各类事项。</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保障机关正常运转；承办县政府交办的其他事项。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圆满完成县政府交办的各类事项。</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十一、文物保护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21.52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坚持</w:t>
            </w:r>
            <w:r>
              <w:rPr>
                <w:rFonts w:hint="cs" w:ascii="方正书宋_GBK" w:eastAsia="方正书宋_GBK"/>
              </w:rPr>
              <w:t>“</w:t>
            </w:r>
            <w:r>
              <w:rPr>
                <w:rFonts w:hint="eastAsia" w:ascii="方正书宋_GBK" w:eastAsia="方正书宋_GBK"/>
              </w:rPr>
              <w:t>保护为主、抢救第一、合理利用、加强管理</w:t>
            </w:r>
            <w:r>
              <w:rPr>
                <w:rFonts w:hint="cs" w:ascii="方正书宋_GBK" w:eastAsia="方正书宋_GBK"/>
              </w:rPr>
              <w:t>”</w:t>
            </w:r>
            <w:r>
              <w:rPr>
                <w:rFonts w:hint="eastAsia" w:ascii="方正书宋_GBK" w:eastAsia="方正书宋_GBK"/>
              </w:rPr>
              <w:t>的文物工作方针，做好文物保护、管理和利用等工作，提高全社会的文物保护意识，发挥文物工作在促进全县经济和社会发展中的重要作用。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加强文物保护，促进文物事业可持续发展。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、文物保护</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21.52</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文物保护前期相关工作，对急需抢救的及时编制工程设计方案，实施文物本体保护，完善保护手段，做好民居建筑专业测绘，做好文物档案、资料整理、学术研究和专业资料性书籍出版等工作，做好文物保护项目实施过程中的管理、验收及绩效考核等工作，做好文物行政执法、安全管理与督查工作，做好燕长城执法巡查，改善文物保管条件与保存环境，提供文物保护工作相关设备</w:t>
            </w:r>
            <w:r>
              <w:rPr>
                <w:rFonts w:ascii="方正书宋_GBK" w:eastAsia="方正书宋_GBK"/>
              </w:rPr>
              <w:t>,</w:t>
            </w:r>
            <w:r>
              <w:rPr>
                <w:rFonts w:hint="eastAsia" w:ascii="方正书宋_GBK" w:eastAsia="方正书宋_GBK"/>
              </w:rPr>
              <w:t>保障田野文物安全技术防范系统正常运行，加强田野文物保护员队伍建设，完善文物保护单位</w:t>
            </w:r>
            <w:r>
              <w:rPr>
                <w:rFonts w:hint="cs" w:ascii="方正书宋_GBK" w:eastAsia="方正书宋_GBK"/>
              </w:rPr>
              <w:t>“</w:t>
            </w:r>
            <w:r>
              <w:rPr>
                <w:rFonts w:hint="eastAsia" w:ascii="方正书宋_GBK" w:eastAsia="方正书宋_GBK"/>
              </w:rPr>
              <w:t>四有</w:t>
            </w:r>
            <w:r>
              <w:rPr>
                <w:rFonts w:hint="cs" w:ascii="方正书宋_GBK" w:eastAsia="方正书宋_GBK"/>
              </w:rPr>
              <w:t>”</w:t>
            </w:r>
            <w:r>
              <w:rPr>
                <w:rFonts w:hint="eastAsia" w:ascii="方正书宋_GBK" w:eastAsia="方正书宋_GBK"/>
              </w:rPr>
              <w:t>工作，补充更新全国、省县级文物保护单位保护标识和保护标志和档案资料。</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确保文物与文化遗产得到有效保护</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工程质量（专家意见）</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中</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完工及时率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、文物普查</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对可移动文物普查、认定和登记，掌握文物现状等基本信息，为科学制定文物保护政策和规划提供依据。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完成年度国有单位普查可移动文物信息采集登录工作任务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符合可移动文物普查信息采集登录数据标准的数据量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、考古发掘</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积极应对基本建设对地下文物的破坏情况，对基本建设中发现的地下文物进行及时的抢救性发掘。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确保地下文物得到有效的保护</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对基本建设中发现的文化遗存进行发掘</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、社会流散文物的征集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抢救征集民间等流散文物、征集，丰富藏品内容，增加藏品数量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通过开展征集和研发工作，不断丰富馆藏，为推进历史文化研究提供更多的实物素材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征集文物及近现代当代作品数量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完成计划的</w:t>
            </w:r>
            <w:r>
              <w:rPr>
                <w:rFonts w:ascii="方正书宋_GBK" w:eastAsia="方正书宋_GBK"/>
              </w:rPr>
              <w:t>85%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完成计划的</w:t>
            </w:r>
            <w:r>
              <w:rPr>
                <w:rFonts w:ascii="方正书宋_GBK" w:eastAsia="方正书宋_GBK"/>
              </w:rPr>
              <w:t>85%-75%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完成计划的</w:t>
            </w:r>
            <w:r>
              <w:rPr>
                <w:rFonts w:ascii="方正书宋_GBK" w:eastAsia="方正书宋_GBK"/>
              </w:rPr>
              <w:t>75%-60%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完成计划的</w:t>
            </w: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十二、文物综合事务管理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做好综合事务管理工作，保证机关与直属单位工作正常高效运转。</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拟定全县文物和博物馆事业发展规划及政策制度，开展文物宣传、交流合作、教育培训、考核等文物管理相关工作，开展信息化建设、基础设施维修等保障工作。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做好综合事务管理工作，保证机关与直属单位工作正常高效运转。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工作按计划完成程度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完成计划的</w:t>
            </w:r>
            <w:r>
              <w:rPr>
                <w:rFonts w:ascii="方正书宋_GBK" w:eastAsia="方正书宋_GBK"/>
              </w:rPr>
              <w:t>85%</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完成计划的</w:t>
            </w:r>
            <w:r>
              <w:rPr>
                <w:rFonts w:ascii="方正书宋_GBK" w:eastAsia="方正书宋_GBK"/>
              </w:rPr>
              <w:t>85%-75%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完成计划的</w:t>
            </w:r>
            <w:r>
              <w:rPr>
                <w:rFonts w:ascii="方正书宋_GBK" w:eastAsia="方正书宋_GBK"/>
              </w:rPr>
              <w:t>75%-60%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完成计划的</w:t>
            </w:r>
            <w:r>
              <w:rPr>
                <w:rFonts w:ascii="方正书宋_GBK" w:eastAsia="方正书宋_GBK"/>
              </w:rPr>
              <w:t>60%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十三、旅游市场开发推广及交流合作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制定全区国内旅游、入境旅游和出境旅游的市场开发战略并组织实施；策划、推广全区旅游产品及旅游线路，开展国内外旅游市场促销工作，指导支持区内各地的旅游市场开发工作。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通过旅游市场开发推广及交流合作，有效提高河北旅游的知名度、美誉度和影响力，吸引更多游客来我省旅游，促进我省旅游经济又快又好发展。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、旅游市场开发开发推广及交流合作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制定全区国内旅游、入境旅游和出境旅游的市场开发战略并组织实施；策划、推广全区旅游产品及旅游线路，开展国内外旅游市场促销工作，指导支持区内各地的旅游市场开发工作。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通过旅游市场开发推广及交流合作，有效提高区旅游的知名度、美誉度和影响力，吸引更多游客来我区旅游，从而促进我区旅游经济又好又快发展。</w:t>
            </w:r>
            <w:r>
              <w:rPr>
                <w:rFonts w:ascii="方正书宋_GBK" w:eastAsia="方正书宋_GBK"/>
              </w:rPr>
              <w:t xml:space="preserve"> </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游客增长率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旅游收入增长率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十四、旅游宣传及信息化建设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开展旅游政务宣传、形象宣传、网络宣传，投放旅游广告、组织重点旅游线路和旅游目的地的宣传推广；旅游宣传品的设计、制作；开展新闻媒体记者采访考察工作。开展信息化建设工作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开展旅游宣传工作。在中央电视台、北京卫视等电视媒体投放超过</w:t>
            </w:r>
            <w:r>
              <w:rPr>
                <w:rFonts w:ascii="方正书宋_GBK" w:eastAsia="方正书宋_GBK"/>
              </w:rPr>
              <w:t>200</w:t>
            </w:r>
            <w:r>
              <w:rPr>
                <w:rFonts w:hint="eastAsia" w:ascii="方正书宋_GBK" w:eastAsia="方正书宋_GBK"/>
              </w:rPr>
              <w:t>小时的全年广告。在人民日报、河北日报、中国旅游报等主流报刊投放</w:t>
            </w:r>
            <w:r>
              <w:rPr>
                <w:rFonts w:ascii="方正书宋_GBK" w:eastAsia="方正书宋_GBK"/>
              </w:rPr>
              <w:t>20</w:t>
            </w:r>
            <w:r>
              <w:rPr>
                <w:rFonts w:hint="eastAsia" w:ascii="方正书宋_GBK" w:eastAsia="方正书宋_GBK"/>
              </w:rPr>
              <w:t>个整版的软硬宣传版面，刊载不少于</w:t>
            </w:r>
            <w:r>
              <w:rPr>
                <w:rFonts w:ascii="方正书宋_GBK" w:eastAsia="方正书宋_GBK"/>
              </w:rPr>
              <w:t>300</w:t>
            </w:r>
            <w:r>
              <w:rPr>
                <w:rFonts w:hint="eastAsia" w:ascii="方正书宋_GBK" w:eastAsia="方正书宋_GBK"/>
              </w:rPr>
              <w:t>篇河北旅游新闻。策划制作</w:t>
            </w:r>
            <w:r>
              <w:rPr>
                <w:rFonts w:ascii="方正书宋_GBK" w:eastAsia="方正书宋_GBK"/>
              </w:rPr>
              <w:t>5</w:t>
            </w:r>
            <w:r>
              <w:rPr>
                <w:rFonts w:hint="eastAsia" w:ascii="方正书宋_GBK" w:eastAsia="方正书宋_GBK"/>
              </w:rPr>
              <w:t>次河北旅游专题报道。设计制作多种河北旅游形象宣传手册。旅游形象广告设计精美富有影响力，新闻报道及时有效。项目实施有效提升河北旅游的知名度、影响力，扩大河北旅游品牌形象的影响力，吸引更多游客来河北旅游观光。省外旅行社向我省输送游客进一步增加。</w:t>
            </w:r>
          </w:p>
          <w:p>
            <w:pPr>
              <w:spacing w:line="300" w:lineRule="exact"/>
              <w:jc w:val="left"/>
              <w:rPr>
                <w:rFonts w:ascii="方正书宋_GBK" w:eastAsia="方正书宋_GBK"/>
              </w:rPr>
            </w:pPr>
            <w:r>
              <w:rPr>
                <w:rFonts w:hint="eastAsia" w:ascii="方正书宋_GBK" w:eastAsia="方正书宋_GBK"/>
              </w:rPr>
              <w:t>开展旅游信息化工作。通过开发河北省旅游网站及相关电子政务系统，将推动全行业的信息化建设，提高政府的服务意识和公众的办事便利化水平。同时也带动全区旅游企业信息化发展，旅游企业及时上网发布公众感兴趣的旅游信息，提高旅游企业竞争力，从而促进旅游业的健康快速发展。提供机关办公自动化水平，提高全区旅游信息化建设水平，提供河北旅游知名度。推动全行业的信息化建设，提高政府的服务意识和公众的办事便利化水平，以信息化手段把我省旅游业打造成人民群众更加满意的现代服务业。</w:t>
            </w:r>
          </w:p>
          <w:p>
            <w:pPr>
              <w:spacing w:line="300" w:lineRule="exact"/>
              <w:jc w:val="left"/>
              <w:rPr>
                <w:rFonts w:ascii="方正书宋_GBK" w:eastAsia="方正书宋_GBK"/>
              </w:rPr>
            </w:pPr>
            <w:r>
              <w:rPr>
                <w:rFonts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、旅游政务及形象宣传</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开展旅游政务宣传、形象宣传、网络宣传，投放旅游广告、组织重点旅游线路和旅游目的地的宣传推广，旅游宣传品的设计、制作；开展新闻媒体记者采访考察工作。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项目实施有效提升区旅游的知名度、吸引力，扩大区旅游品牌形象的影响力，吸引更多游客来区旅游观光。</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游客增长率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旅游收入增长率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、旅游信息化建设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开发网上应用系统，实现旅游行业管理网络化；建设面向旅游市场的电子网络营销平台，为企业营销和游客消费提供高效便捷支持。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通过开发区旅游网站及电子政务系统，推动全行业信息化建设，提高政府服务意识和公众办事便利化程度。</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旅游信息服务满意度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十五、旅游规划及重点项目建设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39.00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区旅游资源普查、规划、开发和相关保护。指导全区重点旅游区域、旅游目的地和旅游线路的规划开发，引导旅游业社会投资，提高资金使用效益。监测全区旅游经济运行；协调和指导全区假日旅游、红色旅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引导撬动更多社会资金投资旅游产业，推动旅游与相关产业融合发展，为打造河北旅游升级版提供项目支撑。创建具有较强知名度、美誉度和影响力的河北旅游目的地体系。</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、旅游规划及重点项目管理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39.00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区旅游资源普查、规划、开发和相关保护。指导全区重点旅游区域、旅游目的地和旅游线路的规划开发，引导旅游业社会投资，提高资金使用效益。监测全区旅游经济运行；协调和指导全区假日旅游、红色旅游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引导撬动更多社会资金投资旅游产业，推动旅游与相关产业融合发展，为打造区旅游升级版提供项目支撑，创建具有较强知名度、美誉度和影响力的区旅游目的地体系。</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旅游引资额</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r>
              <w:rPr>
                <w:rFonts w:hint="eastAsia" w:ascii="方正书宋_GBK" w:eastAsia="方正书宋_GBK"/>
              </w:rPr>
              <w:t>亿元及以上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亿元及以上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亿元及以上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亿元以下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A</w:t>
            </w:r>
            <w:r>
              <w:rPr>
                <w:rFonts w:hint="eastAsia" w:ascii="方正书宋_GBK" w:eastAsia="方正书宋_GBK"/>
              </w:rPr>
              <w:t>级景区游客增长率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重大违规项目资金比例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r>
              <w:rPr>
                <w:rFonts w:hint="eastAsia" w:ascii="方正书宋_GBK" w:eastAsia="方正书宋_GBK"/>
              </w:rPr>
              <w:t>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r>
              <w:rPr>
                <w:rFonts w:hint="eastAsia" w:ascii="方正书宋_GBK" w:eastAsia="方正书宋_GBK"/>
              </w:rPr>
              <w:t>以下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r>
              <w:rPr>
                <w:rFonts w:hint="eastAsia" w:ascii="方正书宋_GBK" w:eastAsia="方正书宋_GBK"/>
              </w:rPr>
              <w:t>及以上</w:t>
            </w:r>
          </w:p>
        </w:tc>
      </w:tr>
    </w:tbl>
    <w:p>
      <w:pPr>
        <w:spacing w:line="360" w:lineRule="auto"/>
        <w:jc w:val="center"/>
        <w:rPr>
          <w:rFonts w:ascii="黑体" w:hAnsi="黑体" w:eastAsia="黑体" w:cs="Times New Roman"/>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2019年，我部门安排政府采购预算</w:t>
      </w:r>
      <w:r>
        <w:rPr>
          <w:rFonts w:hint="eastAsia" w:ascii="仿宋" w:hAnsi="仿宋" w:eastAsia="仿宋"/>
          <w:sz w:val="32"/>
          <w:szCs w:val="32"/>
        </w:rPr>
        <w:t>18.24</w:t>
      </w:r>
      <w:r>
        <w:rPr>
          <w:rFonts w:ascii="仿宋" w:hAnsi="仿宋" w:eastAsia="仿宋"/>
          <w:sz w:val="32"/>
          <w:szCs w:val="32"/>
        </w:rPr>
        <w:t>万元，具体内容见下表：</w:t>
      </w:r>
    </w:p>
    <w:tbl>
      <w:tblPr>
        <w:tblStyle w:val="5"/>
        <w:tblW w:w="503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48"/>
        <w:gridCol w:w="1087"/>
        <w:gridCol w:w="924"/>
        <w:gridCol w:w="976"/>
        <w:gridCol w:w="765"/>
        <w:gridCol w:w="765"/>
        <w:gridCol w:w="830"/>
        <w:gridCol w:w="924"/>
        <w:gridCol w:w="924"/>
        <w:gridCol w:w="924"/>
        <w:gridCol w:w="924"/>
        <w:gridCol w:w="924"/>
        <w:gridCol w:w="925"/>
        <w:gridCol w:w="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357</w:t>
            </w:r>
            <w:r>
              <w:rPr>
                <w:rFonts w:hint="eastAsia" w:ascii="方正小标宋_GBK" w:eastAsia="方正小标宋_GBK"/>
                <w:sz w:val="24"/>
              </w:rPr>
              <w:t>保定市徐水区文化广电新闻出版局</w:t>
            </w:r>
          </w:p>
        </w:tc>
        <w:tc>
          <w:tcPr>
            <w:tcW w:w="226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39"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2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4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6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9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268" w:type="pct"/>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8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24" w:type="pct"/>
            <w:vMerge w:val="continue"/>
            <w:shd w:val="clear" w:color="auto" w:fill="auto"/>
            <w:vAlign w:val="center"/>
          </w:tcPr>
          <w:p>
            <w:pPr>
              <w:spacing w:line="300" w:lineRule="exact"/>
              <w:jc w:val="left"/>
              <w:outlineLvl w:val="0"/>
            </w:pPr>
          </w:p>
        </w:tc>
        <w:tc>
          <w:tcPr>
            <w:tcW w:w="342"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91" w:type="pct"/>
            <w:vMerge w:val="continue"/>
            <w:shd w:val="clear" w:color="auto" w:fill="auto"/>
            <w:vAlign w:val="center"/>
          </w:tcPr>
          <w:p>
            <w:pPr>
              <w:spacing w:line="300" w:lineRule="exact"/>
              <w:jc w:val="left"/>
              <w:outlineLvl w:val="0"/>
            </w:pPr>
          </w:p>
        </w:tc>
        <w:tc>
          <w:tcPr>
            <w:tcW w:w="32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620"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32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continue"/>
            <w:shd w:val="clear" w:color="auto" w:fill="auto"/>
            <w:vAlign w:val="center"/>
          </w:tcPr>
          <w:p>
            <w:pPr>
              <w:spacing w:line="300" w:lineRule="exact"/>
              <w:jc w:val="left"/>
              <w:outlineLvl w:val="0"/>
            </w:pPr>
          </w:p>
        </w:tc>
        <w:tc>
          <w:tcPr>
            <w:tcW w:w="381" w:type="pct"/>
            <w:vMerge w:val="continue"/>
            <w:shd w:val="clear" w:color="auto" w:fill="auto"/>
            <w:vAlign w:val="center"/>
          </w:tcPr>
          <w:p>
            <w:pPr>
              <w:spacing w:line="300" w:lineRule="exact"/>
              <w:jc w:val="left"/>
              <w:outlineLvl w:val="0"/>
            </w:pPr>
          </w:p>
        </w:tc>
        <w:tc>
          <w:tcPr>
            <w:tcW w:w="324" w:type="pct"/>
            <w:vMerge w:val="continue"/>
            <w:shd w:val="clear" w:color="auto" w:fill="auto"/>
            <w:vAlign w:val="center"/>
          </w:tcPr>
          <w:p>
            <w:pPr>
              <w:spacing w:line="300" w:lineRule="exact"/>
              <w:jc w:val="left"/>
              <w:outlineLvl w:val="0"/>
            </w:pPr>
          </w:p>
        </w:tc>
        <w:tc>
          <w:tcPr>
            <w:tcW w:w="342"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68" w:type="pct"/>
            <w:vMerge w:val="continue"/>
            <w:shd w:val="clear" w:color="auto" w:fill="auto"/>
            <w:vAlign w:val="center"/>
          </w:tcPr>
          <w:p>
            <w:pPr>
              <w:spacing w:line="300" w:lineRule="exact"/>
              <w:jc w:val="left"/>
              <w:outlineLvl w:val="0"/>
            </w:pPr>
          </w:p>
        </w:tc>
        <w:tc>
          <w:tcPr>
            <w:tcW w:w="291" w:type="pct"/>
            <w:vMerge w:val="continue"/>
            <w:shd w:val="clear" w:color="auto" w:fill="auto"/>
            <w:vAlign w:val="center"/>
          </w:tcPr>
          <w:p>
            <w:pPr>
              <w:spacing w:line="300" w:lineRule="exact"/>
              <w:jc w:val="left"/>
              <w:outlineLvl w:val="0"/>
            </w:pPr>
          </w:p>
        </w:tc>
        <w:tc>
          <w:tcPr>
            <w:tcW w:w="324" w:type="pct"/>
            <w:vMerge w:val="continue"/>
            <w:shd w:val="clear" w:color="auto" w:fill="auto"/>
            <w:vAlign w:val="center"/>
          </w:tcPr>
          <w:p>
            <w:pPr>
              <w:spacing w:line="300" w:lineRule="exact"/>
              <w:jc w:val="left"/>
              <w:outlineLvl w:val="0"/>
            </w:pP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2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324" w:type="pct"/>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8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left"/>
              <w:rPr>
                <w:rFonts w:ascii="方正书宋_GBK" w:eastAsia="方正书宋_GBK"/>
                <w:b/>
              </w:rPr>
            </w:pPr>
          </w:p>
        </w:tc>
        <w:tc>
          <w:tcPr>
            <w:tcW w:w="342"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right"/>
              <w:rPr>
                <w:rFonts w:ascii="方正书宋_GBK" w:eastAsia="方正书宋_GBK"/>
                <w:b/>
              </w:rPr>
            </w:pPr>
          </w:p>
        </w:tc>
        <w:tc>
          <w:tcPr>
            <w:tcW w:w="29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18.24</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18.24</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18.24</w:t>
            </w: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文广新局（行政）小计</w:t>
            </w:r>
          </w:p>
        </w:tc>
        <w:tc>
          <w:tcPr>
            <w:tcW w:w="38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left"/>
              <w:rPr>
                <w:rFonts w:ascii="方正书宋_GBK" w:eastAsia="方正书宋_GBK"/>
                <w:b/>
              </w:rPr>
            </w:pPr>
          </w:p>
        </w:tc>
        <w:tc>
          <w:tcPr>
            <w:tcW w:w="342"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left"/>
              <w:rPr>
                <w:rFonts w:ascii="方正书宋_GBK" w:eastAsia="方正书宋_GBK"/>
                <w:b/>
              </w:rPr>
            </w:pPr>
          </w:p>
        </w:tc>
        <w:tc>
          <w:tcPr>
            <w:tcW w:w="268" w:type="pct"/>
            <w:shd w:val="clear" w:color="auto" w:fill="auto"/>
            <w:vAlign w:val="center"/>
          </w:tcPr>
          <w:p>
            <w:pPr>
              <w:spacing w:line="300" w:lineRule="exact"/>
              <w:jc w:val="right"/>
              <w:rPr>
                <w:rFonts w:ascii="方正书宋_GBK" w:eastAsia="方正书宋_GBK"/>
                <w:b/>
              </w:rPr>
            </w:pPr>
          </w:p>
        </w:tc>
        <w:tc>
          <w:tcPr>
            <w:tcW w:w="291"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18.24</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18.24</w:t>
            </w:r>
          </w:p>
        </w:tc>
        <w:tc>
          <w:tcPr>
            <w:tcW w:w="324" w:type="pct"/>
            <w:shd w:val="clear" w:color="auto" w:fill="auto"/>
            <w:vAlign w:val="center"/>
          </w:tcPr>
          <w:p>
            <w:pPr>
              <w:spacing w:line="300" w:lineRule="exact"/>
              <w:jc w:val="right"/>
              <w:rPr>
                <w:rFonts w:ascii="方正书宋_GBK" w:eastAsia="方正书宋_GBK"/>
                <w:b/>
              </w:rPr>
            </w:pPr>
            <w:r>
              <w:rPr>
                <w:rFonts w:ascii="方正书宋_GBK" w:eastAsia="方正书宋_GBK"/>
                <w:b/>
              </w:rPr>
              <w:t>18.24</w:t>
            </w: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c>
          <w:tcPr>
            <w:tcW w:w="324"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中央补助地方农村文化建设区级配套资金</w:t>
            </w:r>
          </w:p>
        </w:tc>
        <w:tc>
          <w:tcPr>
            <w:tcW w:w="381" w:type="pct"/>
            <w:shd w:val="clear" w:color="auto" w:fill="auto"/>
            <w:vAlign w:val="center"/>
          </w:tcPr>
          <w:p>
            <w:pPr>
              <w:spacing w:line="300" w:lineRule="exact"/>
              <w:jc w:val="right"/>
              <w:rPr>
                <w:rFonts w:ascii="方正书宋_GBK" w:eastAsia="方正书宋_GBK"/>
              </w:rPr>
            </w:pPr>
            <w:r>
              <w:rPr>
                <w:rFonts w:ascii="方正书宋_GBK" w:eastAsia="方正书宋_GBK"/>
              </w:rPr>
              <w:t>40.13</w:t>
            </w:r>
          </w:p>
        </w:tc>
        <w:tc>
          <w:tcPr>
            <w:tcW w:w="32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货物</w:t>
            </w:r>
          </w:p>
        </w:tc>
        <w:tc>
          <w:tcPr>
            <w:tcW w:w="342" w:type="pct"/>
            <w:shd w:val="clear" w:color="auto" w:fill="auto"/>
            <w:vAlign w:val="center"/>
          </w:tcPr>
          <w:p>
            <w:pPr>
              <w:spacing w:line="300" w:lineRule="exact"/>
              <w:jc w:val="left"/>
              <w:rPr>
                <w:rFonts w:ascii="方正书宋_GBK" w:eastAsia="方正书宋_GBK"/>
              </w:rPr>
            </w:pPr>
            <w:r>
              <w:rPr>
                <w:rFonts w:ascii="方正书宋_GBK" w:eastAsia="方正书宋_GBK"/>
              </w:rPr>
              <w:t>A</w:t>
            </w:r>
          </w:p>
        </w:tc>
        <w:tc>
          <w:tcPr>
            <w:tcW w:w="268" w:type="pct"/>
            <w:shd w:val="clear" w:color="auto" w:fill="auto"/>
            <w:vAlign w:val="center"/>
          </w:tcPr>
          <w:p>
            <w:pPr>
              <w:spacing w:line="300" w:lineRule="exact"/>
              <w:jc w:val="left"/>
              <w:rPr>
                <w:rFonts w:ascii="方正书宋_GBK" w:eastAsia="方正书宋_GBK"/>
              </w:rPr>
            </w:pPr>
            <w:r>
              <w:rPr>
                <w:rFonts w:ascii="方正书宋_GBK" w:eastAsia="方正书宋_GBK"/>
              </w:rPr>
              <w:t>1</w:t>
            </w:r>
          </w:p>
        </w:tc>
        <w:tc>
          <w:tcPr>
            <w:tcW w:w="268"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1" w:type="pct"/>
            <w:shd w:val="clear" w:color="auto" w:fill="auto"/>
            <w:vAlign w:val="center"/>
          </w:tcPr>
          <w:p>
            <w:pPr>
              <w:spacing w:line="300" w:lineRule="exact"/>
              <w:jc w:val="right"/>
              <w:rPr>
                <w:rFonts w:ascii="方正书宋_GBK" w:eastAsia="方正书宋_GBK"/>
              </w:rPr>
            </w:pPr>
            <w:r>
              <w:rPr>
                <w:rFonts w:ascii="方正书宋_GBK" w:eastAsia="方正书宋_GBK"/>
              </w:rPr>
              <w:t>18.24</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18.24</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18.24</w:t>
            </w:r>
          </w:p>
        </w:tc>
        <w:tc>
          <w:tcPr>
            <w:tcW w:w="324" w:type="pct"/>
            <w:shd w:val="clear" w:color="auto" w:fill="auto"/>
            <w:vAlign w:val="center"/>
          </w:tcPr>
          <w:p>
            <w:pPr>
              <w:spacing w:line="300" w:lineRule="exact"/>
              <w:jc w:val="right"/>
              <w:rPr>
                <w:rFonts w:ascii="方正书宋_GBK" w:eastAsia="方正书宋_GBK"/>
              </w:rPr>
            </w:pPr>
            <w:r>
              <w:rPr>
                <w:rFonts w:ascii="方正书宋_GBK" w:eastAsia="方正书宋_GBK"/>
              </w:rPr>
              <w:t>18.24</w:t>
            </w: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c>
          <w:tcPr>
            <w:tcW w:w="324" w:type="pct"/>
            <w:shd w:val="clear" w:color="auto" w:fill="auto"/>
            <w:vAlign w:val="center"/>
          </w:tcPr>
          <w:p>
            <w:pPr>
              <w:spacing w:line="300" w:lineRule="exact"/>
              <w:jc w:val="right"/>
              <w:rPr>
                <w:rFonts w:ascii="方正书宋_GBK" w:eastAsia="方正书宋_GBK"/>
              </w:rPr>
            </w:pPr>
          </w:p>
        </w:tc>
      </w:tr>
    </w:tbl>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sectPr>
          <w:pgSz w:w="11906" w:h="16838"/>
          <w:pgMar w:top="1440" w:right="1797" w:bottom="1440" w:left="1797" w:header="851" w:footer="992" w:gutter="0"/>
          <w:cols w:space="425" w:num="1"/>
          <w:docGrid w:type="linesAndChars"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上年末我部门固定资产总金额为1852.45万元（详见下表）我部门本年度无国有资产购置计划，拟购置金额为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1852.45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6815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416.05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2120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46.18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1293.22</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698553"/>
      <w:docPartObj>
        <w:docPartGallery w:val="AutoText"/>
      </w:docPartObj>
    </w:sdtPr>
    <w:sdtContent>
      <w:p>
        <w:pPr>
          <w:pStyle w:val="3"/>
          <w:jc w:val="center"/>
        </w:pPr>
        <w:r>
          <w:fldChar w:fldCharType="begin"/>
        </w:r>
        <w:r>
          <w:instrText xml:space="preserve">PAGE   \* MERGEFORMAT</w:instrText>
        </w:r>
        <w:r>
          <w:fldChar w:fldCharType="separate"/>
        </w:r>
        <w:r>
          <w:rPr>
            <w:lang w:val="zh-CN"/>
          </w:rPr>
          <w:t>24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55F1F"/>
    <w:rsid w:val="00057F18"/>
    <w:rsid w:val="000A445D"/>
    <w:rsid w:val="00131DEC"/>
    <w:rsid w:val="001462BD"/>
    <w:rsid w:val="00152380"/>
    <w:rsid w:val="001638BE"/>
    <w:rsid w:val="00181777"/>
    <w:rsid w:val="001B4688"/>
    <w:rsid w:val="001F4875"/>
    <w:rsid w:val="002600E3"/>
    <w:rsid w:val="002918C6"/>
    <w:rsid w:val="00296524"/>
    <w:rsid w:val="002E01F6"/>
    <w:rsid w:val="002F530F"/>
    <w:rsid w:val="00305E97"/>
    <w:rsid w:val="00312099"/>
    <w:rsid w:val="0032782B"/>
    <w:rsid w:val="00340B3D"/>
    <w:rsid w:val="00367A30"/>
    <w:rsid w:val="003A06D2"/>
    <w:rsid w:val="003B20F2"/>
    <w:rsid w:val="003C2317"/>
    <w:rsid w:val="003C442E"/>
    <w:rsid w:val="003D1092"/>
    <w:rsid w:val="003D37CD"/>
    <w:rsid w:val="003E5531"/>
    <w:rsid w:val="0040243C"/>
    <w:rsid w:val="00406BD1"/>
    <w:rsid w:val="00426C19"/>
    <w:rsid w:val="00442AA0"/>
    <w:rsid w:val="00450FD9"/>
    <w:rsid w:val="00453CE0"/>
    <w:rsid w:val="00470BBB"/>
    <w:rsid w:val="0048611E"/>
    <w:rsid w:val="004B2F1A"/>
    <w:rsid w:val="004B6929"/>
    <w:rsid w:val="004F3C52"/>
    <w:rsid w:val="00510A1E"/>
    <w:rsid w:val="005559F0"/>
    <w:rsid w:val="00570142"/>
    <w:rsid w:val="005B1B6F"/>
    <w:rsid w:val="005B6CCB"/>
    <w:rsid w:val="005C2CBA"/>
    <w:rsid w:val="005C54AA"/>
    <w:rsid w:val="005C7B89"/>
    <w:rsid w:val="0062788A"/>
    <w:rsid w:val="00641F8A"/>
    <w:rsid w:val="006C62DF"/>
    <w:rsid w:val="006F5104"/>
    <w:rsid w:val="006F51EC"/>
    <w:rsid w:val="00735B02"/>
    <w:rsid w:val="007657C8"/>
    <w:rsid w:val="00771E49"/>
    <w:rsid w:val="00782208"/>
    <w:rsid w:val="007C7FD7"/>
    <w:rsid w:val="007F3746"/>
    <w:rsid w:val="00833132"/>
    <w:rsid w:val="008672EA"/>
    <w:rsid w:val="00891680"/>
    <w:rsid w:val="008A0B5F"/>
    <w:rsid w:val="008B5402"/>
    <w:rsid w:val="0090527E"/>
    <w:rsid w:val="00905BB7"/>
    <w:rsid w:val="00912DA4"/>
    <w:rsid w:val="009302B8"/>
    <w:rsid w:val="009305C6"/>
    <w:rsid w:val="00982F3D"/>
    <w:rsid w:val="00996681"/>
    <w:rsid w:val="00A8079E"/>
    <w:rsid w:val="00A92D66"/>
    <w:rsid w:val="00AA2A94"/>
    <w:rsid w:val="00AA4262"/>
    <w:rsid w:val="00AB5A90"/>
    <w:rsid w:val="00AE4AA5"/>
    <w:rsid w:val="00AE7FA9"/>
    <w:rsid w:val="00B147EB"/>
    <w:rsid w:val="00B80FAB"/>
    <w:rsid w:val="00B81C88"/>
    <w:rsid w:val="00BA5C83"/>
    <w:rsid w:val="00BC57A6"/>
    <w:rsid w:val="00BC6A7D"/>
    <w:rsid w:val="00BD719F"/>
    <w:rsid w:val="00C177A5"/>
    <w:rsid w:val="00C4355C"/>
    <w:rsid w:val="00C6153C"/>
    <w:rsid w:val="00CC47B0"/>
    <w:rsid w:val="00CC7D74"/>
    <w:rsid w:val="00CE2C0C"/>
    <w:rsid w:val="00CE37CA"/>
    <w:rsid w:val="00D02F97"/>
    <w:rsid w:val="00D45530"/>
    <w:rsid w:val="00DA5DA7"/>
    <w:rsid w:val="00DB4BC8"/>
    <w:rsid w:val="00DC0E66"/>
    <w:rsid w:val="00DE3935"/>
    <w:rsid w:val="00E2325B"/>
    <w:rsid w:val="00E24075"/>
    <w:rsid w:val="00E35F38"/>
    <w:rsid w:val="00E46F27"/>
    <w:rsid w:val="00E47421"/>
    <w:rsid w:val="00E509CC"/>
    <w:rsid w:val="00E71A04"/>
    <w:rsid w:val="00E96342"/>
    <w:rsid w:val="00F000B1"/>
    <w:rsid w:val="00F012D3"/>
    <w:rsid w:val="00F10D04"/>
    <w:rsid w:val="00F572CB"/>
    <w:rsid w:val="00F621AF"/>
    <w:rsid w:val="00F82447"/>
    <w:rsid w:val="00FB2F32"/>
    <w:rsid w:val="00FE0F1F"/>
    <w:rsid w:val="00FF61F3"/>
    <w:rsid w:val="4B14720C"/>
    <w:rsid w:val="7284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510D7-7240-4E71-A786-DC0B1E54C4BC}">
  <ds:schemaRefs/>
</ds:datastoreItem>
</file>

<file path=docProps/app.xml><?xml version="1.0" encoding="utf-8"?>
<Properties xmlns="http://schemas.openxmlformats.org/officeDocument/2006/extended-properties" xmlns:vt="http://schemas.openxmlformats.org/officeDocument/2006/docPropsVTypes">
  <Template>Normal</Template>
  <Pages>25</Pages>
  <Words>1833</Words>
  <Characters>10449</Characters>
  <Lines>87</Lines>
  <Paragraphs>24</Paragraphs>
  <TotalTime>544</TotalTime>
  <ScaleCrop>false</ScaleCrop>
  <LinksUpToDate>false</LinksUpToDate>
  <CharactersWithSpaces>12258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2023-11-14T09:06:59Z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0FA799C8DE394742810BE8E1C9FA51EF</vt:lpwstr>
  </property>
</Properties>
</file>