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w:t>
      </w:r>
      <w:r>
        <w:rPr>
          <w:rFonts w:ascii="宋体" w:hAnsi="宋体" w:eastAsia="宋体"/>
          <w:b/>
          <w:sz w:val="44"/>
          <w:szCs w:val="44"/>
        </w:rPr>
        <w:t>和旅游局</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pPr>
      <w:r>
        <w:rPr>
          <w:rFonts w:eastAsia="方正仿宋_GBK"/>
          <w:color w:val="000000"/>
          <w:sz w:val="28"/>
        </w:rPr>
        <w:t>根据《保定市徐水区文化</w:t>
      </w:r>
      <w:bookmarkStart w:id="21" w:name="_GoBack"/>
      <w:bookmarkEnd w:id="21"/>
      <w:r>
        <w:rPr>
          <w:rFonts w:eastAsia="方正仿宋_GBK"/>
          <w:color w:val="000000"/>
          <w:sz w:val="28"/>
        </w:rPr>
        <w:t>广电和旅游局职能配置、内设机构和人员编制规定》，保定市徐水区文化广电和旅游局的主要职责是：</w:t>
      </w:r>
    </w:p>
    <w:p>
      <w:pPr>
        <w:pStyle w:val="14"/>
      </w:pPr>
      <w: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14"/>
      </w:pPr>
      <w:r>
        <w:t>（二）.拟订全区文化和旅游事业、文化和旅游产业、广播电视、文物和博物馆事业发展规划并组织实施，推进文化、旅游、广播电视融合发展，推进文化和旅游、广播电视领域体制机制改革。</w:t>
      </w:r>
    </w:p>
    <w:p>
      <w:pPr>
        <w:pStyle w:val="14"/>
      </w:pPr>
      <w: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14"/>
      </w:pPr>
      <w:r>
        <w:t>（四）.指导、管理全区文艺事业。指导艺术创作生产，扶持体现中国梦和社会主义核心价值观，具有导向性、代表性、示范性的文艺作品，推动全区各门类艺术、各艺术品种发展。</w:t>
      </w:r>
    </w:p>
    <w:p>
      <w:pPr>
        <w:pStyle w:val="14"/>
      </w:pPr>
      <w:r>
        <w:t>（五）.负责全区公共文化、旅游和广播电视事业发展。推进全区旅游、文物和博物馆公共文化服务体系建设，深入实施文化和旅游惠民工程，统筹推进全区基本公共文化、旅游和广播电视服务标准化、均等化。</w:t>
      </w:r>
    </w:p>
    <w:p>
      <w:pPr>
        <w:pStyle w:val="14"/>
      </w:pPr>
      <w:r>
        <w:t>（六）.指导、推进全区文化、旅游和广播电视科技创新发展，推进文化和旅游行业信息化、标准化建设。</w:t>
      </w:r>
    </w:p>
    <w:p>
      <w:pPr>
        <w:pStyle w:val="14"/>
      </w:pPr>
      <w:r>
        <w:t>（七）.负责对全区各类广播电视机构进行业务指导和行业监管，会同有关单位对全区网络试听节目服务机构进行管理，推进广播电视与新媒体新技术新业态融合发展。</w:t>
      </w:r>
    </w:p>
    <w:p>
      <w:pPr>
        <w:pStyle w:val="14"/>
      </w:pPr>
      <w:r>
        <w:t>（八）. 组织协调文化遗产的管理和保护，指导和管理文物事业，组织指导文物的保护抢救、考古发掘和开发利用工作。负责全区非物质文化遗产保护，推动非物质文化遗产的保护、传承、普及、弘扬和振兴。</w:t>
      </w:r>
    </w:p>
    <w:p>
      <w:pPr>
        <w:pStyle w:val="14"/>
      </w:pPr>
      <w:r>
        <w:t>（九）.统筹规划全区文化产业、旅游产业、广播电视、文物利用及相关产业。组织实施文化、旅游和文物资源普查、挖掘、保护和开发利用工作。</w:t>
      </w:r>
    </w:p>
    <w:p>
      <w:pPr>
        <w:pStyle w:val="14"/>
      </w:pPr>
      <w:r>
        <w:t>（十）.指导全区文化、旅游和广播电视市场发展。对文化、旅游和广播电视市场经营进行行业监管，推进全区文化、旅游、和广播电视行业信用体系建设，依法规范文化、旅游和广播电视市场。</w:t>
      </w:r>
    </w:p>
    <w:p>
      <w:pPr>
        <w:pStyle w:val="14"/>
      </w:pPr>
      <w: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420" w:firstLineChars="200"/>
        <w:rPr>
          <w:rFonts w:ascii="仿宋" w:hAnsi="仿宋" w:eastAsia="仿宋"/>
          <w:sz w:val="32"/>
          <w:szCs w:val="32"/>
        </w:rPr>
      </w:pPr>
      <w:r>
        <w:t>（十二）.完成区委、区政府交办的其他任务。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hint="eastAsia"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2022年预算收入为2084.78万元,其中：一般公共预算收入2084.78万元，基金预算收入0万元，财政专户收入0万元，其他来源收入0万元。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2022年单位支出预算：2294.24万元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w:t>
      </w:r>
      <w:r>
        <w:rPr>
          <w:rFonts w:ascii="仿宋" w:hAnsi="仿宋" w:eastAsia="仿宋"/>
          <w:sz w:val="32"/>
          <w:szCs w:val="32"/>
        </w:rPr>
        <w:t>754.98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其中：人员经费1613.16万元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日常公用经费141.82万元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539.26万元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其中：本级支出539.26万元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本年度预算收支安排2</w:t>
      </w:r>
      <w:r>
        <w:rPr>
          <w:rFonts w:ascii="仿宋" w:hAnsi="仿宋" w:eastAsia="仿宋"/>
          <w:sz w:val="32"/>
          <w:szCs w:val="32"/>
        </w:rPr>
        <w:t>294.24</w:t>
      </w:r>
      <w:r>
        <w:rPr>
          <w:rFonts w:hint="eastAsia" w:ascii="仿宋" w:hAnsi="仿宋" w:eastAsia="仿宋"/>
          <w:sz w:val="32"/>
          <w:szCs w:val="32"/>
        </w:rPr>
        <w:t>万元，较上年增加</w:t>
      </w:r>
      <w:r>
        <w:rPr>
          <w:rFonts w:ascii="仿宋" w:hAnsi="仿宋" w:eastAsia="仿宋"/>
          <w:sz w:val="32"/>
          <w:szCs w:val="32"/>
        </w:rPr>
        <w:t>271.61万元。其中:基本支出增加554.95万元，主要原因是</w:t>
      </w:r>
      <w:r>
        <w:rPr>
          <w:rFonts w:hint="eastAsia" w:ascii="仿宋" w:hAnsi="仿宋" w:eastAsia="仿宋"/>
          <w:sz w:val="32"/>
          <w:szCs w:val="32"/>
        </w:rPr>
        <w:t>人员工资福利</w:t>
      </w:r>
      <w:r>
        <w:rPr>
          <w:rFonts w:ascii="仿宋" w:hAnsi="仿宋" w:eastAsia="仿宋"/>
          <w:sz w:val="32"/>
          <w:szCs w:val="32"/>
        </w:rPr>
        <w:t>增加；项目支出减少283.34万元，主要原因是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支出减少</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2022年我单位机关运行经费安排141.82万元，其中办公费78.62万元，邮电费5.75万元，工会经费、福利费18.06万元，公务用车运行维护费12.15万元</w:t>
      </w:r>
      <w:r>
        <w:rPr>
          <w:rFonts w:hint="eastAsia" w:ascii="仿宋" w:hAnsi="仿宋" w:eastAsia="仿宋"/>
          <w:sz w:val="32"/>
          <w:szCs w:val="32"/>
        </w:rPr>
        <w:t>，</w:t>
      </w:r>
      <w:r>
        <w:rPr>
          <w:rFonts w:ascii="仿宋" w:hAnsi="仿宋" w:eastAsia="仿宋"/>
          <w:sz w:val="32"/>
          <w:szCs w:val="32"/>
        </w:rPr>
        <w:t>其他支出27.24万元。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0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-2.85</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0.09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-2.91</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12.</w:t>
                  </w:r>
                  <w:r>
                    <w:rPr>
                      <w:rFonts w:ascii="仿宋_GB2312" w:hAnsi="宋体" w:eastAsia="仿宋_GB2312" w:cs="宋体"/>
                      <w:color w:val="FF0000"/>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5.76</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15"/>
      </w:pPr>
      <w:r>
        <w:t>2022年，在区委、区政府的正确领导下，坚持以习近平新时代中国特色社会主义思想为指导，深入学习贯彻党的十九大和十九届历次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送戏下乡演出120场次以上，旅游业态发展有新的发展，文化遗产保护和利用工作有新突破，文化市场综合行政执法工作有新局面，圆满完成工作任务目标。</w:t>
      </w:r>
    </w:p>
    <w:p>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16"/>
      </w:pPr>
      <w:r>
        <w:t>1.公共文化服务</w:t>
      </w:r>
    </w:p>
    <w:p>
      <w:pPr>
        <w:pStyle w:val="16"/>
      </w:pPr>
      <w: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pStyle w:val="16"/>
      </w:pPr>
      <w:r>
        <w:t xml:space="preserve">绩效指标：公共文化服务设施覆盖率达到95%；每万人拥有群众文化设施面积达到170㎡；培训文化工作者240人；全民阅读率达到25%；群众文化活动参与率达到25%；舞台艺术作品创作10台；入选省市文化和旅游部等国家主管单位组织的各项展演、评比活动项目4项。 </w:t>
      </w:r>
    </w:p>
    <w:p>
      <w:pPr>
        <w:pStyle w:val="16"/>
      </w:pPr>
      <w:r>
        <w:t>2.文化活动开展和文化艺术生产</w:t>
      </w:r>
    </w:p>
    <w:p>
      <w:pPr>
        <w:pStyle w:val="16"/>
      </w:pPr>
      <w:r>
        <w:t>绩效目标：文化艺术作品进一步丰富，专业艺术创作生产能力和地位不断提高，文化科研能力进一步提升。</w:t>
      </w:r>
    </w:p>
    <w:p>
      <w:pPr>
        <w:pStyle w:val="16"/>
      </w:pPr>
      <w:r>
        <w:t>绩效指标：获省级认可奖励的作品2项；送戏下乡演出120场次；发放文化惠民卡1310张；文化惠民劵5.88万张；入选省市文化和旅游部等国家主管单位组织的各项展演、评比活动项目4项。</w:t>
      </w:r>
    </w:p>
    <w:p>
      <w:pPr>
        <w:pStyle w:val="16"/>
      </w:pPr>
      <w:r>
        <w:t>3.文化活动交流合作</w:t>
      </w:r>
    </w:p>
    <w:p>
      <w:pPr>
        <w:pStyle w:val="16"/>
      </w:pPr>
      <w:r>
        <w:t>绩效目标：全方位宣传推介文化艺术资源，提升对外交流水平和档次。</w:t>
      </w:r>
    </w:p>
    <w:p>
      <w:pPr>
        <w:pStyle w:val="16"/>
      </w:pPr>
      <w:r>
        <w:t>绩效指标：积极参加中央省市及周边县市的文化交流次数5次。</w:t>
      </w:r>
    </w:p>
    <w:p>
      <w:pPr>
        <w:pStyle w:val="16"/>
      </w:pPr>
      <w:r>
        <w:t>4.文化遗产保护</w:t>
      </w:r>
    </w:p>
    <w:p>
      <w:pPr>
        <w:pStyle w:val="16"/>
      </w:pPr>
      <w: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pStyle w:val="16"/>
      </w:pPr>
      <w:r>
        <w:t>绩效指标：做好全区非遗项目的普查工作；制定保护规划。申报2个省级非遗项目和4个市级非遗项目，评选公布一批区级非遗项目。</w:t>
      </w:r>
    </w:p>
    <w:p>
      <w:pPr>
        <w:pStyle w:val="16"/>
      </w:pPr>
      <w:r>
        <w:t>5、旅游政务及形象宣传</w:t>
      </w:r>
    </w:p>
    <w:p>
      <w:pPr>
        <w:pStyle w:val="16"/>
      </w:pPr>
      <w:r>
        <w:t>绩效目标：提升徐水旅游的知名度、吸引力，扩大品牌形象影响力，提升旅游服务品质；提高政府服务意识和公众办事便利化程度，推进智慧旅游和旅游信息化建设；</w:t>
      </w:r>
    </w:p>
    <w:p>
      <w:pPr>
        <w:pStyle w:val="16"/>
      </w:pPr>
      <w:r>
        <w:t>6、旅游规划及重点项目建设</w:t>
      </w:r>
    </w:p>
    <w:p>
      <w:pPr>
        <w:pStyle w:val="16"/>
      </w:pPr>
      <w:r>
        <w:t>绩效目标：新建改建旅游厕所11座以上，提高旅游公共服务水平；引导撬动更多社会资金投资旅游产业，大力推进旅游产业化发展；围绕实施乡村振兴战略，加快发展乡村旅游；配合市局做好旅发大会规划调研及筹备等工作。</w:t>
      </w:r>
    </w:p>
    <w:p>
      <w:pPr>
        <w:pStyle w:val="16"/>
      </w:pPr>
      <w:r>
        <w:t>7、旅游市场开发推广及交流合作</w:t>
      </w:r>
    </w:p>
    <w:p>
      <w:pPr>
        <w:pStyle w:val="16"/>
      </w:pPr>
      <w:r>
        <w:t>绩效目标：组织旅游企业参加省市开展的各项推介活动，促进我区旅游项目和周边景区合作交流，提升徐水旅游的知名度、美誉度和影响力，从而促进我区旅游事业发展。</w:t>
      </w:r>
    </w:p>
    <w:p>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7"/>
      </w:pPr>
      <w:r>
        <w:t>1、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pStyle w:val="17"/>
      </w:pPr>
      <w:r>
        <w:t>2、加强支出管理。按照财政序时进度要求，加强预算执行管理，加快资金支出进度，按季度通报项目预算执行进度，做好财务保障，强化支出措施，确保6月底项目支出进度达到60%、10月底达到90%、12月底不低于95%。</w:t>
      </w:r>
    </w:p>
    <w:p>
      <w:pPr>
        <w:pStyle w:val="17"/>
      </w:pPr>
      <w:r>
        <w:t>3、加强绩效运行监控。建立健全绩效管理监督运行机制，对预算单位项目支出绩效目标实现情况和预算执行进度开展运行监督，确保财政资金安全、高效运行，确保绩效目标如期实现。</w:t>
      </w:r>
    </w:p>
    <w:p>
      <w:pPr>
        <w:pStyle w:val="17"/>
      </w:pPr>
      <w:r>
        <w:t>4、认真开展绩效自评。开展2022年度单位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pStyle w:val="17"/>
      </w:pPr>
      <w:r>
        <w:t>5、规范财务资产管理。严格经费预算管理，增强预算刚性约束，完善内部财务管理制度办法，最大限度地降低财务风险。加强国有资产管理，做好国有资产购置、出租出借、资产处置等工作，不定期对直事业单位资产购置、出租出借、资产处置情况进行监督检查，不断规范事业单位国有资产管理行为，维护国有资产的安全和完整。</w:t>
      </w:r>
    </w:p>
    <w:p>
      <w:pPr>
        <w:pStyle w:val="17"/>
      </w:pPr>
      <w:r>
        <w:t>6、加强内部监督。在财政资金和财务管理方面按照“权责一致、有效制衡、分事行权、分岗设权、分级授权”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单位管理，特别是对财务工作的监管指导。充分发挥内部审计作用，及时消除存在的问题，确保财政资金安全。</w:t>
      </w:r>
    </w:p>
    <w:p>
      <w:pPr>
        <w:pStyle w:val="17"/>
      </w:pPr>
      <w:r>
        <w:t>7、加强宣传培训。加强财务人员业务培训，认真组织学习预算法、会计准则、会计制度等法律法规，努力提高财务管理水平。加大宣传力度，建立落实财务人员、定期向本单位 “一把手”汇报财务管理工作的制度，确保信息通畅、相互理解支持，为营造依法理财环境创造有利条件。</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spacing w:line="360" w:lineRule="auto"/>
        <w:ind w:firstLine="640" w:firstLineChars="200"/>
        <w:rPr>
          <w:rFonts w:ascii="仿宋" w:hAnsi="仿宋" w:eastAsia="仿宋"/>
          <w:sz w:val="32"/>
          <w:szCs w:val="32"/>
        </w:rPr>
      </w:pPr>
    </w:p>
    <w:p>
      <w:pPr>
        <w:ind w:firstLine="560"/>
        <w:outlineLvl w:val="3"/>
      </w:pPr>
      <w:bookmarkStart w:id="3" w:name="_Toc_4_4_0000000004"/>
      <w:r>
        <w:rPr>
          <w:rFonts w:ascii="方正仿宋_GBK" w:hAnsi="方正仿宋_GBK" w:eastAsia="方正仿宋_GBK" w:cs="方正仿宋_GBK"/>
          <w:color w:val="000000"/>
          <w:sz w:val="28"/>
        </w:rPr>
        <w:t>1.2021年“保定文旅惠民卡”补助资金绩效目标表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13062521P00455510019H</w:t>
            </w:r>
          </w:p>
        </w:tc>
        <w:tc>
          <w:tcPr>
            <w:tcW w:w="1587" w:type="dxa"/>
            <w:vAlign w:val="center"/>
          </w:tcPr>
          <w:p>
            <w:pPr>
              <w:pStyle w:val="21"/>
            </w:pPr>
            <w:r>
              <w:t>项目名称</w:t>
            </w:r>
          </w:p>
        </w:tc>
        <w:tc>
          <w:tcPr>
            <w:tcW w:w="4422" w:type="dxa"/>
            <w:gridSpan w:val="3"/>
            <w:vAlign w:val="center"/>
          </w:tcPr>
          <w:p>
            <w:pPr>
              <w:pStyle w:val="20"/>
            </w:pPr>
            <w:r>
              <w:t>2021年“保定文旅惠民卡”补助资金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保定文旅惠民卡”补助资金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1.推动我区文化惠民工程</w:t>
            </w:r>
          </w:p>
          <w:p>
            <w:pPr>
              <w:pStyle w:val="20"/>
            </w:pPr>
            <w:r>
              <w:t>2.进一步激发群众文化旅游热情，繁荣文旅市场，让群众得到更多实惠</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补助景区数</w:t>
            </w:r>
          </w:p>
        </w:tc>
        <w:tc>
          <w:tcPr>
            <w:tcW w:w="2891" w:type="dxa"/>
            <w:vAlign w:val="center"/>
          </w:tcPr>
          <w:p>
            <w:pPr>
              <w:pStyle w:val="20"/>
            </w:pPr>
            <w:r>
              <w:t>补助景区情况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补助景区保障度</w:t>
            </w:r>
          </w:p>
        </w:tc>
        <w:tc>
          <w:tcPr>
            <w:tcW w:w="2891" w:type="dxa"/>
            <w:vAlign w:val="center"/>
          </w:tcPr>
          <w:p>
            <w:pPr>
              <w:pStyle w:val="20"/>
            </w:pPr>
            <w:r>
              <w:t>补助景区保障情况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景区人员满意度</w:t>
            </w:r>
          </w:p>
        </w:tc>
        <w:tc>
          <w:tcPr>
            <w:tcW w:w="2891" w:type="dxa"/>
            <w:vAlign w:val="center"/>
          </w:tcPr>
          <w:p>
            <w:pPr>
              <w:pStyle w:val="20"/>
            </w:pPr>
            <w:r>
              <w:t>景区人员满意情况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_4_4_0000000005"/>
      <w:r>
        <w:rPr>
          <w:rFonts w:ascii="方正仿宋_GBK" w:hAnsi="方正仿宋_GBK" w:eastAsia="方正仿宋_GBK" w:cs="方正仿宋_GBK"/>
          <w:color w:val="000000"/>
          <w:sz w:val="28"/>
        </w:rPr>
        <w:t>2.2021年不可移动文物安全隐患排查整治专项资金绩效目标表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13062521P00455510021G</w:t>
            </w:r>
          </w:p>
        </w:tc>
        <w:tc>
          <w:tcPr>
            <w:tcW w:w="1587" w:type="dxa"/>
            <w:vAlign w:val="center"/>
          </w:tcPr>
          <w:p>
            <w:pPr>
              <w:pStyle w:val="21"/>
            </w:pPr>
            <w:r>
              <w:t>项目名称</w:t>
            </w:r>
          </w:p>
        </w:tc>
        <w:tc>
          <w:tcPr>
            <w:tcW w:w="4422" w:type="dxa"/>
            <w:gridSpan w:val="3"/>
            <w:vAlign w:val="center"/>
          </w:tcPr>
          <w:p>
            <w:pPr>
              <w:pStyle w:val="20"/>
            </w:pPr>
            <w:r>
              <w:t>2021年不可移动文物安全隐患排查整治专项资金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0.71</w:t>
            </w:r>
          </w:p>
        </w:tc>
        <w:tc>
          <w:tcPr>
            <w:tcW w:w="1587" w:type="dxa"/>
            <w:vAlign w:val="center"/>
          </w:tcPr>
          <w:p>
            <w:pPr>
              <w:pStyle w:val="21"/>
            </w:pPr>
            <w:r>
              <w:t>其中：财政    资金</w:t>
            </w:r>
          </w:p>
        </w:tc>
        <w:tc>
          <w:tcPr>
            <w:tcW w:w="1304" w:type="dxa"/>
            <w:vAlign w:val="center"/>
          </w:tcPr>
          <w:p>
            <w:pPr>
              <w:pStyle w:val="20"/>
            </w:pPr>
            <w:r>
              <w:t>0.71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不可移动文物安全隐患排查整治专项资金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1.不可移动文物安全隐患排查整治</w:t>
            </w:r>
          </w:p>
          <w:p>
            <w:pPr>
              <w:pStyle w:val="20"/>
            </w:pPr>
            <w:r>
              <w:t>2.保障不可移动文物安全</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不可移动文物安全隐患排查占比</w:t>
            </w:r>
          </w:p>
        </w:tc>
        <w:tc>
          <w:tcPr>
            <w:tcW w:w="2891" w:type="dxa"/>
            <w:vAlign w:val="center"/>
          </w:tcPr>
          <w:p>
            <w:pPr>
              <w:pStyle w:val="20"/>
            </w:pPr>
            <w:r>
              <w:t>不可移动文物安全隐患排查占比情况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≤0.71万元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不可移动文物安全隐患整治</w:t>
            </w:r>
          </w:p>
        </w:tc>
        <w:tc>
          <w:tcPr>
            <w:tcW w:w="2891" w:type="dxa"/>
            <w:vAlign w:val="center"/>
          </w:tcPr>
          <w:p>
            <w:pPr>
              <w:pStyle w:val="20"/>
            </w:pPr>
            <w:r>
              <w:t>不可移动文物安全隐患整治情况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5" w:name="_Toc_4_4_0000000006"/>
      <w:r>
        <w:rPr>
          <w:rFonts w:ascii="方正仿宋_GBK" w:hAnsi="方正仿宋_GBK" w:eastAsia="方正仿宋_GBK" w:cs="方正仿宋_GBK"/>
          <w:color w:val="000000"/>
          <w:sz w:val="28"/>
        </w:rPr>
        <w:t>3.2021年非物质文化遗产保护专项资金绩效目标表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13062521P00455510020W</w:t>
            </w:r>
          </w:p>
        </w:tc>
        <w:tc>
          <w:tcPr>
            <w:tcW w:w="1587" w:type="dxa"/>
            <w:vAlign w:val="center"/>
          </w:tcPr>
          <w:p>
            <w:pPr>
              <w:pStyle w:val="21"/>
            </w:pPr>
            <w:r>
              <w:t>项目名称</w:t>
            </w:r>
          </w:p>
        </w:tc>
        <w:tc>
          <w:tcPr>
            <w:tcW w:w="4422" w:type="dxa"/>
            <w:gridSpan w:val="3"/>
            <w:vAlign w:val="center"/>
          </w:tcPr>
          <w:p>
            <w:pPr>
              <w:pStyle w:val="20"/>
            </w:pPr>
            <w:r>
              <w:t>2021年非物质文化遗产保护专项资金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3.00</w:t>
            </w:r>
          </w:p>
        </w:tc>
        <w:tc>
          <w:tcPr>
            <w:tcW w:w="1587" w:type="dxa"/>
            <w:vAlign w:val="center"/>
          </w:tcPr>
          <w:p>
            <w:pPr>
              <w:pStyle w:val="21"/>
            </w:pPr>
            <w:r>
              <w:t>其中：财政    资金</w:t>
            </w:r>
          </w:p>
        </w:tc>
        <w:tc>
          <w:tcPr>
            <w:tcW w:w="1304" w:type="dxa"/>
            <w:vAlign w:val="center"/>
          </w:tcPr>
          <w:p>
            <w:pPr>
              <w:pStyle w:val="20"/>
            </w:pPr>
            <w:r>
              <w:t>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3.项目资金一次性支出，预计12月支出完毕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_4_4_0000000007"/>
      <w:r>
        <w:rPr>
          <w:rFonts w:ascii="方正仿宋_GBK" w:hAnsi="方正仿宋_GBK" w:eastAsia="方正仿宋_GBK" w:cs="方正仿宋_GBK"/>
          <w:color w:val="000000"/>
          <w:sz w:val="28"/>
        </w:rPr>
        <w:t>4.2021年中央补助地方公共文化服务体系建设专项资金绩效目标表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13062521Z4VVZVE8HLE2S</w:t>
            </w:r>
          </w:p>
        </w:tc>
        <w:tc>
          <w:tcPr>
            <w:tcW w:w="1587" w:type="dxa"/>
            <w:vAlign w:val="center"/>
          </w:tcPr>
          <w:p>
            <w:pPr>
              <w:pStyle w:val="21"/>
            </w:pPr>
            <w:r>
              <w:t>项目名称</w:t>
            </w:r>
          </w:p>
        </w:tc>
        <w:tc>
          <w:tcPr>
            <w:tcW w:w="4422" w:type="dxa"/>
            <w:gridSpan w:val="3"/>
            <w:vAlign w:val="center"/>
          </w:tcPr>
          <w:p>
            <w:pPr>
              <w:pStyle w:val="20"/>
            </w:pPr>
            <w:r>
              <w:t>2021年中央补助地方公共文化服务体系建设专项资金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78.41</w:t>
            </w:r>
          </w:p>
        </w:tc>
        <w:tc>
          <w:tcPr>
            <w:tcW w:w="1587" w:type="dxa"/>
            <w:vAlign w:val="center"/>
          </w:tcPr>
          <w:p>
            <w:pPr>
              <w:pStyle w:val="21"/>
            </w:pPr>
            <w:r>
              <w:t>其中：财政    资金</w:t>
            </w:r>
          </w:p>
        </w:tc>
        <w:tc>
          <w:tcPr>
            <w:tcW w:w="1304" w:type="dxa"/>
            <w:vAlign w:val="center"/>
          </w:tcPr>
          <w:p>
            <w:pPr>
              <w:pStyle w:val="20"/>
            </w:pPr>
            <w:r>
              <w:t>78.41</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≤78.41万元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_4_4_0000000008"/>
      <w:r>
        <w:rPr>
          <w:rFonts w:ascii="方正仿宋_GBK" w:hAnsi="方正仿宋_GBK" w:eastAsia="方正仿宋_GBK" w:cs="方正仿宋_GBK"/>
          <w:color w:val="000000"/>
          <w:sz w:val="28"/>
        </w:rPr>
        <w:t>5.2022年省级非物质文化遗产保护专项资金绩效目标表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13062522P00459210005H</w:t>
            </w:r>
          </w:p>
        </w:tc>
        <w:tc>
          <w:tcPr>
            <w:tcW w:w="1587" w:type="dxa"/>
            <w:vAlign w:val="center"/>
          </w:tcPr>
          <w:p>
            <w:pPr>
              <w:pStyle w:val="21"/>
            </w:pPr>
            <w:r>
              <w:t>项目名称</w:t>
            </w:r>
          </w:p>
        </w:tc>
        <w:tc>
          <w:tcPr>
            <w:tcW w:w="4422" w:type="dxa"/>
            <w:gridSpan w:val="3"/>
            <w:vAlign w:val="center"/>
          </w:tcPr>
          <w:p>
            <w:pPr>
              <w:pStyle w:val="20"/>
            </w:pPr>
            <w:r>
              <w:t>2022年省级非物质文化遗产保护专项资金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4.80</w:t>
            </w:r>
          </w:p>
        </w:tc>
        <w:tc>
          <w:tcPr>
            <w:tcW w:w="1587" w:type="dxa"/>
            <w:vAlign w:val="center"/>
          </w:tcPr>
          <w:p>
            <w:pPr>
              <w:pStyle w:val="21"/>
            </w:pPr>
            <w:r>
              <w:t>其中：财政    资金</w:t>
            </w:r>
          </w:p>
        </w:tc>
        <w:tc>
          <w:tcPr>
            <w:tcW w:w="1304" w:type="dxa"/>
            <w:vAlign w:val="center"/>
          </w:tcPr>
          <w:p>
            <w:pPr>
              <w:pStyle w:val="20"/>
            </w:pPr>
            <w:r>
              <w:t>4.80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8个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≤4.8万元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_4_4_0000000009"/>
      <w:r>
        <w:rPr>
          <w:rFonts w:ascii="方正仿宋_GBK" w:hAnsi="方正仿宋_GBK" w:eastAsia="方正仿宋_GBK" w:cs="方正仿宋_GBK"/>
          <w:color w:val="000000"/>
          <w:sz w:val="28"/>
        </w:rPr>
        <w:t>6.2022年中央非物质文化遗产保护资金预算绩效目标表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13062522P004592100065</w:t>
            </w:r>
          </w:p>
        </w:tc>
        <w:tc>
          <w:tcPr>
            <w:tcW w:w="1587" w:type="dxa"/>
            <w:vAlign w:val="center"/>
          </w:tcPr>
          <w:p>
            <w:pPr>
              <w:pStyle w:val="21"/>
            </w:pPr>
            <w:r>
              <w:t>项目名称</w:t>
            </w:r>
          </w:p>
        </w:tc>
        <w:tc>
          <w:tcPr>
            <w:tcW w:w="4422" w:type="dxa"/>
            <w:gridSpan w:val="3"/>
            <w:vAlign w:val="center"/>
          </w:tcPr>
          <w:p>
            <w:pPr>
              <w:pStyle w:val="20"/>
            </w:pPr>
            <w:r>
              <w:t>2022年中央非物质文化遗产保护资金预算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非物质文化遗产保护专项资金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1.加强非物质文化遗产保护</w:t>
            </w:r>
          </w:p>
          <w:p>
            <w:pPr>
              <w:pStyle w:val="20"/>
            </w:pPr>
            <w:r>
              <w:t>2.补助非物质文化遗产保障经费</w:t>
            </w:r>
          </w:p>
          <w:p>
            <w:pPr>
              <w:pStyle w:val="20"/>
            </w:pPr>
            <w:r>
              <w:t>3.项目资金一次性支出，预计6月支出完毕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补助非物质文化遗产个数</w:t>
            </w:r>
          </w:p>
        </w:tc>
        <w:tc>
          <w:tcPr>
            <w:tcW w:w="2891" w:type="dxa"/>
            <w:vAlign w:val="center"/>
          </w:tcPr>
          <w:p>
            <w:pPr>
              <w:pStyle w:val="20"/>
            </w:pPr>
            <w:r>
              <w:t>补助非物质文化遗产个数情况</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补助资金准确率</w:t>
            </w:r>
          </w:p>
        </w:tc>
        <w:tc>
          <w:tcPr>
            <w:tcW w:w="2891" w:type="dxa"/>
            <w:vAlign w:val="center"/>
          </w:tcPr>
          <w:p>
            <w:pPr>
              <w:pStyle w:val="20"/>
            </w:pPr>
            <w:r>
              <w:t>补助资金准确情况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补助资金到位率</w:t>
            </w:r>
          </w:p>
        </w:tc>
        <w:tc>
          <w:tcPr>
            <w:tcW w:w="2891" w:type="dxa"/>
            <w:vAlign w:val="center"/>
          </w:tcPr>
          <w:p>
            <w:pPr>
              <w:pStyle w:val="20"/>
            </w:pPr>
            <w:r>
              <w:t>补助资金到位情况</w:t>
            </w:r>
          </w:p>
        </w:tc>
        <w:tc>
          <w:tcPr>
            <w:tcW w:w="1276" w:type="dxa"/>
            <w:vAlign w:val="center"/>
          </w:tcPr>
          <w:p>
            <w:pPr>
              <w:pStyle w:val="20"/>
            </w:pPr>
            <w:r>
              <w:t>≥95%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补助非物质文化遗产保障度</w:t>
            </w:r>
          </w:p>
        </w:tc>
        <w:tc>
          <w:tcPr>
            <w:tcW w:w="2891" w:type="dxa"/>
            <w:vAlign w:val="center"/>
          </w:tcPr>
          <w:p>
            <w:pPr>
              <w:pStyle w:val="20"/>
            </w:pPr>
            <w:r>
              <w:t>补助非物质文化遗产保障情况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非遗人员满意度</w:t>
            </w:r>
          </w:p>
        </w:tc>
        <w:tc>
          <w:tcPr>
            <w:tcW w:w="2891" w:type="dxa"/>
            <w:vAlign w:val="center"/>
          </w:tcPr>
          <w:p>
            <w:pPr>
              <w:pStyle w:val="20"/>
            </w:pPr>
            <w:r>
              <w:t>非遗人员满意情况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_4_4_0000000010"/>
      <w:r>
        <w:rPr>
          <w:rFonts w:ascii="方正仿宋_GBK" w:hAnsi="方正仿宋_GBK" w:eastAsia="方正仿宋_GBK" w:cs="方正仿宋_GBK"/>
          <w:color w:val="000000"/>
          <w:sz w:val="28"/>
        </w:rPr>
        <w:t>7.公共图书馆、文化馆（站）免费开放专项资金绩效目标表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13062522P00457610005R</w:t>
            </w:r>
          </w:p>
        </w:tc>
        <w:tc>
          <w:tcPr>
            <w:tcW w:w="1587" w:type="dxa"/>
            <w:vAlign w:val="center"/>
          </w:tcPr>
          <w:p>
            <w:pPr>
              <w:pStyle w:val="21"/>
            </w:pPr>
            <w:r>
              <w:t>项目名称</w:t>
            </w:r>
          </w:p>
        </w:tc>
        <w:tc>
          <w:tcPr>
            <w:tcW w:w="4422" w:type="dxa"/>
            <w:gridSpan w:val="3"/>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33.00</w:t>
            </w:r>
          </w:p>
        </w:tc>
        <w:tc>
          <w:tcPr>
            <w:tcW w:w="1587" w:type="dxa"/>
            <w:vAlign w:val="center"/>
          </w:tcPr>
          <w:p>
            <w:pPr>
              <w:pStyle w:val="21"/>
            </w:pPr>
            <w:r>
              <w:t>其中：财政    资金</w:t>
            </w:r>
          </w:p>
        </w:tc>
        <w:tc>
          <w:tcPr>
            <w:tcW w:w="1304" w:type="dxa"/>
            <w:vAlign w:val="center"/>
          </w:tcPr>
          <w:p>
            <w:pPr>
              <w:pStyle w:val="20"/>
            </w:pPr>
            <w:r>
              <w:t>33.00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公共图书馆、文化馆（站）免费开放专项资金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_4_4_0000000011"/>
      <w:r>
        <w:rPr>
          <w:rFonts w:ascii="方正仿宋_GBK" w:hAnsi="方正仿宋_GBK" w:eastAsia="方正仿宋_GBK" w:cs="方正仿宋_GBK"/>
          <w:color w:val="000000"/>
          <w:sz w:val="28"/>
        </w:rPr>
        <w:t>8.公共文化服务体系建设资金绩效目标表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13062522P004576100046</w:t>
            </w:r>
          </w:p>
        </w:tc>
        <w:tc>
          <w:tcPr>
            <w:tcW w:w="1587" w:type="dxa"/>
            <w:vAlign w:val="center"/>
          </w:tcPr>
          <w:p>
            <w:pPr>
              <w:pStyle w:val="21"/>
            </w:pPr>
            <w:r>
              <w:t>项目名称</w:t>
            </w:r>
          </w:p>
        </w:tc>
        <w:tc>
          <w:tcPr>
            <w:tcW w:w="4422" w:type="dxa"/>
            <w:gridSpan w:val="3"/>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40.13</w:t>
            </w:r>
          </w:p>
        </w:tc>
        <w:tc>
          <w:tcPr>
            <w:tcW w:w="1587" w:type="dxa"/>
            <w:vAlign w:val="center"/>
          </w:tcPr>
          <w:p>
            <w:pPr>
              <w:pStyle w:val="21"/>
            </w:pPr>
            <w:r>
              <w:t>其中：财政    资金</w:t>
            </w:r>
          </w:p>
        </w:tc>
        <w:tc>
          <w:tcPr>
            <w:tcW w:w="1304" w:type="dxa"/>
            <w:vAlign w:val="center"/>
          </w:tcPr>
          <w:p>
            <w:pPr>
              <w:pStyle w:val="20"/>
            </w:pPr>
            <w:r>
              <w:t>40.13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公共文化服务体系建设资金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1.提高群众文化活动水平</w:t>
            </w:r>
          </w:p>
          <w:p>
            <w:pPr>
              <w:pStyle w:val="20"/>
            </w:pPr>
          </w:p>
          <w:p>
            <w:pPr>
              <w:pStyle w:val="20"/>
            </w:pPr>
            <w:r>
              <w:t>2.保障文化活动，送戏下乡、文化惠民演出，顺利进行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≤133.76万元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公共文化水平群众提升率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_4_4_0000000012"/>
      <w:r>
        <w:rPr>
          <w:rFonts w:ascii="方正仿宋_GBK" w:hAnsi="方正仿宋_GBK" w:eastAsia="方正仿宋_GBK" w:cs="方正仿宋_GBK"/>
          <w:color w:val="000000"/>
          <w:sz w:val="28"/>
        </w:rPr>
        <w:t>9.公共文化服务体系建设资金（农村大喇叭维护）绩效目标表</w:t>
      </w:r>
      <w:bookmarkEnd w:id="1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13062522P00457610008L</w:t>
            </w:r>
          </w:p>
        </w:tc>
        <w:tc>
          <w:tcPr>
            <w:tcW w:w="1587" w:type="dxa"/>
            <w:vAlign w:val="center"/>
          </w:tcPr>
          <w:p>
            <w:pPr>
              <w:pStyle w:val="21"/>
            </w:pPr>
            <w:r>
              <w:t>项目名称</w:t>
            </w:r>
          </w:p>
        </w:tc>
        <w:tc>
          <w:tcPr>
            <w:tcW w:w="4422" w:type="dxa"/>
            <w:gridSpan w:val="3"/>
            <w:vAlign w:val="center"/>
          </w:tcPr>
          <w:p>
            <w:pPr>
              <w:pStyle w:val="20"/>
            </w:pPr>
            <w:r>
              <w:t>公共文化服务体系建设资金（农村大喇叭维护）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30.40</w:t>
            </w:r>
          </w:p>
        </w:tc>
        <w:tc>
          <w:tcPr>
            <w:tcW w:w="1587" w:type="dxa"/>
            <w:vAlign w:val="center"/>
          </w:tcPr>
          <w:p>
            <w:pPr>
              <w:pStyle w:val="21"/>
            </w:pPr>
            <w:r>
              <w:t>其中：财政    资金</w:t>
            </w:r>
          </w:p>
        </w:tc>
        <w:tc>
          <w:tcPr>
            <w:tcW w:w="1304" w:type="dxa"/>
            <w:vAlign w:val="center"/>
          </w:tcPr>
          <w:p>
            <w:pPr>
              <w:pStyle w:val="20"/>
            </w:pPr>
            <w:r>
              <w:t>30.40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农村大喇叭维护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50%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1.提升公共服务水平</w:t>
            </w:r>
          </w:p>
          <w:p>
            <w:pPr>
              <w:pStyle w:val="20"/>
            </w:pPr>
            <w:r>
              <w:t>2.确保农村大喇叭正常使用</w:t>
            </w:r>
          </w:p>
          <w:p>
            <w:pPr>
              <w:pStyle w:val="20"/>
            </w:pPr>
            <w:r>
              <w:t>3.资金按进度3月支出25%，6月支出50%，9月支出75%，12月支出100%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应急广播设备配置数</w:t>
            </w:r>
          </w:p>
        </w:tc>
        <w:tc>
          <w:tcPr>
            <w:tcW w:w="2891" w:type="dxa"/>
            <w:vAlign w:val="center"/>
          </w:tcPr>
          <w:p>
            <w:pPr>
              <w:pStyle w:val="20"/>
            </w:pPr>
            <w:r>
              <w:t>保证规定数量农村大喇叭数量</w:t>
            </w:r>
          </w:p>
        </w:tc>
        <w:tc>
          <w:tcPr>
            <w:tcW w:w="1276" w:type="dxa"/>
            <w:vAlign w:val="center"/>
          </w:tcPr>
          <w:p>
            <w:pPr>
              <w:pStyle w:val="20"/>
            </w:pPr>
            <w:r>
              <w:t>≥304套</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大喇叭正常播放率</w:t>
            </w:r>
          </w:p>
        </w:tc>
        <w:tc>
          <w:tcPr>
            <w:tcW w:w="2891" w:type="dxa"/>
            <w:vAlign w:val="center"/>
          </w:tcPr>
          <w:p>
            <w:pPr>
              <w:pStyle w:val="20"/>
            </w:pPr>
            <w:r>
              <w:t>农村大喇叭正常播放情况</w:t>
            </w:r>
          </w:p>
        </w:tc>
        <w:tc>
          <w:tcPr>
            <w:tcW w:w="1276" w:type="dxa"/>
            <w:vAlign w:val="center"/>
          </w:tcPr>
          <w:p>
            <w:pPr>
              <w:pStyle w:val="20"/>
            </w:pPr>
            <w:r>
              <w:t>≥100%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农村大喇叭维护及时率</w:t>
            </w:r>
          </w:p>
        </w:tc>
        <w:tc>
          <w:tcPr>
            <w:tcW w:w="2891" w:type="dxa"/>
            <w:vAlign w:val="center"/>
          </w:tcPr>
          <w:p>
            <w:pPr>
              <w:pStyle w:val="20"/>
            </w:pPr>
            <w:r>
              <w:t>农村大喇叭维修护开展及时情况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≤30.4万元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公共服务水平提升率</w:t>
            </w:r>
          </w:p>
        </w:tc>
        <w:tc>
          <w:tcPr>
            <w:tcW w:w="2891" w:type="dxa"/>
            <w:vAlign w:val="center"/>
          </w:tcPr>
          <w:p>
            <w:pPr>
              <w:pStyle w:val="20"/>
            </w:pPr>
            <w:r>
              <w:t>提升公共服务水平</w:t>
            </w:r>
          </w:p>
        </w:tc>
        <w:tc>
          <w:tcPr>
            <w:tcW w:w="1276" w:type="dxa"/>
            <w:vAlign w:val="center"/>
          </w:tcPr>
          <w:p>
            <w:pPr>
              <w:pStyle w:val="20"/>
            </w:pPr>
            <w:r>
              <w:t>≥50%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群众满意人口数量</w:t>
            </w:r>
          </w:p>
        </w:tc>
        <w:tc>
          <w:tcPr>
            <w:tcW w:w="1276" w:type="dxa"/>
            <w:vAlign w:val="center"/>
          </w:tcPr>
          <w:p>
            <w:pPr>
              <w:pStyle w:val="20"/>
            </w:pPr>
            <w:r>
              <w:t>≥85%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_4_4_0000000013"/>
      <w:r>
        <w:rPr>
          <w:rFonts w:ascii="方正仿宋_GBK" w:hAnsi="方正仿宋_GBK" w:eastAsia="方正仿宋_GBK" w:cs="方正仿宋_GBK"/>
          <w:color w:val="000000"/>
          <w:sz w:val="28"/>
        </w:rPr>
        <w:t>10.购置执法人员制式服装和标志专项经费绩效目标表</w:t>
      </w:r>
      <w:bookmarkEnd w:id="1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13062522P00456710465L</w:t>
            </w:r>
          </w:p>
        </w:tc>
        <w:tc>
          <w:tcPr>
            <w:tcW w:w="1587" w:type="dxa"/>
            <w:vAlign w:val="center"/>
          </w:tcPr>
          <w:p>
            <w:pPr>
              <w:pStyle w:val="21"/>
            </w:pPr>
            <w:r>
              <w:t>项目名称</w:t>
            </w:r>
          </w:p>
        </w:tc>
        <w:tc>
          <w:tcPr>
            <w:tcW w:w="4422" w:type="dxa"/>
            <w:gridSpan w:val="3"/>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2.82</w:t>
            </w:r>
          </w:p>
        </w:tc>
        <w:tc>
          <w:tcPr>
            <w:tcW w:w="1587" w:type="dxa"/>
            <w:vAlign w:val="center"/>
          </w:tcPr>
          <w:p>
            <w:pPr>
              <w:pStyle w:val="21"/>
            </w:pPr>
            <w:r>
              <w:t>其中：财政    资金</w:t>
            </w:r>
          </w:p>
        </w:tc>
        <w:tc>
          <w:tcPr>
            <w:tcW w:w="1304" w:type="dxa"/>
            <w:vAlign w:val="center"/>
          </w:tcPr>
          <w:p>
            <w:pPr>
              <w:pStyle w:val="20"/>
            </w:pPr>
            <w:r>
              <w:t>2.82</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购置执法人员制式服装和标志专项经费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1.加强文化市场综合执法人员的责任感、使命感和职业荣誉感</w:t>
            </w:r>
          </w:p>
          <w:p>
            <w:pPr>
              <w:pStyle w:val="20"/>
            </w:pPr>
          </w:p>
          <w:p>
            <w:pPr>
              <w:pStyle w:val="20"/>
            </w:pPr>
          </w:p>
          <w:p>
            <w:pPr>
              <w:pStyle w:val="20"/>
            </w:pPr>
          </w:p>
          <w:p>
            <w:pPr>
              <w:pStyle w:val="20"/>
            </w:pPr>
            <w:r>
              <w:t>2.购置执法人员制式服装和标志，树礼文化市场综合执法人员的新形象</w:t>
            </w:r>
          </w:p>
          <w:p>
            <w:pPr>
              <w:pStyle w:val="20"/>
            </w:pPr>
            <w:r>
              <w:t>3.项目资金按计划支付，预计一次性12月底前支出100%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执法人员数</w:t>
            </w:r>
          </w:p>
        </w:tc>
        <w:tc>
          <w:tcPr>
            <w:tcW w:w="2891" w:type="dxa"/>
            <w:vAlign w:val="center"/>
          </w:tcPr>
          <w:p>
            <w:pPr>
              <w:pStyle w:val="20"/>
            </w:pPr>
            <w:r>
              <w:t>执法人员数量</w:t>
            </w:r>
          </w:p>
        </w:tc>
        <w:tc>
          <w:tcPr>
            <w:tcW w:w="1276" w:type="dxa"/>
            <w:vAlign w:val="center"/>
          </w:tcPr>
          <w:p>
            <w:pPr>
              <w:pStyle w:val="20"/>
            </w:pPr>
            <w:r>
              <w:t>7人</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服装验收合格率</w:t>
            </w:r>
          </w:p>
        </w:tc>
        <w:tc>
          <w:tcPr>
            <w:tcW w:w="2891" w:type="dxa"/>
            <w:vAlign w:val="center"/>
          </w:tcPr>
          <w:p>
            <w:pPr>
              <w:pStyle w:val="20"/>
            </w:pPr>
            <w:r>
              <w:t>服装验收合格情况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服装购置及时率</w:t>
            </w:r>
          </w:p>
        </w:tc>
        <w:tc>
          <w:tcPr>
            <w:tcW w:w="2891" w:type="dxa"/>
            <w:vAlign w:val="center"/>
          </w:tcPr>
          <w:p>
            <w:pPr>
              <w:pStyle w:val="20"/>
            </w:pPr>
            <w:r>
              <w:t>服装购置及时情况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≤2.82万元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执法人员工作开展保障率</w:t>
            </w:r>
          </w:p>
        </w:tc>
        <w:tc>
          <w:tcPr>
            <w:tcW w:w="2891" w:type="dxa"/>
            <w:vAlign w:val="center"/>
          </w:tcPr>
          <w:p>
            <w:pPr>
              <w:pStyle w:val="20"/>
            </w:pPr>
            <w:r>
              <w:t>执法人员工作开展保障情况</w:t>
            </w:r>
          </w:p>
        </w:tc>
        <w:tc>
          <w:tcPr>
            <w:tcW w:w="1276" w:type="dxa"/>
            <w:vAlign w:val="center"/>
          </w:tcPr>
          <w:p>
            <w:pPr>
              <w:pStyle w:val="20"/>
            </w:pPr>
            <w:r>
              <w:t>≥90%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直达人员对工作满意度</w:t>
            </w:r>
          </w:p>
        </w:tc>
        <w:tc>
          <w:tcPr>
            <w:tcW w:w="2891" w:type="dxa"/>
            <w:vAlign w:val="center"/>
          </w:tcPr>
          <w:p>
            <w:pPr>
              <w:pStyle w:val="20"/>
            </w:pPr>
            <w:r>
              <w:t>直达人员对工作满意情况</w:t>
            </w:r>
          </w:p>
        </w:tc>
        <w:tc>
          <w:tcPr>
            <w:tcW w:w="1276" w:type="dxa"/>
            <w:vAlign w:val="center"/>
          </w:tcPr>
          <w:p>
            <w:pPr>
              <w:pStyle w:val="20"/>
            </w:pPr>
            <w:r>
              <w:t>≥95%</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_4_4_0000000014"/>
      <w:r>
        <w:rPr>
          <w:rFonts w:ascii="方正仿宋_GBK" w:hAnsi="方正仿宋_GBK" w:eastAsia="方正仿宋_GBK" w:cs="方正仿宋_GBK"/>
          <w:color w:val="000000"/>
          <w:sz w:val="28"/>
        </w:rPr>
        <w:t>11.区图书馆文化馆日常公用经费（运转保障）绩效目标表</w:t>
      </w:r>
      <w:bookmarkEnd w:id="1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13062522P004567104422</w:t>
            </w:r>
          </w:p>
        </w:tc>
        <w:tc>
          <w:tcPr>
            <w:tcW w:w="1587" w:type="dxa"/>
            <w:vAlign w:val="center"/>
          </w:tcPr>
          <w:p>
            <w:pPr>
              <w:pStyle w:val="21"/>
            </w:pPr>
            <w:r>
              <w:t>项目名称</w:t>
            </w:r>
          </w:p>
        </w:tc>
        <w:tc>
          <w:tcPr>
            <w:tcW w:w="4422" w:type="dxa"/>
            <w:gridSpan w:val="3"/>
            <w:vAlign w:val="center"/>
          </w:tcPr>
          <w:p>
            <w:pPr>
              <w:pStyle w:val="20"/>
            </w:pPr>
            <w:r>
              <w:t>区图书馆文化馆日常公用经费（运转保障）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182.43</w:t>
            </w:r>
          </w:p>
        </w:tc>
        <w:tc>
          <w:tcPr>
            <w:tcW w:w="1587" w:type="dxa"/>
            <w:vAlign w:val="center"/>
          </w:tcPr>
          <w:p>
            <w:pPr>
              <w:pStyle w:val="21"/>
            </w:pPr>
            <w:r>
              <w:t>其中：财政    资金</w:t>
            </w:r>
          </w:p>
        </w:tc>
        <w:tc>
          <w:tcPr>
            <w:tcW w:w="1304" w:type="dxa"/>
            <w:vAlign w:val="center"/>
          </w:tcPr>
          <w:p>
            <w:pPr>
              <w:pStyle w:val="20"/>
            </w:pPr>
            <w:r>
              <w:t>182.43</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区图书馆文化馆日常公用经费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1.强化两馆环境建设，提高群众满意</w:t>
            </w:r>
          </w:p>
          <w:p>
            <w:pPr>
              <w:pStyle w:val="20"/>
            </w:pPr>
          </w:p>
          <w:p>
            <w:pPr>
              <w:pStyle w:val="20"/>
            </w:pPr>
            <w:r>
              <w:t>2.保障两馆日常运行维护</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保安保洁人数</w:t>
            </w:r>
          </w:p>
        </w:tc>
        <w:tc>
          <w:tcPr>
            <w:tcW w:w="2891" w:type="dxa"/>
            <w:vAlign w:val="center"/>
          </w:tcPr>
          <w:p>
            <w:pPr>
              <w:pStyle w:val="20"/>
            </w:pPr>
            <w:r>
              <w:t>保安保洁人员数量</w:t>
            </w:r>
          </w:p>
        </w:tc>
        <w:tc>
          <w:tcPr>
            <w:tcW w:w="1276" w:type="dxa"/>
            <w:vAlign w:val="center"/>
          </w:tcPr>
          <w:p>
            <w:pPr>
              <w:pStyle w:val="20"/>
            </w:pPr>
            <w:r>
              <w:t>≥10人</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设备维修维护数</w:t>
            </w:r>
          </w:p>
        </w:tc>
        <w:tc>
          <w:tcPr>
            <w:tcW w:w="2891" w:type="dxa"/>
            <w:vAlign w:val="center"/>
          </w:tcPr>
          <w:p>
            <w:pPr>
              <w:pStyle w:val="20"/>
            </w:pPr>
            <w:r>
              <w:t>设备维修维护数</w:t>
            </w:r>
          </w:p>
        </w:tc>
        <w:tc>
          <w:tcPr>
            <w:tcW w:w="1276" w:type="dxa"/>
            <w:vAlign w:val="center"/>
          </w:tcPr>
          <w:p>
            <w:pPr>
              <w:pStyle w:val="20"/>
            </w:pPr>
            <w:r>
              <w:t>≥4个</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数量指标</w:t>
            </w:r>
          </w:p>
        </w:tc>
        <w:tc>
          <w:tcPr>
            <w:tcW w:w="1332" w:type="dxa"/>
            <w:vAlign w:val="center"/>
          </w:tcPr>
          <w:p>
            <w:pPr>
              <w:pStyle w:val="20"/>
            </w:pPr>
            <w:r>
              <w:t>购买电量</w:t>
            </w:r>
          </w:p>
        </w:tc>
        <w:tc>
          <w:tcPr>
            <w:tcW w:w="2891" w:type="dxa"/>
            <w:vAlign w:val="center"/>
          </w:tcPr>
          <w:p>
            <w:pPr>
              <w:pStyle w:val="20"/>
            </w:pPr>
            <w:r>
              <w:t>购买电量度数</w:t>
            </w:r>
          </w:p>
        </w:tc>
        <w:tc>
          <w:tcPr>
            <w:tcW w:w="1276" w:type="dxa"/>
            <w:vAlign w:val="center"/>
          </w:tcPr>
          <w:p>
            <w:pPr>
              <w:pStyle w:val="20"/>
            </w:pPr>
            <w:r>
              <w:t>≥151.24万度</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保安保洁劳务费发放准确率</w:t>
            </w:r>
          </w:p>
        </w:tc>
        <w:tc>
          <w:tcPr>
            <w:tcW w:w="2891" w:type="dxa"/>
            <w:vAlign w:val="center"/>
          </w:tcPr>
          <w:p>
            <w:pPr>
              <w:pStyle w:val="20"/>
            </w:pPr>
            <w:r>
              <w:t>保安保洁劳务费发放准确情况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设备维修维护验收合格率</w:t>
            </w:r>
          </w:p>
        </w:tc>
        <w:tc>
          <w:tcPr>
            <w:tcW w:w="2891" w:type="dxa"/>
            <w:vAlign w:val="center"/>
          </w:tcPr>
          <w:p>
            <w:pPr>
              <w:pStyle w:val="20"/>
            </w:pPr>
            <w:r>
              <w:t>设备维修维护验收合格率</w:t>
            </w:r>
          </w:p>
        </w:tc>
        <w:tc>
          <w:tcPr>
            <w:tcW w:w="1276" w:type="dxa"/>
            <w:vAlign w:val="center"/>
          </w:tcPr>
          <w:p>
            <w:pPr>
              <w:pStyle w:val="20"/>
            </w:pPr>
            <w:r>
              <w:t>≥85%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劳务费发放及时率</w:t>
            </w:r>
          </w:p>
        </w:tc>
        <w:tc>
          <w:tcPr>
            <w:tcW w:w="2891" w:type="dxa"/>
            <w:vAlign w:val="center"/>
          </w:tcPr>
          <w:p>
            <w:pPr>
              <w:pStyle w:val="20"/>
            </w:pPr>
            <w:r>
              <w:t>劳务费发放及时情况</w:t>
            </w:r>
          </w:p>
        </w:tc>
        <w:tc>
          <w:tcPr>
            <w:tcW w:w="1276" w:type="dxa"/>
            <w:vAlign w:val="center"/>
          </w:tcPr>
          <w:p>
            <w:pPr>
              <w:pStyle w:val="20"/>
            </w:pPr>
            <w:r>
              <w:t>≥90%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设备维修维护及时率</w:t>
            </w:r>
          </w:p>
        </w:tc>
        <w:tc>
          <w:tcPr>
            <w:tcW w:w="2891" w:type="dxa"/>
            <w:vAlign w:val="center"/>
          </w:tcPr>
          <w:p>
            <w:pPr>
              <w:pStyle w:val="20"/>
            </w:pPr>
            <w:r>
              <w:t>设备维修维护及时情况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费用支付及时率</w:t>
            </w:r>
          </w:p>
        </w:tc>
        <w:tc>
          <w:tcPr>
            <w:tcW w:w="2891" w:type="dxa"/>
            <w:vAlign w:val="center"/>
          </w:tcPr>
          <w:p>
            <w:pPr>
              <w:pStyle w:val="20"/>
            </w:pPr>
            <w:r>
              <w:t>费用支付及时情况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≤182.43万元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经济效益指标</w:t>
            </w:r>
          </w:p>
        </w:tc>
        <w:tc>
          <w:tcPr>
            <w:tcW w:w="1332" w:type="dxa"/>
            <w:vAlign w:val="center"/>
          </w:tcPr>
          <w:p>
            <w:pPr>
              <w:pStyle w:val="20"/>
            </w:pPr>
            <w:r>
              <w:t>场馆正常运转保障率</w:t>
            </w:r>
          </w:p>
        </w:tc>
        <w:tc>
          <w:tcPr>
            <w:tcW w:w="2891" w:type="dxa"/>
            <w:vAlign w:val="center"/>
          </w:tcPr>
          <w:p>
            <w:pPr>
              <w:pStyle w:val="20"/>
            </w:pPr>
            <w:r>
              <w:t>场馆正常运转保障情况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馆内工作人员满意度</w:t>
            </w:r>
          </w:p>
        </w:tc>
        <w:tc>
          <w:tcPr>
            <w:tcW w:w="2891" w:type="dxa"/>
            <w:vAlign w:val="center"/>
          </w:tcPr>
          <w:p>
            <w:pPr>
              <w:pStyle w:val="20"/>
            </w:pPr>
            <w:r>
              <w:t>馆内工作人员满意度</w:t>
            </w:r>
          </w:p>
        </w:tc>
        <w:tc>
          <w:tcPr>
            <w:tcW w:w="1276" w:type="dxa"/>
            <w:vAlign w:val="center"/>
          </w:tcPr>
          <w:p>
            <w:pPr>
              <w:pStyle w:val="20"/>
            </w:pPr>
            <w:r>
              <w:t>≥95%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_4_4_0000000015"/>
      <w:r>
        <w:rPr>
          <w:rFonts w:ascii="方正仿宋_GBK" w:hAnsi="方正仿宋_GBK" w:eastAsia="方正仿宋_GBK" w:cs="方正仿宋_GBK"/>
          <w:color w:val="000000"/>
          <w:sz w:val="28"/>
        </w:rPr>
        <w:t>12.视频会议系统服务费（运转保障）</w:t>
      </w:r>
      <w:bookmarkEnd w:id="14"/>
    </w:p>
    <w:p>
      <w:pPr>
        <w:ind w:firstLine="560"/>
        <w:outlineLvl w:val="3"/>
      </w:pPr>
      <w:bookmarkStart w:id="15" w:name="_Toc_4_4_0000000016"/>
      <w:r>
        <w:rPr>
          <w:rFonts w:ascii="方正仿宋_GBK" w:hAnsi="方正仿宋_GBK" w:eastAsia="方正仿宋_GBK" w:cs="方正仿宋_GBK"/>
          <w:color w:val="000000"/>
          <w:sz w:val="28"/>
        </w:rPr>
        <w:t>绩效目标表</w:t>
      </w:r>
      <w:bookmarkEnd w:id="1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13062522P00456710395Y</w:t>
            </w:r>
          </w:p>
        </w:tc>
        <w:tc>
          <w:tcPr>
            <w:tcW w:w="1587" w:type="dxa"/>
            <w:vAlign w:val="center"/>
          </w:tcPr>
          <w:p>
            <w:pPr>
              <w:pStyle w:val="21"/>
            </w:pPr>
            <w:r>
              <w:t>项目名称</w:t>
            </w:r>
          </w:p>
        </w:tc>
        <w:tc>
          <w:tcPr>
            <w:tcW w:w="4422" w:type="dxa"/>
            <w:gridSpan w:val="3"/>
            <w:vAlign w:val="center"/>
          </w:tcPr>
          <w:p>
            <w:pPr>
              <w:pStyle w:val="20"/>
            </w:pPr>
            <w:r>
              <w:t>视频会议系统服务费（运转保障）</w:t>
            </w:r>
          </w:p>
          <w:p>
            <w:pPr>
              <w:pStyle w:val="20"/>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2.00</w:t>
            </w:r>
          </w:p>
        </w:tc>
        <w:tc>
          <w:tcPr>
            <w:tcW w:w="1587" w:type="dxa"/>
            <w:vAlign w:val="center"/>
          </w:tcPr>
          <w:p>
            <w:pPr>
              <w:pStyle w:val="21"/>
            </w:pPr>
            <w:r>
              <w:t>其中：财政    资金</w:t>
            </w:r>
          </w:p>
        </w:tc>
        <w:tc>
          <w:tcPr>
            <w:tcW w:w="1304" w:type="dxa"/>
            <w:vAlign w:val="center"/>
          </w:tcPr>
          <w:p>
            <w:pPr>
              <w:pStyle w:val="20"/>
            </w:pPr>
            <w:r>
              <w:t>2.00</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视频会议系统服务费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100%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1.财政省市县多层级视频会议系统完整组网</w:t>
            </w:r>
          </w:p>
          <w:p>
            <w:pPr>
              <w:pStyle w:val="20"/>
            </w:pPr>
            <w:r>
              <w:t>2.保障视频会议日常运行使用</w:t>
            </w:r>
          </w:p>
          <w:p>
            <w:pPr>
              <w:pStyle w:val="20"/>
            </w:pPr>
            <w:r>
              <w:t>3.项目资金预计3月支出完毕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系统维护数</w:t>
            </w:r>
          </w:p>
        </w:tc>
        <w:tc>
          <w:tcPr>
            <w:tcW w:w="2891" w:type="dxa"/>
            <w:vAlign w:val="center"/>
          </w:tcPr>
          <w:p>
            <w:pPr>
              <w:pStyle w:val="20"/>
            </w:pPr>
            <w:r>
              <w:t>系统维护数</w:t>
            </w:r>
          </w:p>
        </w:tc>
        <w:tc>
          <w:tcPr>
            <w:tcW w:w="1276" w:type="dxa"/>
            <w:vAlign w:val="center"/>
          </w:tcPr>
          <w:p>
            <w:pPr>
              <w:pStyle w:val="20"/>
            </w:pPr>
            <w:r>
              <w:t>1台</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系统正常运行率</w:t>
            </w:r>
          </w:p>
        </w:tc>
        <w:tc>
          <w:tcPr>
            <w:tcW w:w="2891" w:type="dxa"/>
            <w:vAlign w:val="center"/>
          </w:tcPr>
          <w:p>
            <w:pPr>
              <w:pStyle w:val="20"/>
            </w:pPr>
            <w:r>
              <w:t>视频维修护情况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系统维护及时率</w:t>
            </w:r>
          </w:p>
        </w:tc>
        <w:tc>
          <w:tcPr>
            <w:tcW w:w="2891" w:type="dxa"/>
            <w:vAlign w:val="center"/>
          </w:tcPr>
          <w:p>
            <w:pPr>
              <w:pStyle w:val="20"/>
            </w:pPr>
            <w:r>
              <w:t>系统维护及时情况</w:t>
            </w:r>
          </w:p>
        </w:tc>
        <w:tc>
          <w:tcPr>
            <w:tcW w:w="1276" w:type="dxa"/>
            <w:vAlign w:val="center"/>
          </w:tcPr>
          <w:p>
            <w:pPr>
              <w:pStyle w:val="20"/>
            </w:pPr>
            <w:r>
              <w:t>≥90%</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≤2万元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视频会议正常运行保障率</w:t>
            </w:r>
          </w:p>
        </w:tc>
        <w:tc>
          <w:tcPr>
            <w:tcW w:w="2891" w:type="dxa"/>
            <w:vAlign w:val="center"/>
          </w:tcPr>
          <w:p>
            <w:pPr>
              <w:pStyle w:val="20"/>
            </w:pPr>
            <w:r>
              <w:t>视频会议正常运行保障率</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职工满意度</w:t>
            </w:r>
          </w:p>
        </w:tc>
        <w:tc>
          <w:tcPr>
            <w:tcW w:w="2891" w:type="dxa"/>
            <w:vAlign w:val="center"/>
          </w:tcPr>
          <w:p>
            <w:pPr>
              <w:pStyle w:val="20"/>
            </w:pPr>
            <w:r>
              <w:t>职工满意情况</w:t>
            </w:r>
          </w:p>
        </w:tc>
        <w:tc>
          <w:tcPr>
            <w:tcW w:w="1276" w:type="dxa"/>
            <w:vAlign w:val="center"/>
          </w:tcPr>
          <w:p>
            <w:pPr>
              <w:pStyle w:val="20"/>
            </w:pPr>
            <w:r>
              <w:t>&gt;85%</w:t>
            </w:r>
          </w:p>
        </w:tc>
        <w:tc>
          <w:tcPr>
            <w:tcW w:w="1843" w:type="dxa"/>
            <w:vAlign w:val="center"/>
          </w:tcPr>
          <w:p>
            <w:pPr>
              <w:pStyle w:val="20"/>
            </w:pPr>
            <w:r>
              <w:t>根据单位工作计划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6" w:name="_Toc_4_4_0000000017"/>
      <w:r>
        <w:rPr>
          <w:rFonts w:ascii="方正仿宋_GBK" w:hAnsi="方正仿宋_GBK" w:eastAsia="方正仿宋_GBK" w:cs="方正仿宋_GBK"/>
          <w:color w:val="000000"/>
          <w:sz w:val="28"/>
        </w:rPr>
        <w:t>13.提前下达2021年省级文物保护专项资金绩效目标表</w:t>
      </w:r>
      <w:bookmarkEnd w:id="1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13062521G9SMG5WLO732H</w:t>
            </w:r>
          </w:p>
        </w:tc>
        <w:tc>
          <w:tcPr>
            <w:tcW w:w="1587" w:type="dxa"/>
            <w:vAlign w:val="center"/>
          </w:tcPr>
          <w:p>
            <w:pPr>
              <w:pStyle w:val="21"/>
            </w:pPr>
            <w:r>
              <w:t>项目名称</w:t>
            </w:r>
          </w:p>
        </w:tc>
        <w:tc>
          <w:tcPr>
            <w:tcW w:w="4422" w:type="dxa"/>
            <w:gridSpan w:val="3"/>
            <w:vAlign w:val="center"/>
          </w:tcPr>
          <w:p>
            <w:pPr>
              <w:pStyle w:val="20"/>
            </w:pPr>
            <w:r>
              <w:t>提前下达2021年省级文物保护专项资金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119.27</w:t>
            </w:r>
          </w:p>
        </w:tc>
        <w:tc>
          <w:tcPr>
            <w:tcW w:w="1587" w:type="dxa"/>
            <w:vAlign w:val="center"/>
          </w:tcPr>
          <w:p>
            <w:pPr>
              <w:pStyle w:val="21"/>
            </w:pPr>
            <w:r>
              <w:t>其中：财政    资金</w:t>
            </w:r>
          </w:p>
        </w:tc>
        <w:tc>
          <w:tcPr>
            <w:tcW w:w="1304" w:type="dxa"/>
            <w:vAlign w:val="center"/>
          </w:tcPr>
          <w:p>
            <w:pPr>
              <w:pStyle w:val="20"/>
            </w:pPr>
            <w:r>
              <w:t>119.27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省级文物保护专项资金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 xml:space="preserve"> </w:t>
            </w:r>
          </w:p>
        </w:tc>
        <w:tc>
          <w:tcPr>
            <w:tcW w:w="1587" w:type="dxa"/>
            <w:vAlign w:val="center"/>
          </w:tcPr>
          <w:p>
            <w:pPr>
              <w:pStyle w:val="22"/>
            </w:pPr>
            <w:r>
              <w:t xml:space="preserve"> </w:t>
            </w:r>
          </w:p>
        </w:tc>
        <w:tc>
          <w:tcPr>
            <w:tcW w:w="1304" w:type="dxa"/>
            <w:vAlign w:val="center"/>
          </w:tcPr>
          <w:p>
            <w:pPr>
              <w:pStyle w:val="22"/>
            </w:pPr>
            <w:r>
              <w:t xml:space="preserve"> </w:t>
            </w:r>
          </w:p>
        </w:tc>
        <w:tc>
          <w:tcPr>
            <w:tcW w:w="3118" w:type="dxa"/>
            <w:gridSpan w:val="2"/>
            <w:vAlign w:val="center"/>
          </w:tcPr>
          <w:p>
            <w:pPr>
              <w:pStyle w:val="2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1.项目资金用于支持我区文物保护工作</w:t>
            </w:r>
          </w:p>
          <w:p>
            <w:pPr>
              <w:pStyle w:val="20"/>
            </w:pPr>
            <w:r>
              <w:t>2.保障巩固庄福隆号旧址保护修缮</w:t>
            </w:r>
          </w:p>
          <w:p>
            <w:pPr>
              <w:pStyle w:val="20"/>
            </w:pPr>
            <w:r>
              <w:t>3.项目资金预计5月底支出完毕</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修缮旧址数</w:t>
            </w:r>
          </w:p>
        </w:tc>
        <w:tc>
          <w:tcPr>
            <w:tcW w:w="2891" w:type="dxa"/>
            <w:vAlign w:val="center"/>
          </w:tcPr>
          <w:p>
            <w:pPr>
              <w:pStyle w:val="20"/>
            </w:pPr>
            <w:r>
              <w:t>修缮旧址数量</w:t>
            </w:r>
          </w:p>
        </w:tc>
        <w:tc>
          <w:tcPr>
            <w:tcW w:w="1276" w:type="dxa"/>
            <w:vAlign w:val="center"/>
          </w:tcPr>
          <w:p>
            <w:pPr>
              <w:pStyle w:val="20"/>
            </w:pPr>
            <w:r>
              <w:t>1个</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修缮旧址运行率</w:t>
            </w:r>
          </w:p>
        </w:tc>
        <w:tc>
          <w:tcPr>
            <w:tcW w:w="2891" w:type="dxa"/>
            <w:vAlign w:val="center"/>
          </w:tcPr>
          <w:p>
            <w:pPr>
              <w:pStyle w:val="20"/>
            </w:pPr>
            <w:r>
              <w:t>修缮旧址运行情况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修缮旧址资金支付率</w:t>
            </w:r>
          </w:p>
        </w:tc>
        <w:tc>
          <w:tcPr>
            <w:tcW w:w="2891" w:type="dxa"/>
            <w:vAlign w:val="center"/>
          </w:tcPr>
          <w:p>
            <w:pPr>
              <w:pStyle w:val="20"/>
            </w:pPr>
            <w:r>
              <w:t>修缮旧址资金支付情况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≤119.27万元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文物保护水平提升性</w:t>
            </w:r>
          </w:p>
        </w:tc>
        <w:tc>
          <w:tcPr>
            <w:tcW w:w="2891" w:type="dxa"/>
            <w:vAlign w:val="center"/>
          </w:tcPr>
          <w:p>
            <w:pPr>
              <w:pStyle w:val="20"/>
            </w:pPr>
            <w:r>
              <w:t>文物保护提升情况</w:t>
            </w:r>
          </w:p>
        </w:tc>
        <w:tc>
          <w:tcPr>
            <w:tcW w:w="1276" w:type="dxa"/>
            <w:vAlign w:val="center"/>
          </w:tcPr>
          <w:p>
            <w:pPr>
              <w:pStyle w:val="20"/>
            </w:pPr>
            <w:r>
              <w:t>≥85%</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≥80%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7" w:name="_Toc_4_4_0000000018"/>
      <w:r>
        <w:rPr>
          <w:rFonts w:ascii="方正仿宋_GBK" w:hAnsi="方正仿宋_GBK" w:eastAsia="方正仿宋_GBK" w:cs="方正仿宋_GBK"/>
          <w:color w:val="000000"/>
          <w:sz w:val="28"/>
        </w:rPr>
        <w:t>14.提前下达2021年中央补助地方美术馆公共图书馆文化馆（站）免费开放补助资金预算绩效目标表</w:t>
      </w:r>
      <w:bookmarkEnd w:id="1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13062521WI3RFOEIORDW7</w:t>
            </w:r>
          </w:p>
        </w:tc>
        <w:tc>
          <w:tcPr>
            <w:tcW w:w="1587" w:type="dxa"/>
            <w:vAlign w:val="center"/>
          </w:tcPr>
          <w:p>
            <w:pPr>
              <w:pStyle w:val="21"/>
            </w:pPr>
            <w:r>
              <w:t>项目名称</w:t>
            </w:r>
          </w:p>
        </w:tc>
        <w:tc>
          <w:tcPr>
            <w:tcW w:w="4422" w:type="dxa"/>
            <w:gridSpan w:val="3"/>
            <w:vAlign w:val="center"/>
          </w:tcPr>
          <w:p>
            <w:pPr>
              <w:pStyle w:val="20"/>
            </w:pPr>
            <w:r>
              <w:t>提前下达2021年中央补助地方美术馆公共图书馆文化馆（站）免费开放补助资金预算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5.08</w:t>
            </w:r>
          </w:p>
        </w:tc>
        <w:tc>
          <w:tcPr>
            <w:tcW w:w="1587" w:type="dxa"/>
            <w:vAlign w:val="center"/>
          </w:tcPr>
          <w:p>
            <w:pPr>
              <w:pStyle w:val="21"/>
            </w:pPr>
            <w:r>
              <w:t>其中：财政    资金</w:t>
            </w:r>
          </w:p>
        </w:tc>
        <w:tc>
          <w:tcPr>
            <w:tcW w:w="1304" w:type="dxa"/>
            <w:vAlign w:val="center"/>
          </w:tcPr>
          <w:p>
            <w:pPr>
              <w:pStyle w:val="20"/>
            </w:pPr>
            <w:r>
              <w:t>5.08</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中央补助地方美术馆公共图书馆文化馆（站）免费开放补助资金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30%</w:t>
            </w:r>
          </w:p>
        </w:tc>
        <w:tc>
          <w:tcPr>
            <w:tcW w:w="1587" w:type="dxa"/>
            <w:vAlign w:val="center"/>
          </w:tcPr>
          <w:p>
            <w:pPr>
              <w:pStyle w:val="22"/>
            </w:pPr>
            <w:r>
              <w:t>60%</w:t>
            </w:r>
          </w:p>
        </w:tc>
        <w:tc>
          <w:tcPr>
            <w:tcW w:w="1304" w:type="dxa"/>
            <w:vAlign w:val="center"/>
          </w:tcPr>
          <w:p>
            <w:pPr>
              <w:pStyle w:val="22"/>
            </w:pPr>
            <w:r>
              <w:t>85%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1.两馆免费开放服务水平提升</w:t>
            </w:r>
          </w:p>
          <w:p>
            <w:pPr>
              <w:pStyle w:val="20"/>
            </w:pPr>
            <w:r>
              <w:t>2.保障两馆活动按计划进行</w:t>
            </w:r>
          </w:p>
          <w:p>
            <w:pPr>
              <w:pStyle w:val="20"/>
            </w:pPr>
            <w:r>
              <w:t>3.项目资金预计3月支出25%，6月支出50%，9月支出75%，12月支出100%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开展文化活动次数</w:t>
            </w:r>
          </w:p>
        </w:tc>
        <w:tc>
          <w:tcPr>
            <w:tcW w:w="2891" w:type="dxa"/>
            <w:vAlign w:val="center"/>
          </w:tcPr>
          <w:p>
            <w:pPr>
              <w:pStyle w:val="20"/>
            </w:pPr>
            <w:r>
              <w:t>开展文化活动次数情况</w:t>
            </w:r>
          </w:p>
        </w:tc>
        <w:tc>
          <w:tcPr>
            <w:tcW w:w="1276" w:type="dxa"/>
            <w:vAlign w:val="center"/>
          </w:tcPr>
          <w:p>
            <w:pPr>
              <w:pStyle w:val="20"/>
            </w:pPr>
            <w:r>
              <w:t>≥23次</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参加活动人员到位率</w:t>
            </w:r>
          </w:p>
        </w:tc>
        <w:tc>
          <w:tcPr>
            <w:tcW w:w="2891" w:type="dxa"/>
            <w:vAlign w:val="center"/>
          </w:tcPr>
          <w:p>
            <w:pPr>
              <w:pStyle w:val="20"/>
            </w:pPr>
            <w:r>
              <w:t>参加活动人员到位率</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活动开展及时率</w:t>
            </w:r>
          </w:p>
        </w:tc>
        <w:tc>
          <w:tcPr>
            <w:tcW w:w="2891" w:type="dxa"/>
            <w:vAlign w:val="center"/>
          </w:tcPr>
          <w:p>
            <w:pPr>
              <w:pStyle w:val="20"/>
            </w:pPr>
            <w:r>
              <w:t>活动开展及时情况</w:t>
            </w:r>
          </w:p>
        </w:tc>
        <w:tc>
          <w:tcPr>
            <w:tcW w:w="1276" w:type="dxa"/>
            <w:vAlign w:val="center"/>
          </w:tcPr>
          <w:p>
            <w:pPr>
              <w:pStyle w:val="20"/>
            </w:pPr>
            <w:r>
              <w:t>≥80%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≤5.08万元</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公共文化水平提升率</w:t>
            </w:r>
          </w:p>
        </w:tc>
        <w:tc>
          <w:tcPr>
            <w:tcW w:w="2891" w:type="dxa"/>
            <w:vAlign w:val="center"/>
          </w:tcPr>
          <w:p>
            <w:pPr>
              <w:pStyle w:val="20"/>
            </w:pPr>
            <w:r>
              <w:t>公共文化水平提升情况</w:t>
            </w:r>
          </w:p>
        </w:tc>
        <w:tc>
          <w:tcPr>
            <w:tcW w:w="1276" w:type="dxa"/>
            <w:vAlign w:val="center"/>
          </w:tcPr>
          <w:p>
            <w:pPr>
              <w:pStyle w:val="20"/>
            </w:pPr>
            <w:r>
              <w:t>≥50%</w:t>
            </w:r>
          </w:p>
        </w:tc>
        <w:tc>
          <w:tcPr>
            <w:tcW w:w="1843" w:type="dxa"/>
            <w:vAlign w:val="center"/>
          </w:tcPr>
          <w:p>
            <w:pPr>
              <w:pStyle w:val="20"/>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群众满意度</w:t>
            </w:r>
          </w:p>
        </w:tc>
        <w:tc>
          <w:tcPr>
            <w:tcW w:w="2891" w:type="dxa"/>
            <w:vAlign w:val="center"/>
          </w:tcPr>
          <w:p>
            <w:pPr>
              <w:pStyle w:val="20"/>
            </w:pPr>
            <w:r>
              <w:t>群众满意情况</w:t>
            </w:r>
          </w:p>
        </w:tc>
        <w:tc>
          <w:tcPr>
            <w:tcW w:w="1276" w:type="dxa"/>
            <w:vAlign w:val="center"/>
          </w:tcPr>
          <w:p>
            <w:pPr>
              <w:pStyle w:val="20"/>
            </w:pPr>
            <w:r>
              <w:t>≥90%</w:t>
            </w:r>
          </w:p>
        </w:tc>
        <w:tc>
          <w:tcPr>
            <w:tcW w:w="1843" w:type="dxa"/>
            <w:vAlign w:val="center"/>
          </w:tcPr>
          <w:p>
            <w:pPr>
              <w:pStyle w:val="20"/>
            </w:pPr>
            <w:r>
              <w:t>根据文件要求</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8" w:name="_Toc_4_4_0000000019"/>
      <w:r>
        <w:rPr>
          <w:rFonts w:ascii="方正仿宋_GBK" w:hAnsi="方正仿宋_GBK" w:eastAsia="方正仿宋_GBK" w:cs="方正仿宋_GBK"/>
          <w:color w:val="000000"/>
          <w:sz w:val="28"/>
        </w:rPr>
        <w:t>15.退役军人专岗人员提高待遇资金绩效目标表</w:t>
      </w:r>
      <w:bookmarkEnd w:id="1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13062522P00456710542B</w:t>
            </w:r>
          </w:p>
        </w:tc>
        <w:tc>
          <w:tcPr>
            <w:tcW w:w="1587" w:type="dxa"/>
            <w:vAlign w:val="center"/>
          </w:tcPr>
          <w:p>
            <w:pPr>
              <w:pStyle w:val="21"/>
            </w:pPr>
            <w:r>
              <w:t>项目名称</w:t>
            </w:r>
          </w:p>
        </w:tc>
        <w:tc>
          <w:tcPr>
            <w:tcW w:w="4422" w:type="dxa"/>
            <w:gridSpan w:val="3"/>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2.16</w:t>
            </w:r>
          </w:p>
        </w:tc>
        <w:tc>
          <w:tcPr>
            <w:tcW w:w="1587" w:type="dxa"/>
            <w:vAlign w:val="center"/>
          </w:tcPr>
          <w:p>
            <w:pPr>
              <w:pStyle w:val="21"/>
            </w:pPr>
            <w:r>
              <w:t>其中：财政    资金</w:t>
            </w:r>
          </w:p>
        </w:tc>
        <w:tc>
          <w:tcPr>
            <w:tcW w:w="1304" w:type="dxa"/>
            <w:vAlign w:val="center"/>
          </w:tcPr>
          <w:p>
            <w:pPr>
              <w:pStyle w:val="20"/>
            </w:pPr>
            <w:r>
              <w:t>2.16</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退役军人专岗人员提高待遇资金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750000%</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1.资金用于保障退役军人专岗出勤补贴。</w:t>
            </w:r>
          </w:p>
          <w:p>
            <w:pPr>
              <w:pStyle w:val="20"/>
            </w:pPr>
            <w:r>
              <w:t>2.确保全区稳定，保障退役军人专岗人员更好发挥作用。</w:t>
            </w:r>
          </w:p>
          <w:p>
            <w:pPr>
              <w:pStyle w:val="20"/>
            </w:pPr>
            <w:r>
              <w:t>3.按月支出，3月份支出25%，6月份支出50%，9月份支出75%，12月份支出100%。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专岗人员人数</w:t>
            </w:r>
          </w:p>
        </w:tc>
        <w:tc>
          <w:tcPr>
            <w:tcW w:w="2891" w:type="dxa"/>
            <w:vAlign w:val="center"/>
          </w:tcPr>
          <w:p>
            <w:pPr>
              <w:pStyle w:val="20"/>
            </w:pPr>
            <w:r>
              <w:t>专岗人员人数</w:t>
            </w:r>
          </w:p>
        </w:tc>
        <w:tc>
          <w:tcPr>
            <w:tcW w:w="1276" w:type="dxa"/>
            <w:vAlign w:val="center"/>
          </w:tcPr>
          <w:p>
            <w:pPr>
              <w:pStyle w:val="20"/>
            </w:pPr>
            <w:r>
              <w:t>6人</w:t>
            </w:r>
          </w:p>
        </w:tc>
        <w:tc>
          <w:tcPr>
            <w:tcW w:w="1843" w:type="dxa"/>
            <w:vAlign w:val="center"/>
          </w:tcPr>
          <w:p>
            <w:pPr>
              <w:pStyle w:val="20"/>
            </w:pPr>
            <w:r>
              <w:t>2021年11月份人数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补贴发放足额率</w:t>
            </w:r>
          </w:p>
        </w:tc>
        <w:tc>
          <w:tcPr>
            <w:tcW w:w="2891" w:type="dxa"/>
            <w:vAlign w:val="center"/>
          </w:tcPr>
          <w:p>
            <w:pPr>
              <w:pStyle w:val="20"/>
            </w:pPr>
            <w:r>
              <w:t>足额发放补贴人数占全部人数比例</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资金及时发放率</w:t>
            </w:r>
          </w:p>
        </w:tc>
        <w:tc>
          <w:tcPr>
            <w:tcW w:w="2891" w:type="dxa"/>
            <w:vAlign w:val="center"/>
          </w:tcPr>
          <w:p>
            <w:pPr>
              <w:pStyle w:val="20"/>
            </w:pPr>
            <w:r>
              <w:t>该笔资金投入后是否能够按照规定时间发放到位</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项目支出金额</w:t>
            </w:r>
          </w:p>
        </w:tc>
        <w:tc>
          <w:tcPr>
            <w:tcW w:w="2891" w:type="dxa"/>
            <w:vAlign w:val="center"/>
          </w:tcPr>
          <w:p>
            <w:pPr>
              <w:pStyle w:val="20"/>
            </w:pPr>
            <w:r>
              <w:t>在预算金额内支付</w:t>
            </w:r>
          </w:p>
        </w:tc>
        <w:tc>
          <w:tcPr>
            <w:tcW w:w="1276" w:type="dxa"/>
            <w:vAlign w:val="center"/>
          </w:tcPr>
          <w:p>
            <w:pPr>
              <w:pStyle w:val="20"/>
            </w:pPr>
            <w:r>
              <w:t>≤2.16万元</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拥军优属保障率</w:t>
            </w:r>
          </w:p>
        </w:tc>
        <w:tc>
          <w:tcPr>
            <w:tcW w:w="2891" w:type="dxa"/>
            <w:vAlign w:val="center"/>
          </w:tcPr>
          <w:p>
            <w:pPr>
              <w:pStyle w:val="20"/>
            </w:pPr>
            <w:r>
              <w:t>未发生相关上访的比率</w:t>
            </w:r>
          </w:p>
        </w:tc>
        <w:tc>
          <w:tcPr>
            <w:tcW w:w="1276" w:type="dxa"/>
            <w:vAlign w:val="center"/>
          </w:tcPr>
          <w:p>
            <w:pPr>
              <w:pStyle w:val="20"/>
            </w:pPr>
            <w:r>
              <w:t>100%</w:t>
            </w:r>
          </w:p>
        </w:tc>
        <w:tc>
          <w:tcPr>
            <w:tcW w:w="1843" w:type="dxa"/>
            <w:vAlign w:val="center"/>
          </w:tcPr>
          <w:p>
            <w:pPr>
              <w:pStyle w:val="20"/>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退役军人专岗人员满意度</w:t>
            </w:r>
          </w:p>
        </w:tc>
        <w:tc>
          <w:tcPr>
            <w:tcW w:w="2891" w:type="dxa"/>
            <w:vAlign w:val="center"/>
          </w:tcPr>
          <w:p>
            <w:pPr>
              <w:pStyle w:val="20"/>
            </w:pPr>
            <w:r>
              <w:t>项目相关的退役军人专岗人员满意度</w:t>
            </w:r>
          </w:p>
        </w:tc>
        <w:tc>
          <w:tcPr>
            <w:tcW w:w="1276" w:type="dxa"/>
            <w:vAlign w:val="center"/>
          </w:tcPr>
          <w:p>
            <w:pPr>
              <w:pStyle w:val="20"/>
            </w:pPr>
            <w:r>
              <w:t>≥85%</w:t>
            </w:r>
          </w:p>
        </w:tc>
        <w:tc>
          <w:tcPr>
            <w:tcW w:w="1843" w:type="dxa"/>
            <w:vAlign w:val="center"/>
          </w:tcPr>
          <w:p>
            <w:pPr>
              <w:pStyle w:val="20"/>
            </w:pPr>
            <w:r>
              <w:t>计划标准</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9" w:name="_Toc_4_4_0000000020"/>
      <w:r>
        <w:rPr>
          <w:rFonts w:ascii="方正仿宋_GBK" w:hAnsi="方正仿宋_GBK" w:eastAsia="方正仿宋_GBK" w:cs="方正仿宋_GBK"/>
          <w:color w:val="000000"/>
          <w:sz w:val="28"/>
        </w:rPr>
        <w:t>16.文物保护专项业务经费绩效目标表</w:t>
      </w:r>
      <w:bookmarkEnd w:id="1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13062522P00456710394B</w:t>
            </w:r>
          </w:p>
        </w:tc>
        <w:tc>
          <w:tcPr>
            <w:tcW w:w="1587" w:type="dxa"/>
            <w:vAlign w:val="center"/>
          </w:tcPr>
          <w:p>
            <w:pPr>
              <w:pStyle w:val="21"/>
            </w:pPr>
            <w:r>
              <w:t>项目名称</w:t>
            </w:r>
          </w:p>
        </w:tc>
        <w:tc>
          <w:tcPr>
            <w:tcW w:w="4422" w:type="dxa"/>
            <w:gridSpan w:val="3"/>
            <w:vAlign w:val="center"/>
          </w:tcPr>
          <w:p>
            <w:pPr>
              <w:pStyle w:val="20"/>
            </w:pPr>
            <w:r>
              <w:t>文物保护专项业务经费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11.09</w:t>
            </w:r>
          </w:p>
        </w:tc>
        <w:tc>
          <w:tcPr>
            <w:tcW w:w="1587" w:type="dxa"/>
            <w:vAlign w:val="center"/>
          </w:tcPr>
          <w:p>
            <w:pPr>
              <w:pStyle w:val="21"/>
            </w:pPr>
            <w:r>
              <w:t>其中：财政    资金</w:t>
            </w:r>
          </w:p>
        </w:tc>
        <w:tc>
          <w:tcPr>
            <w:tcW w:w="1304" w:type="dxa"/>
            <w:vAlign w:val="center"/>
          </w:tcPr>
          <w:p>
            <w:pPr>
              <w:pStyle w:val="20"/>
            </w:pPr>
            <w:r>
              <w:t>11.09</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文物保护单位保护员经费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1.保障文物保护水平提升</w:t>
            </w:r>
          </w:p>
          <w:p>
            <w:pPr>
              <w:pStyle w:val="20"/>
            </w:pPr>
            <w:r>
              <w:t>2.田野文物保护队伍人员数量稳定，组建不少于20人文物保护队员</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文物保护员人数</w:t>
            </w:r>
          </w:p>
        </w:tc>
        <w:tc>
          <w:tcPr>
            <w:tcW w:w="2891" w:type="dxa"/>
            <w:vAlign w:val="center"/>
          </w:tcPr>
          <w:p>
            <w:pPr>
              <w:pStyle w:val="20"/>
            </w:pPr>
            <w:r>
              <w:t>文物保护员人数</w:t>
            </w:r>
          </w:p>
        </w:tc>
        <w:tc>
          <w:tcPr>
            <w:tcW w:w="1276" w:type="dxa"/>
            <w:vAlign w:val="center"/>
          </w:tcPr>
          <w:p>
            <w:pPr>
              <w:pStyle w:val="20"/>
            </w:pPr>
            <w:r>
              <w:t>≥20人</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补助发放准确率</w:t>
            </w:r>
          </w:p>
        </w:tc>
        <w:tc>
          <w:tcPr>
            <w:tcW w:w="2891" w:type="dxa"/>
            <w:vAlign w:val="center"/>
          </w:tcPr>
          <w:p>
            <w:pPr>
              <w:pStyle w:val="20"/>
            </w:pPr>
            <w:r>
              <w:t>补助发放准确情况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补助发放及时率</w:t>
            </w:r>
          </w:p>
        </w:tc>
        <w:tc>
          <w:tcPr>
            <w:tcW w:w="2891" w:type="dxa"/>
            <w:vAlign w:val="center"/>
          </w:tcPr>
          <w:p>
            <w:pPr>
              <w:pStyle w:val="20"/>
            </w:pPr>
            <w:r>
              <w:t>补助发放及时情况</w:t>
            </w:r>
          </w:p>
        </w:tc>
        <w:tc>
          <w:tcPr>
            <w:tcW w:w="1276" w:type="dxa"/>
            <w:vAlign w:val="center"/>
          </w:tcPr>
          <w:p>
            <w:pPr>
              <w:pStyle w:val="20"/>
            </w:pPr>
            <w:r>
              <w:t>100%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项目控制在预算范围内</w:t>
            </w:r>
          </w:p>
        </w:tc>
        <w:tc>
          <w:tcPr>
            <w:tcW w:w="1276" w:type="dxa"/>
            <w:vAlign w:val="center"/>
          </w:tcPr>
          <w:p>
            <w:pPr>
              <w:pStyle w:val="20"/>
            </w:pPr>
            <w:r>
              <w:t>≤11.09万元</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文物保护水平提升率</w:t>
            </w:r>
          </w:p>
        </w:tc>
        <w:tc>
          <w:tcPr>
            <w:tcW w:w="2891" w:type="dxa"/>
            <w:vAlign w:val="center"/>
          </w:tcPr>
          <w:p>
            <w:pPr>
              <w:pStyle w:val="20"/>
            </w:pPr>
            <w:r>
              <w:t>文物保护水平提升情况</w:t>
            </w:r>
          </w:p>
        </w:tc>
        <w:tc>
          <w:tcPr>
            <w:tcW w:w="1276" w:type="dxa"/>
            <w:vAlign w:val="center"/>
          </w:tcPr>
          <w:p>
            <w:pPr>
              <w:pStyle w:val="20"/>
            </w:pPr>
            <w:r>
              <w:t>≥90%</w:t>
            </w:r>
          </w:p>
        </w:tc>
        <w:tc>
          <w:tcPr>
            <w:tcW w:w="1843" w:type="dxa"/>
            <w:vAlign w:val="center"/>
          </w:tcPr>
          <w:p>
            <w:pPr>
              <w:pStyle w:val="20"/>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文物保护员满意度</w:t>
            </w:r>
          </w:p>
        </w:tc>
        <w:tc>
          <w:tcPr>
            <w:tcW w:w="2891" w:type="dxa"/>
            <w:vAlign w:val="center"/>
          </w:tcPr>
          <w:p>
            <w:pPr>
              <w:pStyle w:val="20"/>
            </w:pPr>
            <w:r>
              <w:t>文物保护员满意度</w:t>
            </w:r>
          </w:p>
        </w:tc>
        <w:tc>
          <w:tcPr>
            <w:tcW w:w="1276" w:type="dxa"/>
            <w:vAlign w:val="center"/>
          </w:tcPr>
          <w:p>
            <w:pPr>
              <w:pStyle w:val="20"/>
            </w:pPr>
            <w:r>
              <w:t>≥95%</w:t>
            </w:r>
          </w:p>
        </w:tc>
        <w:tc>
          <w:tcPr>
            <w:tcW w:w="1843" w:type="dxa"/>
            <w:vAlign w:val="center"/>
          </w:tcPr>
          <w:p>
            <w:pPr>
              <w:pStyle w:val="20"/>
            </w:pPr>
            <w:r>
              <w:t>根据工作计划</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0" w:name="_Toc_4_4_0000000021"/>
      <w:r>
        <w:rPr>
          <w:rFonts w:ascii="方正仿宋_GBK" w:hAnsi="方正仿宋_GBK" w:eastAsia="方正仿宋_GBK" w:cs="方正仿宋_GBK"/>
          <w:color w:val="000000"/>
          <w:sz w:val="28"/>
        </w:rPr>
        <w:t>17.徐水会堂人员经费绩效目标表</w:t>
      </w:r>
      <w:bookmarkEnd w:id="2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9"/>
            </w:pPr>
            <w:r>
              <w:t>357001保定市徐水区文化广电和旅游局本级</w:t>
            </w:r>
          </w:p>
        </w:tc>
        <w:tc>
          <w:tcPr>
            <w:tcW w:w="1843" w:type="dxa"/>
            <w:tcBorders>
              <w:top w:val="single" w:color="FFFFFF" w:sz="6" w:space="0"/>
              <w:left w:val="single" w:color="FFFFFF" w:sz="6" w:space="0"/>
              <w:right w:val="single" w:color="FFFFFF" w:sz="6" w:space="0"/>
            </w:tcBorders>
            <w:vAlign w:val="center"/>
          </w:tcPr>
          <w:p>
            <w:pPr>
              <w:pStyle w:val="18"/>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项目编码</w:t>
            </w:r>
          </w:p>
        </w:tc>
        <w:tc>
          <w:tcPr>
            <w:tcW w:w="2608" w:type="dxa"/>
            <w:gridSpan w:val="2"/>
            <w:vAlign w:val="center"/>
          </w:tcPr>
          <w:p>
            <w:pPr>
              <w:pStyle w:val="20"/>
            </w:pPr>
            <w:r>
              <w:t>13062522P00456610255G</w:t>
            </w:r>
          </w:p>
        </w:tc>
        <w:tc>
          <w:tcPr>
            <w:tcW w:w="1587" w:type="dxa"/>
            <w:vAlign w:val="center"/>
          </w:tcPr>
          <w:p>
            <w:pPr>
              <w:pStyle w:val="21"/>
            </w:pPr>
            <w:r>
              <w:t>项目名称</w:t>
            </w:r>
          </w:p>
        </w:tc>
        <w:tc>
          <w:tcPr>
            <w:tcW w:w="4422" w:type="dxa"/>
            <w:gridSpan w:val="3"/>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预算规模及资金用途</w:t>
            </w:r>
          </w:p>
        </w:tc>
        <w:tc>
          <w:tcPr>
            <w:tcW w:w="1276" w:type="dxa"/>
            <w:vAlign w:val="center"/>
          </w:tcPr>
          <w:p>
            <w:pPr>
              <w:pStyle w:val="21"/>
            </w:pPr>
            <w:r>
              <w:t>预算数</w:t>
            </w:r>
          </w:p>
        </w:tc>
        <w:tc>
          <w:tcPr>
            <w:tcW w:w="1332" w:type="dxa"/>
            <w:vAlign w:val="center"/>
          </w:tcPr>
          <w:p>
            <w:pPr>
              <w:pStyle w:val="20"/>
            </w:pPr>
            <w:r>
              <w:t>18.97</w:t>
            </w:r>
          </w:p>
        </w:tc>
        <w:tc>
          <w:tcPr>
            <w:tcW w:w="1587" w:type="dxa"/>
            <w:vAlign w:val="center"/>
          </w:tcPr>
          <w:p>
            <w:pPr>
              <w:pStyle w:val="21"/>
            </w:pPr>
            <w:r>
              <w:t>其中：财政    资金</w:t>
            </w:r>
          </w:p>
        </w:tc>
        <w:tc>
          <w:tcPr>
            <w:tcW w:w="1304" w:type="dxa"/>
            <w:vAlign w:val="center"/>
          </w:tcPr>
          <w:p>
            <w:pPr>
              <w:pStyle w:val="20"/>
            </w:pPr>
            <w:r>
              <w:t>18.97</w:t>
            </w:r>
          </w:p>
        </w:tc>
        <w:tc>
          <w:tcPr>
            <w:tcW w:w="1276" w:type="dxa"/>
            <w:vAlign w:val="center"/>
          </w:tcPr>
          <w:p>
            <w:pPr>
              <w:pStyle w:val="21"/>
            </w:pPr>
            <w:r>
              <w:t>其他资金</w:t>
            </w:r>
          </w:p>
        </w:tc>
        <w:tc>
          <w:tcPr>
            <w:tcW w:w="1843" w:type="dxa"/>
            <w:vAlign w:val="center"/>
          </w:tcPr>
          <w:p>
            <w:pPr>
              <w:pStyle w:val="2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20"/>
            </w:pPr>
            <w:r>
              <w:t>徐水会堂人员经费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1"/>
            </w:pPr>
            <w:r>
              <w:t>资金支出计划（%）</w:t>
            </w:r>
          </w:p>
        </w:tc>
        <w:tc>
          <w:tcPr>
            <w:tcW w:w="2608" w:type="dxa"/>
            <w:gridSpan w:val="2"/>
            <w:vAlign w:val="center"/>
          </w:tcPr>
          <w:p>
            <w:pPr>
              <w:pStyle w:val="21"/>
            </w:pPr>
            <w:r>
              <w:t>3月底</w:t>
            </w:r>
          </w:p>
        </w:tc>
        <w:tc>
          <w:tcPr>
            <w:tcW w:w="1587" w:type="dxa"/>
            <w:vAlign w:val="center"/>
          </w:tcPr>
          <w:p>
            <w:pPr>
              <w:pStyle w:val="21"/>
            </w:pPr>
            <w:r>
              <w:t>6月底</w:t>
            </w:r>
          </w:p>
        </w:tc>
        <w:tc>
          <w:tcPr>
            <w:tcW w:w="1304" w:type="dxa"/>
            <w:vAlign w:val="center"/>
          </w:tcPr>
          <w:p>
            <w:pPr>
              <w:pStyle w:val="21"/>
            </w:pPr>
            <w:r>
              <w:t>10月底</w:t>
            </w:r>
          </w:p>
        </w:tc>
        <w:tc>
          <w:tcPr>
            <w:tcW w:w="3118" w:type="dxa"/>
            <w:gridSpan w:val="2"/>
            <w:vAlign w:val="center"/>
          </w:tcPr>
          <w:p>
            <w:pPr>
              <w:pStyle w:val="2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22"/>
            </w:pPr>
            <w:r>
              <w:t>25%</w:t>
            </w:r>
          </w:p>
        </w:tc>
        <w:tc>
          <w:tcPr>
            <w:tcW w:w="1587" w:type="dxa"/>
            <w:vAlign w:val="center"/>
          </w:tcPr>
          <w:p>
            <w:pPr>
              <w:pStyle w:val="22"/>
            </w:pPr>
            <w:r>
              <w:t>50%</w:t>
            </w:r>
          </w:p>
        </w:tc>
        <w:tc>
          <w:tcPr>
            <w:tcW w:w="1304" w:type="dxa"/>
            <w:vAlign w:val="center"/>
          </w:tcPr>
          <w:p>
            <w:pPr>
              <w:pStyle w:val="22"/>
            </w:pPr>
            <w:r>
              <w:t>75%</w:t>
            </w:r>
          </w:p>
        </w:tc>
        <w:tc>
          <w:tcPr>
            <w:tcW w:w="3118" w:type="dxa"/>
            <w:gridSpan w:val="2"/>
            <w:vAlign w:val="center"/>
          </w:tcPr>
          <w:p>
            <w:pPr>
              <w:pStyle w:val="22"/>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1"/>
            </w:pPr>
            <w:r>
              <w:t>绩效目标</w:t>
            </w:r>
          </w:p>
        </w:tc>
        <w:tc>
          <w:tcPr>
            <w:tcW w:w="8617" w:type="dxa"/>
            <w:gridSpan w:val="6"/>
            <w:vAlign w:val="center"/>
          </w:tcPr>
          <w:p>
            <w:pPr>
              <w:pStyle w:val="20"/>
            </w:pPr>
            <w:r>
              <w:t>1.保障会堂人员其他业务及时办理</w:t>
            </w:r>
          </w:p>
          <w:p>
            <w:pPr>
              <w:pStyle w:val="20"/>
            </w:pPr>
            <w:r>
              <w:t>2.保障会堂人员保险按月缴纳</w:t>
            </w:r>
          </w:p>
          <w:p>
            <w:pPr>
              <w:pStyle w:val="20"/>
            </w:pPr>
            <w:r>
              <w:t>3.项目资金按月支付，预计3月支出25%，6月支出50%，9月支出75%，12月支出100%</w:t>
            </w:r>
          </w:p>
        </w:tc>
      </w:tr>
    </w:tbl>
    <w:p>
      <w:pPr>
        <w:spacing w:line="2" w:lineRule="exact"/>
        <w:jc w:val="center"/>
      </w:pPr>
      <w:r>
        <w:rPr>
          <w:rFonts w:ascii="方正书宋_GBK" w:hAnsi="方正书宋_GBK" w:eastAsia="方正书宋_GBK" w:cs="方正书宋_GBK"/>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21"/>
            </w:pPr>
            <w:r>
              <w:t>一级指标</w:t>
            </w:r>
          </w:p>
        </w:tc>
        <w:tc>
          <w:tcPr>
            <w:tcW w:w="1276" w:type="dxa"/>
            <w:vAlign w:val="center"/>
          </w:tcPr>
          <w:p>
            <w:pPr>
              <w:pStyle w:val="21"/>
            </w:pPr>
            <w:r>
              <w:t>二级指标</w:t>
            </w:r>
          </w:p>
        </w:tc>
        <w:tc>
          <w:tcPr>
            <w:tcW w:w="1332" w:type="dxa"/>
            <w:vAlign w:val="center"/>
          </w:tcPr>
          <w:p>
            <w:pPr>
              <w:pStyle w:val="21"/>
            </w:pPr>
            <w:r>
              <w:t>三级指标</w:t>
            </w:r>
          </w:p>
        </w:tc>
        <w:tc>
          <w:tcPr>
            <w:tcW w:w="2891" w:type="dxa"/>
            <w:vAlign w:val="center"/>
          </w:tcPr>
          <w:p>
            <w:pPr>
              <w:pStyle w:val="21"/>
            </w:pPr>
            <w:r>
              <w:t>绩效指标描述</w:t>
            </w:r>
          </w:p>
        </w:tc>
        <w:tc>
          <w:tcPr>
            <w:tcW w:w="1276" w:type="dxa"/>
            <w:vAlign w:val="center"/>
          </w:tcPr>
          <w:p>
            <w:pPr>
              <w:pStyle w:val="21"/>
            </w:pPr>
            <w:r>
              <w:t>指标值</w:t>
            </w:r>
          </w:p>
        </w:tc>
        <w:tc>
          <w:tcPr>
            <w:tcW w:w="1843" w:type="dxa"/>
            <w:vAlign w:val="center"/>
          </w:tcPr>
          <w:p>
            <w:pPr>
              <w:pStyle w:val="2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22"/>
            </w:pPr>
            <w:r>
              <w:t>产出指标</w:t>
            </w:r>
          </w:p>
        </w:tc>
        <w:tc>
          <w:tcPr>
            <w:tcW w:w="1276" w:type="dxa"/>
            <w:vAlign w:val="center"/>
          </w:tcPr>
          <w:p>
            <w:pPr>
              <w:pStyle w:val="20"/>
            </w:pPr>
            <w:r>
              <w:t>数量指标</w:t>
            </w:r>
          </w:p>
        </w:tc>
        <w:tc>
          <w:tcPr>
            <w:tcW w:w="1332" w:type="dxa"/>
            <w:vAlign w:val="center"/>
          </w:tcPr>
          <w:p>
            <w:pPr>
              <w:pStyle w:val="20"/>
            </w:pPr>
            <w:r>
              <w:t>会堂服务人员数</w:t>
            </w:r>
          </w:p>
        </w:tc>
        <w:tc>
          <w:tcPr>
            <w:tcW w:w="2891" w:type="dxa"/>
            <w:vAlign w:val="center"/>
          </w:tcPr>
          <w:p>
            <w:pPr>
              <w:pStyle w:val="20"/>
            </w:pPr>
            <w:r>
              <w:t>会堂服务人员数量</w:t>
            </w:r>
          </w:p>
        </w:tc>
        <w:tc>
          <w:tcPr>
            <w:tcW w:w="1276" w:type="dxa"/>
            <w:vAlign w:val="center"/>
          </w:tcPr>
          <w:p>
            <w:pPr>
              <w:pStyle w:val="20"/>
            </w:pPr>
            <w:r>
              <w:t>13人</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质量指标</w:t>
            </w:r>
          </w:p>
        </w:tc>
        <w:tc>
          <w:tcPr>
            <w:tcW w:w="1332" w:type="dxa"/>
            <w:vAlign w:val="center"/>
          </w:tcPr>
          <w:p>
            <w:pPr>
              <w:pStyle w:val="20"/>
            </w:pPr>
            <w:r>
              <w:t>会堂人员保费缴纳准确率</w:t>
            </w:r>
          </w:p>
        </w:tc>
        <w:tc>
          <w:tcPr>
            <w:tcW w:w="2891" w:type="dxa"/>
            <w:vAlign w:val="center"/>
          </w:tcPr>
          <w:p>
            <w:pPr>
              <w:pStyle w:val="20"/>
            </w:pPr>
            <w:r>
              <w:t>会堂人员保费缴纳准确情况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时效指标</w:t>
            </w:r>
          </w:p>
        </w:tc>
        <w:tc>
          <w:tcPr>
            <w:tcW w:w="1332" w:type="dxa"/>
            <w:vAlign w:val="center"/>
          </w:tcPr>
          <w:p>
            <w:pPr>
              <w:pStyle w:val="20"/>
            </w:pPr>
            <w:r>
              <w:t>保费缴纳及时率</w:t>
            </w:r>
          </w:p>
        </w:tc>
        <w:tc>
          <w:tcPr>
            <w:tcW w:w="2891" w:type="dxa"/>
            <w:vAlign w:val="center"/>
          </w:tcPr>
          <w:p>
            <w:pPr>
              <w:pStyle w:val="20"/>
            </w:pPr>
            <w:r>
              <w:t>保费缴纳及时情况</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20"/>
            </w:pPr>
            <w:r>
              <w:t>成本指标</w:t>
            </w:r>
          </w:p>
        </w:tc>
        <w:tc>
          <w:tcPr>
            <w:tcW w:w="1332" w:type="dxa"/>
            <w:vAlign w:val="center"/>
          </w:tcPr>
          <w:p>
            <w:pPr>
              <w:pStyle w:val="20"/>
            </w:pPr>
            <w:r>
              <w:t>项目预算控制数</w:t>
            </w:r>
          </w:p>
        </w:tc>
        <w:tc>
          <w:tcPr>
            <w:tcW w:w="2891" w:type="dxa"/>
            <w:vAlign w:val="center"/>
          </w:tcPr>
          <w:p>
            <w:pPr>
              <w:pStyle w:val="20"/>
            </w:pPr>
            <w:r>
              <w:t>项目支出控制在预算范围内</w:t>
            </w:r>
          </w:p>
        </w:tc>
        <w:tc>
          <w:tcPr>
            <w:tcW w:w="1276" w:type="dxa"/>
            <w:vAlign w:val="center"/>
          </w:tcPr>
          <w:p>
            <w:pPr>
              <w:pStyle w:val="20"/>
            </w:pPr>
            <w:r>
              <w:t>≤189727.92元</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效益指标</w:t>
            </w:r>
          </w:p>
        </w:tc>
        <w:tc>
          <w:tcPr>
            <w:tcW w:w="1276" w:type="dxa"/>
            <w:vAlign w:val="center"/>
          </w:tcPr>
          <w:p>
            <w:pPr>
              <w:pStyle w:val="20"/>
            </w:pPr>
            <w:r>
              <w:t>社会效益指标</w:t>
            </w:r>
          </w:p>
        </w:tc>
        <w:tc>
          <w:tcPr>
            <w:tcW w:w="1332" w:type="dxa"/>
            <w:vAlign w:val="center"/>
          </w:tcPr>
          <w:p>
            <w:pPr>
              <w:pStyle w:val="20"/>
            </w:pPr>
            <w:r>
              <w:t>会堂服务人员保险保障率</w:t>
            </w:r>
          </w:p>
        </w:tc>
        <w:tc>
          <w:tcPr>
            <w:tcW w:w="2891" w:type="dxa"/>
            <w:vAlign w:val="center"/>
          </w:tcPr>
          <w:p>
            <w:pPr>
              <w:pStyle w:val="20"/>
            </w:pPr>
            <w:r>
              <w:t>会堂服务人员保险保障率</w:t>
            </w:r>
          </w:p>
        </w:tc>
        <w:tc>
          <w:tcPr>
            <w:tcW w:w="1276" w:type="dxa"/>
            <w:vAlign w:val="center"/>
          </w:tcPr>
          <w:p>
            <w:pPr>
              <w:pStyle w:val="20"/>
            </w:pPr>
            <w:r>
              <w:t>≥95%</w:t>
            </w:r>
          </w:p>
        </w:tc>
        <w:tc>
          <w:tcPr>
            <w:tcW w:w="1843" w:type="dxa"/>
            <w:vAlign w:val="center"/>
          </w:tcPr>
          <w:p>
            <w:pPr>
              <w:pStyle w:val="20"/>
            </w:pPr>
            <w:r>
              <w:t>根据单位工作计划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22"/>
            </w:pPr>
            <w:r>
              <w:t>满意度指标</w:t>
            </w:r>
          </w:p>
        </w:tc>
        <w:tc>
          <w:tcPr>
            <w:tcW w:w="1276" w:type="dxa"/>
            <w:vAlign w:val="center"/>
          </w:tcPr>
          <w:p>
            <w:pPr>
              <w:pStyle w:val="20"/>
            </w:pPr>
            <w:r>
              <w:t>服务对象满意度指标</w:t>
            </w:r>
          </w:p>
        </w:tc>
        <w:tc>
          <w:tcPr>
            <w:tcW w:w="1332" w:type="dxa"/>
            <w:vAlign w:val="center"/>
          </w:tcPr>
          <w:p>
            <w:pPr>
              <w:pStyle w:val="20"/>
            </w:pPr>
            <w:r>
              <w:t>会堂服务人员满意度</w:t>
            </w:r>
          </w:p>
        </w:tc>
        <w:tc>
          <w:tcPr>
            <w:tcW w:w="2891" w:type="dxa"/>
            <w:vAlign w:val="center"/>
          </w:tcPr>
          <w:p>
            <w:pPr>
              <w:pStyle w:val="20"/>
            </w:pPr>
            <w:r>
              <w:t>会堂服务人员满意度情况</w:t>
            </w:r>
          </w:p>
        </w:tc>
        <w:tc>
          <w:tcPr>
            <w:tcW w:w="1276" w:type="dxa"/>
            <w:vAlign w:val="center"/>
          </w:tcPr>
          <w:p>
            <w:pPr>
              <w:pStyle w:val="20"/>
            </w:pPr>
            <w:r>
              <w:t>≥85%</w:t>
            </w:r>
          </w:p>
        </w:tc>
        <w:tc>
          <w:tcPr>
            <w:tcW w:w="1843" w:type="dxa"/>
            <w:vAlign w:val="center"/>
          </w:tcPr>
          <w:p>
            <w:pPr>
              <w:pStyle w:val="20"/>
            </w:pPr>
            <w:r>
              <w:t>根据单位工作计划</w:t>
            </w:r>
          </w:p>
        </w:tc>
      </w:tr>
    </w:tbl>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804.50</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1804.50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513.80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1231</w:t>
            </w:r>
            <w:r>
              <w:rPr>
                <w:rFonts w:ascii="仿宋_GB2312" w:hAnsi="仿宋" w:eastAsia="仿宋_GB2312" w:cs="宋体"/>
                <w:kern w:val="0"/>
                <w:sz w:val="24"/>
                <w:szCs w:val="24"/>
              </w:rPr>
              <w:t>.23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28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201E"/>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473"/>
    <w:rsid w:val="005C54AA"/>
    <w:rsid w:val="005C7B89"/>
    <w:rsid w:val="0062788A"/>
    <w:rsid w:val="00641F8A"/>
    <w:rsid w:val="0064470A"/>
    <w:rsid w:val="00654380"/>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133E7"/>
    <w:rsid w:val="00833132"/>
    <w:rsid w:val="00845C67"/>
    <w:rsid w:val="0085356E"/>
    <w:rsid w:val="0086454E"/>
    <w:rsid w:val="008672EA"/>
    <w:rsid w:val="00891680"/>
    <w:rsid w:val="008A0099"/>
    <w:rsid w:val="008A0B5F"/>
    <w:rsid w:val="008A58DB"/>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65394"/>
    <w:rsid w:val="00A8079E"/>
    <w:rsid w:val="00A90328"/>
    <w:rsid w:val="00A92D66"/>
    <w:rsid w:val="00AA4262"/>
    <w:rsid w:val="00AB5A90"/>
    <w:rsid w:val="00AB7449"/>
    <w:rsid w:val="00AE4AA5"/>
    <w:rsid w:val="00AE7FA9"/>
    <w:rsid w:val="00B043E2"/>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67175"/>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2373D"/>
    <w:rsid w:val="00F35D4B"/>
    <w:rsid w:val="00F3746B"/>
    <w:rsid w:val="00F572CB"/>
    <w:rsid w:val="00F621AF"/>
    <w:rsid w:val="00F8024E"/>
    <w:rsid w:val="00F82447"/>
    <w:rsid w:val="00F868E5"/>
    <w:rsid w:val="00FB2F32"/>
    <w:rsid w:val="00FC3191"/>
    <w:rsid w:val="00FE0F1F"/>
    <w:rsid w:val="00FF61F3"/>
    <w:rsid w:val="0A214432"/>
    <w:rsid w:val="0B8D3582"/>
    <w:rsid w:val="143C574F"/>
    <w:rsid w:val="27733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character" w:customStyle="1" w:styleId="13">
    <w:name w:val="批注框文本 字符"/>
    <w:basedOn w:val="10"/>
    <w:link w:val="2"/>
    <w:semiHidden/>
    <w:qFormat/>
    <w:uiPriority w:val="99"/>
    <w:rPr>
      <w:sz w:val="18"/>
      <w:szCs w:val="18"/>
    </w:rPr>
  </w:style>
  <w:style w:type="paragraph" w:customStyle="1" w:styleId="1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2DB3A-09D7-49EE-BBF8-FBC022720E60}">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2297</Words>
  <Characters>13098</Characters>
  <Lines>109</Lines>
  <Paragraphs>30</Paragraphs>
  <TotalTime>749</TotalTime>
  <ScaleCrop>false</ScaleCrop>
  <LinksUpToDate>false</LinksUpToDate>
  <CharactersWithSpaces>15365</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2023-11-14T09:04:09Z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DB0D9185AF5C492AB315B4585EC0CC2F</vt:lpwstr>
  </property>
</Properties>
</file>