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中共</w:t>
      </w:r>
      <w:r>
        <w:rPr>
          <w:rFonts w:ascii="宋体" w:hAnsi="宋体" w:eastAsia="宋体"/>
          <w:b/>
          <w:sz w:val="44"/>
          <w:szCs w:val="44"/>
        </w:rPr>
        <w:t>保定市徐水区纪律检查委员会</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bookmarkStart w:id="8" w:name="_GoBack"/>
      <w:bookmarkEnd w:id="8"/>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根据《中国共产党保定市徐水区纪律检查委员会职能配置、内设机构和人员编制规定》， 中国共产党保定市徐水区纪律检查委员会的主要职责是：</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（二）依照党的章程和其他党内法规履行监督、执纪、问责职责。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（三）支持配合巡察工作。承担巡视巡察整改日常监督责任，做好巡视巡察整改督查督办工作，依规依纪依法处置巡视巡察移交的反映领导干部问题线索。</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（五）依照法律规定履行监督、调查、处置职责。</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（六）负责组织协调全面从严治党、党风廉政建设和反腐败宣传教育工作。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（七）负责综合分析全面从严治党、党风廉政建设和反腐败工作情况。</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（八）负责组织协调全区反腐败追逃追赃和防逃工作，督促有关单位做好相关工作。</w:t>
      </w:r>
    </w:p>
    <w:p>
      <w:pPr>
        <w:pStyle w:val="10"/>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（九）根据干部管理权限，负责全区纪检监察系统领导班子建设、干部队伍建设和组织建设的综合规划、政策研究和制度建设。</w:t>
      </w:r>
    </w:p>
    <w:p>
      <w:pPr>
        <w:pStyle w:val="10"/>
        <w:rPr>
          <w:rFonts w:hint="eastAsia" w:ascii="仿宋" w:hAnsi="仿宋" w:eastAsia="仿宋" w:cstheme="minorBidi"/>
          <w:kern w:val="2"/>
          <w:sz w:val="32"/>
          <w:szCs w:val="32"/>
          <w:lang w:eastAsia="zh-CN"/>
        </w:rPr>
        <w:sectPr>
          <w:pgSz w:w="11900" w:h="16840"/>
          <w:pgMar w:top="1361" w:right="1020" w:bottom="1361" w:left="1020" w:header="720" w:footer="720" w:gutter="0"/>
          <w:pgNumType w:start="1"/>
          <w:cols w:space="720" w:num="1"/>
        </w:sectPr>
      </w:pPr>
      <w:r>
        <w:rPr>
          <w:rFonts w:ascii="仿宋" w:hAnsi="仿宋" w:eastAsia="仿宋" w:cstheme="minorBidi"/>
          <w:kern w:val="2"/>
          <w:sz w:val="32"/>
          <w:szCs w:val="32"/>
          <w:lang w:eastAsia="zh-CN"/>
        </w:rPr>
        <w:t>（十）完成上级纪委、监委和区委授权或交办的其他任务</w:t>
      </w:r>
      <w:r>
        <w:rPr>
          <w:rFonts w:hint="eastAsia" w:ascii="仿宋" w:hAnsi="仿宋" w:eastAsia="仿宋" w:cstheme="minorBidi"/>
          <w:kern w:val="2"/>
          <w:sz w:val="32"/>
          <w:szCs w:val="32"/>
          <w:lang w:eastAsia="zh-CN"/>
        </w:rPr>
        <w:t>。</w:t>
      </w:r>
    </w:p>
    <w:p>
      <w:pPr>
        <w:spacing w:line="360" w:lineRule="auto"/>
        <w:rPr>
          <w:rFonts w:hint="eastAsia"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中国共产党</w:t>
            </w:r>
            <w:r>
              <w:rPr>
                <w:rFonts w:ascii="仿宋_GB2312" w:hAnsi="仿宋" w:eastAsia="仿宋_GB2312"/>
                <w:bCs/>
                <w:sz w:val="24"/>
                <w:szCs w:val="24"/>
              </w:rPr>
              <w:t>保定市徐水区纪律检查委员会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2022年预算收入为2269.32万元,其中：一般公共预算收入2269.22万元，基金预算收入0万元，财政专户收入0万元，其他来源收入0.1万元。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2022年部门支出预算：2269.32万元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2160.85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其中：人员经费1933.92万元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日常公用经费226.93万元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108.47万元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其中：本级支出108.47万元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本年度预算收支安排2269.32万元，较上年增加</w:t>
      </w:r>
      <w:r>
        <w:rPr>
          <w:rFonts w:ascii="仿宋" w:hAnsi="仿宋" w:eastAsia="仿宋"/>
          <w:sz w:val="32"/>
          <w:szCs w:val="32"/>
        </w:rPr>
        <w:t>428.25万元。其中:基本支出增加541.31万元，主要原因是</w:t>
      </w:r>
      <w:r>
        <w:rPr>
          <w:rFonts w:hint="eastAsia" w:ascii="仿宋" w:hAnsi="仿宋" w:eastAsia="仿宋"/>
          <w:sz w:val="32"/>
          <w:szCs w:val="32"/>
        </w:rPr>
        <w:t>在职职工</w:t>
      </w:r>
      <w:r>
        <w:rPr>
          <w:rFonts w:ascii="仿宋" w:hAnsi="仿宋" w:eastAsia="仿宋"/>
          <w:sz w:val="32"/>
          <w:szCs w:val="32"/>
        </w:rPr>
        <w:t>数增加，人员工资</w:t>
      </w:r>
      <w:r>
        <w:rPr>
          <w:rFonts w:hint="eastAsia" w:ascii="仿宋" w:hAnsi="仿宋" w:eastAsia="仿宋"/>
          <w:sz w:val="32"/>
          <w:szCs w:val="32"/>
        </w:rPr>
        <w:t>、</w:t>
      </w:r>
      <w:r>
        <w:rPr>
          <w:rFonts w:ascii="仿宋" w:hAnsi="仿宋" w:eastAsia="仿宋"/>
          <w:sz w:val="32"/>
          <w:szCs w:val="32"/>
        </w:rPr>
        <w:t>保险支出增多；项目支出减少113.06万元，主要原因是</w:t>
      </w:r>
      <w:r>
        <w:rPr>
          <w:rFonts w:hint="eastAsia" w:ascii="仿宋" w:hAnsi="仿宋" w:eastAsia="仿宋"/>
          <w:sz w:val="32"/>
          <w:szCs w:val="32"/>
        </w:rPr>
        <w:t>科学编制</w:t>
      </w:r>
      <w:r>
        <w:rPr>
          <w:rFonts w:ascii="仿宋" w:hAnsi="仿宋" w:eastAsia="仿宋"/>
          <w:sz w:val="32"/>
          <w:szCs w:val="32"/>
        </w:rPr>
        <w:t>预算，严控项目支出。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2022年我部门机关运行经费安排226.93万元，其中办公费</w:t>
      </w:r>
      <w:r>
        <w:rPr>
          <w:rFonts w:hint="default" w:ascii="仿宋" w:hAnsi="仿宋" w:eastAsia="仿宋"/>
          <w:sz w:val="32"/>
          <w:szCs w:val="32"/>
          <w:lang w:val="en-US"/>
        </w:rPr>
        <w:t>55.19</w:t>
      </w:r>
      <w:r>
        <w:rPr>
          <w:rFonts w:ascii="仿宋" w:hAnsi="仿宋" w:eastAsia="仿宋"/>
          <w:sz w:val="32"/>
          <w:szCs w:val="32"/>
        </w:rPr>
        <w:t>万元，邮电费44.93万元，</w:t>
      </w:r>
      <w:r>
        <w:rPr>
          <w:rFonts w:hint="eastAsia" w:ascii="仿宋" w:hAnsi="仿宋" w:eastAsia="仿宋"/>
          <w:sz w:val="32"/>
          <w:szCs w:val="32"/>
        </w:rPr>
        <w:t>取暖费9.33万元</w:t>
      </w:r>
      <w:r>
        <w:rPr>
          <w:rFonts w:ascii="仿宋" w:hAnsi="仿宋" w:eastAsia="仿宋"/>
          <w:sz w:val="32"/>
          <w:szCs w:val="32"/>
        </w:rPr>
        <w:t>，工会经费、福利费25.15万元，</w:t>
      </w:r>
      <w:r>
        <w:rPr>
          <w:rFonts w:hint="eastAsia" w:ascii="仿宋" w:hAnsi="仿宋" w:eastAsia="仿宋"/>
          <w:sz w:val="32"/>
          <w:szCs w:val="32"/>
        </w:rPr>
        <w:t>公务接待费7.</w:t>
      </w:r>
      <w:r>
        <w:rPr>
          <w:rFonts w:hint="default" w:ascii="仿宋" w:hAnsi="仿宋" w:eastAsia="仿宋"/>
          <w:sz w:val="32"/>
          <w:szCs w:val="32"/>
          <w:lang w:val="en-US"/>
        </w:rPr>
        <w:t>82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会议费1.58万元</w:t>
      </w:r>
      <w:r>
        <w:rPr>
          <w:rFonts w:ascii="仿宋" w:hAnsi="仿宋" w:eastAsia="仿宋"/>
          <w:sz w:val="32"/>
          <w:szCs w:val="32"/>
        </w:rPr>
        <w:t>，</w:t>
      </w:r>
      <w:r>
        <w:rPr>
          <w:rFonts w:hint="eastAsia" w:ascii="仿宋" w:hAnsi="仿宋" w:eastAsia="仿宋"/>
          <w:sz w:val="32"/>
          <w:szCs w:val="32"/>
        </w:rPr>
        <w:t>培训费0.49万元</w:t>
      </w:r>
      <w:r>
        <w:rPr>
          <w:rFonts w:ascii="仿宋" w:hAnsi="仿宋" w:eastAsia="仿宋"/>
          <w:sz w:val="32"/>
          <w:szCs w:val="32"/>
        </w:rPr>
        <w:t>，</w:t>
      </w:r>
      <w:r>
        <w:rPr>
          <w:rFonts w:hint="eastAsia" w:ascii="仿宋" w:hAnsi="仿宋" w:eastAsia="仿宋"/>
          <w:sz w:val="32"/>
          <w:szCs w:val="32"/>
          <w:lang w:eastAsia="zh-CN"/>
        </w:rPr>
        <w:t>其他交通费用</w:t>
      </w:r>
      <w:r>
        <w:rPr>
          <w:rFonts w:hint="eastAsia" w:ascii="仿宋" w:hAnsi="仿宋" w:eastAsia="仿宋"/>
          <w:sz w:val="32"/>
          <w:szCs w:val="32"/>
        </w:rPr>
        <w:t>68.82万元</w:t>
      </w:r>
      <w:r>
        <w:rPr>
          <w:rFonts w:ascii="仿宋" w:hAnsi="仿宋" w:eastAsia="仿宋"/>
          <w:sz w:val="32"/>
          <w:szCs w:val="32"/>
        </w:rPr>
        <w:t>，公务用车运行维护费4.86万元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8.76</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hint="eastAsia"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hint="eastAsia"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556"/>
              <w:gridCol w:w="1677"/>
            </w:tblGrid>
            <w:tr>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556" w:type="dxa"/>
                  <w:tcBorders>
                    <w:top w:val="nil"/>
                    <w:left w:val="nil"/>
                    <w:bottom w:val="nil"/>
                    <w:right w:val="nil"/>
                  </w:tcBorders>
                  <w:vAlign w:val="center"/>
                </w:tcPr>
                <w:p>
                  <w:pPr>
                    <w:widowControl/>
                    <w:jc w:val="left"/>
                    <w:rPr>
                      <w:rFonts w:ascii="宋体" w:hAnsi="宋体" w:cs="宋体"/>
                      <w:kern w:val="0"/>
                      <w:sz w:val="24"/>
                      <w:szCs w:val="24"/>
                    </w:rPr>
                  </w:pPr>
                </w:p>
              </w:tc>
              <w:tc>
                <w:tcPr>
                  <w:tcW w:w="167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6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6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6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14.58</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15.42</w:t>
                  </w:r>
                </w:p>
              </w:tc>
              <w:tc>
                <w:tcPr>
                  <w:tcW w:w="16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7.82</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-4.18</w:t>
                  </w:r>
                </w:p>
              </w:tc>
              <w:tc>
                <w:tcPr>
                  <w:tcW w:w="16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22.40</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19.6</w:t>
                  </w:r>
                </w:p>
              </w:tc>
              <w:tc>
                <w:tcPr>
                  <w:tcW w:w="16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556" w:type="dxa"/>
                  <w:tcBorders>
                    <w:top w:val="nil"/>
                    <w:left w:val="nil"/>
                    <w:bottom w:val="nil"/>
                    <w:right w:val="nil"/>
                  </w:tcBorders>
                  <w:vAlign w:val="center"/>
                </w:tcPr>
                <w:p>
                  <w:pPr>
                    <w:widowControl/>
                    <w:jc w:val="left"/>
                    <w:rPr>
                      <w:rFonts w:ascii="宋体" w:hAnsi="宋体" w:cs="宋体"/>
                      <w:kern w:val="0"/>
                      <w:sz w:val="24"/>
                      <w:szCs w:val="24"/>
                    </w:rPr>
                  </w:pPr>
                </w:p>
              </w:tc>
              <w:tc>
                <w:tcPr>
                  <w:tcW w:w="167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是强化政治监督,坚持以政治建设为统领,坚持以政治监督为根本,坚持以严明纪律为保障,提高政治敏锐性和政治鉴别力，及时发现和纠正有令不行、有禁不止行为，确保全党令行禁止，推动各级党组织和党员干部始终在政治立场、政治方向、政治原则、政治道路上同党中央保持高度一致，把党建设得更加坚强有力;二要强化作风建设,畅通信访举报，更好发挥群众监督和舆论监督作用，要持续树立新风，开展理想信念教育，督促党员干部提高党性修养；三是强化执纪为民，全力整治群众身边腐败，优化营商环境，突出治理重复信访。以“我为群众办实事”实践活动为契机，全力做信访举报化解工作，用心用情用力推动解决群众“急难愁盼”问题，维护社会公平正义；四是强化权力制约，抓严责任传导，抓实同级监督，抓细日常监督；五是强化一体推进，严肃惩治腐败，一体推进“三不”，涵养清风正气；六是强化自身建设，坚守政治机关本色，持续深化全员培训，从严从实自我要求，以铁一般的纪律作风锻造政治素质高、忠诚干净担当、专业化能力强、敢于善于斗争的纪检监察队伍。</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（一）加大案件查办力度，维护党纪国法尊严，坚决惩处腐败分子，有效遏制腐败现象。</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受理信访、举报，集中管理问题线索、组织协调案件查办，调查、审查违纪违法案件，对有关对象违反党纪政纪和违纪违法行为进行处理。加大惩治腐败力度，始终保持纪律审查高压态势；持续深入落实好“两个责任”； 加大农村基层腐败的惩治力度，着力探索实践监督执纪“四种形态”的有效途径，严格抓好党纪教育、廉政提醒、谈心提醒、谈话函询、述职述廉等措施，推动咬耳扯袖、红脸出汗常态化。紧盯关键领域和关键人群。围绕“三重一大”、人财物管理、行政许可和审批、行政事业性收费、执纪执法等方面，强化廉政风险排查和纪律审查，严肃查处发生在重点工作、重点领域和关键岗位的腐败问题，坚决查处一批有影响的大案要案，逐步构建“不敢腐、不能腐、不想腐”的体制机制。严肃查处发生在群众身边的不正之风和腐败问题，发挥震慑效应，让基层群众更多感受到从上到下反腐的决心、力度和实际成效.</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绩效指标：群众来信来访登记率达到100%，案件办结率达到90%以上。群众满意度达到90%以上，群众满意度明显提升。</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（二）加大监督、执纪、问责力度，促进“两个责任”有效落实。</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经常对党员进行遵守纪律的教育，对区委管理的党的组织和各级领导干部履行职责、行使权力进行监督，受理处置党员群众检举举报、开展谈话提醒、约谈函询。监督检查党委（党组）落实管党治党主体责任情况，落实监督责任，实施问责。</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绩效指标：综合运用“四种形态”，第一、二种形态占比不低于90%，第三种形态占比不超6%，第四种形态占比4%以下。</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（三）积极发挥职能作用，加强党风廉政建设，营造风清气正、干事创业的工作氛围。</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监督检查党的路线方针政策和决议、国家法律法规、党的政治纪律和政治规矩贯彻执行情况，落实中央八项规定精神、纠正“四风”工作，整治群众身边和扶贫领域的腐败和作风问题，综合协调党内监督、党的问责等方面工作，推动管党治党政治责任落实。</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绩效指标：党风廉政建设宣传覆盖率达到100%，群众身边的腐败问题进一步减少，减少幅度10%以上，加大干部问责力度，对失职失责干部问责率达到100%。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（四）加强纪检监察综合事务管理，持续深化“三转”，做好“监督执纪问责”主业的保障和服务。</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区直部门及乡镇“转职能、转作风、转方式”工作全部完成，做好后勤保障工作，保障监督执纪问责”主业工作顺利开展。办公楼工作环境整洁卫生，安全用水用电，加强对车辆的维修保养，保障用车安全，确保不发生一起安全事故。</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绩效指标：区直部门及乡镇“三转”工作完成率100%，监督执纪问责后勤保障满意度90%以上，办公楼工作环境卫生达标率达到90%以上，安全事故发生率降低为0.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（五）加强派驻纪检监察机构和乡镇纪委管理。</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突出监督重点，抓住“关键少数”，强化对驻在部门领导班子及区委管理干部和股级干部的监督，着力加强对驻在部门本级机关和直属单位的监督。加强乡镇纪检组织建设，配齐配强乡镇纪检干部，切实增强乡镇纪律监督权的相对独立性和权威性。</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绩效指标：区直部门设立5个派驻纪检组，每个纪检组编制三名，区直部门派驻率100%。全区16个乡镇成立监察室，覆盖率100%。</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（六）支持配合巡察工作，做好巡视巡察整改日常监督。</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绩效目标：承担巡视巡察整改日常监督责任，做好巡视巡察整改督查督办工作，依规依纪依法处置巡视巡察移交的反映领导干部问题线索。</w:t>
      </w:r>
    </w:p>
    <w:p>
      <w:pPr>
        <w:pStyle w:val="12"/>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绩效指标：巡视巡察整改督查督办工作完成率100%，移交问题线索查办率100%。</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（一）加强组织领导。按照《中共河北省委 河北省人民政府关于全面实施预算绩效管理的实施意见》（冀发〔2018〕54号）文件及区财政局关于绩效管理的有关要求，加强组织领导，成立预算绩效管理领导小组，建立统筹协调、分工协作、密切配合、合力推进的工作机制，建立健全制度体系，确保全年预算绩效目标的有效实现。</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完善制度建设。结合我部门职责和工作特点，全面梳理完善各类制度。从事前评估、目标管理、运行监控、绩效评价、结果应用等各个环节入手，建立完善预算绩效管理制度。从单位和业务两个层面,梳理和完善内部控制制度，确保财政资金安全有效。</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hint="eastAsia" w:ascii="方正书宋_GBK" w:eastAsia="方正书宋_GBK"/>
        </w:rPr>
      </w:pPr>
    </w:p>
    <w:p>
      <w:pPr>
        <w:jc w:val="center"/>
        <w:outlineLvl w:val="0"/>
        <w:rPr>
          <w:rFonts w:ascii="方正书宋_GBK" w:eastAsia="方正书宋_GBK"/>
        </w:rPr>
      </w:pPr>
    </w:p>
    <w:p>
      <w:pPr>
        <w:ind w:firstLine="560"/>
        <w:outlineLvl w:val="3"/>
      </w:pPr>
      <w:bookmarkStart w:id="3" w:name="_Toc_4_4_0000000004"/>
      <w:r>
        <w:rPr>
          <w:rFonts w:ascii="方正仿宋_GBK" w:hAnsi="方正仿宋_GBK" w:eastAsia="方正仿宋_GBK" w:cs="方正仿宋_GBK"/>
          <w:color w:val="000000"/>
          <w:sz w:val="28"/>
        </w:rPr>
        <w:t>1.办案专项补助经费（劳务费）绩效目标表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13062522P00456610062Y</w:t>
            </w:r>
          </w:p>
        </w:tc>
        <w:tc>
          <w:tcPr>
            <w:tcW w:w="1587" w:type="dxa"/>
            <w:vAlign w:val="center"/>
          </w:tcPr>
          <w:p>
            <w:pPr>
              <w:pStyle w:val="17"/>
            </w:pPr>
            <w:r>
              <w:t>项目名称</w:t>
            </w:r>
          </w:p>
        </w:tc>
        <w:tc>
          <w:tcPr>
            <w:tcW w:w="4422" w:type="dxa"/>
            <w:gridSpan w:val="3"/>
            <w:vAlign w:val="center"/>
          </w:tcPr>
          <w:p>
            <w:pPr>
              <w:pStyle w:val="16"/>
            </w:pPr>
            <w:r>
              <w:t>办案专项补助经费（劳务费）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w:t>
            </w:r>
          </w:p>
        </w:tc>
        <w:tc>
          <w:tcPr>
            <w:tcW w:w="1587" w:type="dxa"/>
            <w:vAlign w:val="center"/>
          </w:tcPr>
          <w:p>
            <w:pPr>
              <w:pStyle w:val="17"/>
            </w:pPr>
            <w:r>
              <w:t>其中：财政    资金</w:t>
            </w:r>
          </w:p>
        </w:tc>
        <w:tc>
          <w:tcPr>
            <w:tcW w:w="1304" w:type="dxa"/>
            <w:vAlign w:val="center"/>
          </w:tcPr>
          <w:p>
            <w:pPr>
              <w:pStyle w:val="16"/>
            </w:pPr>
            <w:r>
              <w:t>7.00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主要用于我单位长期聘用人员的工资及保险支出，保障我单位档案及文印工作。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1.维护党纪国法尊严，坚决惩处腐败分子，有效遏制腐败现象。</w:t>
            </w:r>
          </w:p>
          <w:p>
            <w:pPr>
              <w:spacing w:line="300" w:lineRule="exact"/>
              <w:jc w:val="left"/>
              <w:rPr>
                <w:rFonts w:ascii="方正书宋_GBK" w:eastAsia="方正书宋_GBK"/>
              </w:rPr>
            </w:pPr>
            <w:r>
              <w:rPr>
                <w:rFonts w:ascii="方正书宋_GBK" w:eastAsia="方正书宋_GBK"/>
              </w:rPr>
              <w:t>2.协助办理在案件查办及日常工作中后勤保障、文件打印，资料整理等工作，有助于提高文件、档案等管理水平。</w:t>
            </w:r>
          </w:p>
          <w:p>
            <w:pPr>
              <w:spacing w:line="300" w:lineRule="exact"/>
              <w:jc w:val="left"/>
              <w:rPr>
                <w:rFonts w:ascii="方正书宋_GBK" w:eastAsia="方正书宋_GBK"/>
              </w:rPr>
            </w:pPr>
            <w:r>
              <w:rPr>
                <w:rFonts w:ascii="方正书宋_GBK" w:eastAsia="方正书宋_GBK"/>
              </w:rPr>
              <w:t>3.该项目按月支出，2022年11月底支出完毕。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聘用人员数量</w:t>
            </w:r>
          </w:p>
        </w:tc>
        <w:tc>
          <w:tcPr>
            <w:tcW w:w="2891" w:type="dxa"/>
            <w:vAlign w:val="center"/>
          </w:tcPr>
          <w:p>
            <w:pPr>
              <w:spacing w:line="300" w:lineRule="exact"/>
              <w:jc w:val="left"/>
              <w:rPr>
                <w:rFonts w:ascii="方正书宋_GBK" w:eastAsia="方正书宋_GBK"/>
              </w:rPr>
            </w:pPr>
            <w:r>
              <w:rPr>
                <w:rFonts w:ascii="方正书宋_GBK" w:eastAsia="方正书宋_GBK"/>
              </w:rPr>
              <w:t>长期聘用人员的人数</w:t>
            </w:r>
          </w:p>
        </w:tc>
        <w:tc>
          <w:tcPr>
            <w:tcW w:w="1276" w:type="dxa"/>
            <w:vAlign w:val="center"/>
          </w:tcPr>
          <w:p>
            <w:pPr>
              <w:spacing w:line="300" w:lineRule="exact"/>
              <w:jc w:val="left"/>
              <w:rPr>
                <w:rFonts w:ascii="方正书宋_GBK" w:eastAsia="方正书宋_GBK"/>
              </w:rPr>
            </w:pPr>
            <w:r>
              <w:rPr>
                <w:rFonts w:ascii="方正书宋_GBK" w:eastAsia="方正书宋_GBK"/>
              </w:rPr>
              <w:t>1人</w:t>
            </w:r>
          </w:p>
        </w:tc>
        <w:tc>
          <w:tcPr>
            <w:tcW w:w="1843" w:type="dxa"/>
            <w:vAlign w:val="center"/>
          </w:tcPr>
          <w:p>
            <w:pPr>
              <w:spacing w:line="300" w:lineRule="exact"/>
              <w:jc w:val="left"/>
              <w:rPr>
                <w:rFonts w:ascii="方正书宋_GBK" w:eastAsia="方正书宋_GBK"/>
              </w:rPr>
            </w:pPr>
            <w:r>
              <w:rPr>
                <w:rFonts w:ascii="方正书宋_GBK" w:eastAsia="方正书宋_GBK"/>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人员到位率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长期聘用人员全年到位率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≥95百分比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工作完成及时率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长期聘用人员对于领导交办的任务按期完成的比率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≤7万元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《关于将长期聘用人员王娟劳务费列入预算的请示》及聘用合同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332" w:type="dxa"/>
            <w:vAlign w:val="center"/>
          </w:tcPr>
          <w:p>
            <w:pPr>
              <w:spacing w:line="300" w:lineRule="exact"/>
              <w:jc w:val="left"/>
              <w:rPr>
                <w:rFonts w:ascii="方正书宋_GBK" w:eastAsia="方正书宋_GBK"/>
              </w:rPr>
            </w:pPr>
            <w:r>
              <w:rPr>
                <w:rFonts w:ascii="方正书宋_GBK" w:eastAsia="方正书宋_GBK"/>
              </w:rPr>
              <w:t>文件管理规范化水平提高</w:t>
            </w:r>
          </w:p>
        </w:tc>
        <w:tc>
          <w:tcPr>
            <w:tcW w:w="2891" w:type="dxa"/>
            <w:vAlign w:val="center"/>
          </w:tcPr>
          <w:p>
            <w:pPr>
              <w:spacing w:line="300" w:lineRule="exact"/>
              <w:jc w:val="left"/>
              <w:rPr>
                <w:rFonts w:ascii="方正书宋_GBK" w:eastAsia="方正书宋_GBK"/>
              </w:rPr>
            </w:pPr>
            <w:r>
              <w:rPr>
                <w:rFonts w:ascii="方正书宋_GBK" w:eastAsia="方正书宋_GBK"/>
              </w:rPr>
              <w:t>反应文件印制合规及档案管理规范率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领导满意度</w:t>
            </w:r>
          </w:p>
        </w:tc>
        <w:tc>
          <w:tcPr>
            <w:tcW w:w="2891" w:type="dxa"/>
            <w:vAlign w:val="center"/>
          </w:tcPr>
          <w:p>
            <w:pPr>
              <w:spacing w:line="300" w:lineRule="exact"/>
              <w:jc w:val="left"/>
              <w:rPr>
                <w:rFonts w:ascii="方正书宋_GBK" w:eastAsia="方正书宋_GBK"/>
              </w:rPr>
            </w:pPr>
            <w:r>
              <w:rPr>
                <w:rFonts w:ascii="方正书宋_GBK" w:eastAsia="方正书宋_GBK"/>
              </w:rPr>
              <w:t>领导对于长期聘用人员工作情况满意度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2.纪检办案业务费（运转保障）绩效目标表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13062522P00456710527M</w:t>
            </w:r>
          </w:p>
        </w:tc>
        <w:tc>
          <w:tcPr>
            <w:tcW w:w="1587" w:type="dxa"/>
            <w:vAlign w:val="center"/>
          </w:tcPr>
          <w:p>
            <w:pPr>
              <w:pStyle w:val="17"/>
            </w:pPr>
            <w:r>
              <w:t>项目名称</w:t>
            </w:r>
          </w:p>
        </w:tc>
        <w:tc>
          <w:tcPr>
            <w:tcW w:w="4422" w:type="dxa"/>
            <w:gridSpan w:val="3"/>
            <w:vAlign w:val="center"/>
          </w:tcPr>
          <w:p>
            <w:pPr>
              <w:pStyle w:val="16"/>
            </w:pPr>
            <w:r>
              <w:t>纪检办案业务费（运转保障）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61.77</w:t>
            </w:r>
          </w:p>
        </w:tc>
        <w:tc>
          <w:tcPr>
            <w:tcW w:w="1587" w:type="dxa"/>
            <w:vAlign w:val="center"/>
          </w:tcPr>
          <w:p>
            <w:pPr>
              <w:pStyle w:val="17"/>
            </w:pPr>
            <w:r>
              <w:t>其中：财政    资金</w:t>
            </w:r>
          </w:p>
        </w:tc>
        <w:tc>
          <w:tcPr>
            <w:tcW w:w="1304" w:type="dxa"/>
            <w:vAlign w:val="center"/>
          </w:tcPr>
          <w:p>
            <w:pPr>
              <w:pStyle w:val="16"/>
            </w:pPr>
            <w:r>
              <w:t>61.77</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该项目主要用于保障我单位纪检办案等支出，主要包括办公费、差旅费、设备购置等。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81%</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  加强纪检监察机关公用经费保障，保证机关履职尽责。</w:t>
            </w:r>
          </w:p>
          <w:p>
            <w:pPr>
              <w:spacing w:line="300" w:lineRule="exact"/>
              <w:jc w:val="left"/>
              <w:rPr>
                <w:rFonts w:ascii="方正书宋_GBK" w:eastAsia="方正书宋_GBK"/>
              </w:rPr>
            </w:pPr>
            <w:r>
              <w:rPr>
                <w:rFonts w:ascii="方正书宋_GBK" w:eastAsia="方正书宋_GBK"/>
              </w:rPr>
              <w:t>2.  保证机关日常办公费、印刷费等公用支出。</w:t>
            </w:r>
          </w:p>
          <w:p>
            <w:pPr>
              <w:spacing w:line="300" w:lineRule="exact"/>
              <w:jc w:val="left"/>
              <w:rPr>
                <w:rFonts w:ascii="方正书宋_GBK" w:eastAsia="方正书宋_GBK"/>
              </w:rPr>
            </w:pPr>
            <w:r>
              <w:rPr>
                <w:rFonts w:ascii="方正书宋_GBK" w:eastAsia="方正书宋_GBK"/>
              </w:rPr>
              <w:t>3.该项目2022年实施，依据实际情况支出，2022年11月底前支出完毕。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各项纪检业务工作完成率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已完成的各项纪检业务管理工作占全部工作量的比例</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经费保障准确率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纪检办案经费支出范围合规比例</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≤61.77万元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332" w:type="dxa"/>
            <w:vAlign w:val="center"/>
          </w:tcPr>
          <w:p>
            <w:pPr>
              <w:spacing w:line="300" w:lineRule="exact"/>
              <w:jc w:val="left"/>
              <w:rPr>
                <w:rFonts w:ascii="方正书宋_GBK" w:eastAsia="方正书宋_GBK"/>
              </w:rPr>
            </w:pPr>
            <w:r>
              <w:rPr>
                <w:rFonts w:ascii="方正书宋_GBK" w:eastAsia="方正书宋_GBK"/>
              </w:rPr>
              <w:t>案件处理效率</w:t>
            </w:r>
          </w:p>
        </w:tc>
        <w:tc>
          <w:tcPr>
            <w:tcW w:w="2891" w:type="dxa"/>
            <w:vAlign w:val="center"/>
          </w:tcPr>
          <w:p>
            <w:pPr>
              <w:spacing w:line="300" w:lineRule="exact"/>
              <w:jc w:val="left"/>
              <w:rPr>
                <w:rFonts w:ascii="方正书宋_GBK" w:eastAsia="方正书宋_GBK"/>
              </w:rPr>
            </w:pPr>
            <w:r>
              <w:rPr>
                <w:rFonts w:ascii="方正书宋_GBK" w:eastAsia="方正书宋_GBK"/>
              </w:rPr>
              <w:t>案件处理效率</w:t>
            </w:r>
          </w:p>
        </w:tc>
        <w:tc>
          <w:tcPr>
            <w:tcW w:w="1276" w:type="dxa"/>
            <w:vAlign w:val="center"/>
          </w:tcPr>
          <w:p>
            <w:pPr>
              <w:spacing w:line="300" w:lineRule="exact"/>
              <w:jc w:val="left"/>
              <w:rPr>
                <w:rFonts w:ascii="方正书宋_GBK" w:eastAsia="方正书宋_GBK"/>
              </w:rPr>
            </w:pPr>
            <w:r>
              <w:rPr>
                <w:rFonts w:ascii="方正书宋_GBK" w:eastAsia="方正书宋_GBK"/>
              </w:rPr>
              <w:t>≥98百分比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一线办案人员对于办案经费保障满意率</w:t>
            </w:r>
          </w:p>
        </w:tc>
        <w:tc>
          <w:tcPr>
            <w:tcW w:w="2891" w:type="dxa"/>
            <w:vAlign w:val="center"/>
          </w:tcPr>
          <w:p>
            <w:pPr>
              <w:spacing w:line="300" w:lineRule="exact"/>
              <w:jc w:val="left"/>
              <w:rPr>
                <w:rFonts w:ascii="方正书宋_GBK" w:eastAsia="方正书宋_GBK"/>
              </w:rPr>
            </w:pPr>
            <w:r>
              <w:rPr>
                <w:rFonts w:ascii="方正书宋_GBK" w:eastAsia="方正书宋_GBK"/>
              </w:rPr>
              <w:t>一线办案人员对于日常公用经费保障及时性、准确性等满意程度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3.其他资金绩效目标表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13062522P00459810012L</w:t>
            </w:r>
          </w:p>
        </w:tc>
        <w:tc>
          <w:tcPr>
            <w:tcW w:w="1587" w:type="dxa"/>
            <w:vAlign w:val="center"/>
          </w:tcPr>
          <w:p>
            <w:pPr>
              <w:pStyle w:val="17"/>
            </w:pPr>
            <w:r>
              <w:t>项目名称</w:t>
            </w:r>
          </w:p>
        </w:tc>
        <w:tc>
          <w:tcPr>
            <w:tcW w:w="4422" w:type="dxa"/>
            <w:gridSpan w:val="3"/>
            <w:vAlign w:val="center"/>
          </w:tcPr>
          <w:p>
            <w:pPr>
              <w:pStyle w:val="16"/>
            </w:pPr>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0.10</w:t>
            </w:r>
          </w:p>
        </w:tc>
        <w:tc>
          <w:tcPr>
            <w:tcW w:w="1587" w:type="dxa"/>
            <w:vAlign w:val="center"/>
          </w:tcPr>
          <w:p>
            <w:pPr>
              <w:pStyle w:val="17"/>
            </w:pPr>
            <w:r>
              <w:t>其中：财政    资金</w:t>
            </w:r>
          </w:p>
        </w:tc>
        <w:tc>
          <w:tcPr>
            <w:tcW w:w="1304" w:type="dxa"/>
            <w:vAlign w:val="center"/>
          </w:tcPr>
          <w:p>
            <w:pPr>
              <w:pStyle w:val="16"/>
            </w:pPr>
            <w:r>
              <w:t xml:space="preserve"> </w:t>
            </w:r>
          </w:p>
        </w:tc>
        <w:tc>
          <w:tcPr>
            <w:tcW w:w="1276" w:type="dxa"/>
            <w:vAlign w:val="center"/>
          </w:tcPr>
          <w:p>
            <w:pPr>
              <w:pStyle w:val="17"/>
            </w:pPr>
            <w:r>
              <w:t>其他资金</w:t>
            </w:r>
          </w:p>
        </w:tc>
        <w:tc>
          <w:tcPr>
            <w:tcW w:w="1843" w:type="dxa"/>
            <w:vAlign w:val="center"/>
          </w:tcPr>
          <w:p>
            <w:pPr>
              <w:pStyle w:val="16"/>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该项目主要用于日常办公经费支出。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  加强纪检监察机关公用经费保障，保证机关履职尽责。</w:t>
            </w:r>
          </w:p>
          <w:p>
            <w:pPr>
              <w:spacing w:line="300" w:lineRule="exact"/>
              <w:jc w:val="left"/>
              <w:rPr>
                <w:rFonts w:ascii="方正书宋_GBK" w:eastAsia="方正书宋_GBK"/>
              </w:rPr>
            </w:pPr>
            <w:r>
              <w:rPr>
                <w:rFonts w:ascii="方正书宋_GBK" w:eastAsia="方正书宋_GBK"/>
              </w:rPr>
              <w:t>2.  保证机关日常办公费等公用支出。</w:t>
            </w:r>
          </w:p>
          <w:p>
            <w:pPr>
              <w:spacing w:line="300" w:lineRule="exact"/>
              <w:jc w:val="left"/>
            </w:pPr>
            <w:r>
              <w:rPr>
                <w:rFonts w:ascii="方正书宋_GBK" w:eastAsia="方正书宋_GBK"/>
              </w:rPr>
              <w:t>3.该项目2022年实施，依据实际情况支出，2022年11月底前支出完毕。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rPr>
                <w:rFonts w:ascii="方正书宋_GBK" w:eastAsia="方正书宋_GBK"/>
              </w:rPr>
            </w:pPr>
            <w:r>
              <w:rPr>
                <w:rFonts w:ascii="方正书宋_GBK" w:eastAsia="方正书宋_GBK"/>
              </w:rPr>
              <w:t>各项纪检业务工作完成率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已完成的各项纪检业务管理工作占全部工作量的比例</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质量指标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经费保障准确率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纪检办案经费支出范围合规比例</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100百分比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时效指标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案件、资料上报及时率</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≥90百分比</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成本指标</w:t>
            </w:r>
          </w:p>
        </w:tc>
        <w:tc>
          <w:tcPr>
            <w:tcW w:w="1332"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项目资金预算控制数</w:t>
            </w:r>
          </w:p>
        </w:tc>
        <w:tc>
          <w:tcPr>
            <w:tcW w:w="2891"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支出资金不高于预算金额</w:t>
            </w:r>
          </w:p>
        </w:tc>
        <w:tc>
          <w:tcPr>
            <w:tcW w:w="1276"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≤0.1万元</w:t>
            </w:r>
          </w:p>
        </w:tc>
        <w:tc>
          <w:tcPr>
            <w:tcW w:w="1843" w:type="dxa"/>
            <w:vAlign w:val="center"/>
          </w:tcPr>
          <w:p>
            <w:pPr>
              <w:pStyle w:val="16"/>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332" w:type="dxa"/>
            <w:vAlign w:val="center"/>
          </w:tcPr>
          <w:p>
            <w:pPr>
              <w:spacing w:line="300" w:lineRule="exact"/>
              <w:jc w:val="left"/>
              <w:rPr>
                <w:rFonts w:ascii="方正书宋_GBK" w:eastAsia="方正书宋_GBK"/>
              </w:rPr>
            </w:pPr>
            <w:r>
              <w:rPr>
                <w:rFonts w:ascii="方正书宋_GBK" w:eastAsia="方正书宋_GBK"/>
              </w:rPr>
              <w:t>各项工作任务按时完成率</w:t>
            </w:r>
          </w:p>
        </w:tc>
        <w:tc>
          <w:tcPr>
            <w:tcW w:w="2891" w:type="dxa"/>
            <w:vAlign w:val="center"/>
          </w:tcPr>
          <w:p>
            <w:pPr>
              <w:spacing w:line="300" w:lineRule="exact"/>
              <w:jc w:val="left"/>
              <w:rPr>
                <w:rFonts w:ascii="方正书宋_GBK" w:eastAsia="方正书宋_GBK"/>
              </w:rPr>
            </w:pPr>
            <w:r>
              <w:rPr>
                <w:rFonts w:ascii="方正书宋_GBK" w:eastAsia="方正书宋_GBK"/>
              </w:rPr>
              <w:t>各项工作任务按时完成率</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91" w:type="dxa"/>
            <w:vAlign w:val="center"/>
          </w:tcPr>
          <w:p>
            <w:pPr>
              <w:spacing w:line="300" w:lineRule="exact"/>
              <w:jc w:val="left"/>
              <w:rPr>
                <w:rFonts w:ascii="方正书宋_GBK" w:eastAsia="方正书宋_GBK"/>
              </w:rPr>
            </w:pPr>
            <w:r>
              <w:rPr>
                <w:rFonts w:ascii="方正书宋_GBK" w:eastAsia="方正书宋_GBK"/>
              </w:rPr>
              <w:t>一线办案人员对于办案经费保障满意率</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4.巡察办案业务费（运转保障）绩效目标表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222001中国共产党保定市徐水区纪律检查委员会本级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13062522P004567105262</w:t>
            </w:r>
          </w:p>
        </w:tc>
        <w:tc>
          <w:tcPr>
            <w:tcW w:w="1587" w:type="dxa"/>
            <w:vAlign w:val="center"/>
          </w:tcPr>
          <w:p>
            <w:pPr>
              <w:pStyle w:val="17"/>
            </w:pPr>
            <w:r>
              <w:t>项目名称</w:t>
            </w:r>
          </w:p>
        </w:tc>
        <w:tc>
          <w:tcPr>
            <w:tcW w:w="4422" w:type="dxa"/>
            <w:gridSpan w:val="3"/>
            <w:vAlign w:val="center"/>
          </w:tcPr>
          <w:p>
            <w:pPr>
              <w:pStyle w:val="16"/>
            </w:pPr>
            <w:r>
              <w:t>巡察办案业务费（运转保障）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39.60</w:t>
            </w:r>
          </w:p>
        </w:tc>
        <w:tc>
          <w:tcPr>
            <w:tcW w:w="1587" w:type="dxa"/>
            <w:vAlign w:val="center"/>
          </w:tcPr>
          <w:p>
            <w:pPr>
              <w:pStyle w:val="17"/>
            </w:pPr>
            <w:r>
              <w:t>其中：财政    资金</w:t>
            </w:r>
          </w:p>
        </w:tc>
        <w:tc>
          <w:tcPr>
            <w:tcW w:w="1304" w:type="dxa"/>
            <w:vAlign w:val="center"/>
          </w:tcPr>
          <w:p>
            <w:pPr>
              <w:pStyle w:val="16"/>
            </w:pPr>
            <w:r>
              <w:t>39.60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spacing w:line="300" w:lineRule="exact"/>
              <w:jc w:val="left"/>
            </w:pPr>
            <w:r>
              <w:rPr>
                <w:rFonts w:ascii="方正书宋_GBK" w:eastAsia="方正书宋_GBK"/>
              </w:rPr>
              <w:t>该项目主要用于保证巡视巡察工作中发生的办公费、差旅费及车辆运行维护费等，以保障巡视巡察工作的正常进行。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27%</w:t>
            </w:r>
          </w:p>
        </w:tc>
        <w:tc>
          <w:tcPr>
            <w:tcW w:w="1587" w:type="dxa"/>
            <w:vAlign w:val="center"/>
          </w:tcPr>
          <w:p>
            <w:pPr>
              <w:pStyle w:val="18"/>
            </w:pPr>
            <w:r>
              <w:t>54%</w:t>
            </w:r>
          </w:p>
        </w:tc>
        <w:tc>
          <w:tcPr>
            <w:tcW w:w="1304" w:type="dxa"/>
            <w:vAlign w:val="center"/>
          </w:tcPr>
          <w:p>
            <w:pPr>
              <w:pStyle w:val="18"/>
            </w:pPr>
            <w:r>
              <w:t>81%</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1.充分发挥巡视利剑作用，使得经济环境、社会风气、群众满意度得到改善。</w:t>
            </w:r>
          </w:p>
          <w:p>
            <w:pPr>
              <w:spacing w:line="300" w:lineRule="exact"/>
              <w:jc w:val="left"/>
              <w:rPr>
                <w:rFonts w:ascii="方正书宋_GBK" w:eastAsia="方正书宋_GBK"/>
              </w:rPr>
            </w:pPr>
            <w:r>
              <w:rPr>
                <w:rFonts w:ascii="方正书宋_GBK" w:eastAsia="方正书宋_GBK"/>
              </w:rPr>
              <w:t>2.保障巡视巡察工作日常办公经费支出，利于巡视巡察工作开展。</w:t>
            </w:r>
          </w:p>
          <w:p>
            <w:pPr>
              <w:spacing w:line="300" w:lineRule="exact"/>
              <w:jc w:val="left"/>
            </w:pPr>
            <w:r>
              <w:rPr>
                <w:rFonts w:ascii="方正书宋_GBK" w:eastAsia="方正书宋_GBK"/>
              </w:rPr>
              <w:t>3.该项目2022年实施，按实际情况支出，2022年11月底前支出完毕。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spacing w:line="300" w:lineRule="exact"/>
              <w:jc w:val="left"/>
              <w:rPr>
                <w:rFonts w:ascii="方正书宋_GBK" w:eastAsia="方正书宋_GBK"/>
              </w:rPr>
            </w:pPr>
            <w:r>
              <w:rPr>
                <w:rFonts w:ascii="方正书宋_GBK" w:eastAsia="方正书宋_GBK"/>
              </w:rPr>
              <w:t>数量指标</w:t>
            </w:r>
          </w:p>
        </w:tc>
        <w:tc>
          <w:tcPr>
            <w:tcW w:w="1332" w:type="dxa"/>
            <w:vAlign w:val="center"/>
          </w:tcPr>
          <w:p>
            <w:pPr>
              <w:spacing w:line="300" w:lineRule="exact"/>
              <w:jc w:val="left"/>
            </w:pPr>
            <w:r>
              <w:rPr>
                <w:rFonts w:ascii="方正书宋_GBK" w:eastAsia="方正书宋_GBK"/>
              </w:rPr>
              <w:t>巡视巡察工作完成率</w:t>
            </w:r>
          </w:p>
        </w:tc>
        <w:tc>
          <w:tcPr>
            <w:tcW w:w="2891" w:type="dxa"/>
            <w:vAlign w:val="center"/>
          </w:tcPr>
          <w:p>
            <w:pPr>
              <w:spacing w:line="300" w:lineRule="exact"/>
              <w:jc w:val="left"/>
            </w:pPr>
            <w:r>
              <w:rPr>
                <w:rFonts w:ascii="方正书宋_GBK" w:eastAsia="方正书宋_GBK"/>
              </w:rPr>
              <w:t>已完成的巡视巡察工作占工作总量的比例</w:t>
            </w:r>
          </w:p>
        </w:tc>
        <w:tc>
          <w:tcPr>
            <w:tcW w:w="1276" w:type="dxa"/>
            <w:vAlign w:val="center"/>
          </w:tcPr>
          <w:p>
            <w:pPr>
              <w:pStyle w:val="16"/>
              <w:rPr>
                <w:rFonts w:hAnsiTheme="minorHAnsi" w:cstheme="minorBidi"/>
                <w:kern w:val="2"/>
                <w:szCs w:val="22"/>
                <w:lang w:eastAsia="zh-CN"/>
              </w:rPr>
            </w:pPr>
            <w:r>
              <w:rPr>
                <w:rFonts w:hAnsiTheme="minorHAnsi" w:cstheme="minorBidi"/>
                <w:kern w:val="2"/>
                <w:szCs w:val="22"/>
                <w:lang w:eastAsia="zh-CN"/>
              </w:rPr>
              <w:t>≥95百分比</w:t>
            </w:r>
          </w:p>
        </w:tc>
        <w:tc>
          <w:tcPr>
            <w:tcW w:w="1843" w:type="dxa"/>
            <w:vAlign w:val="center"/>
          </w:tcPr>
          <w:p>
            <w:pPr>
              <w:pStyle w:val="16"/>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spacing w:line="300" w:lineRule="exact"/>
              <w:jc w:val="left"/>
              <w:rPr>
                <w:rFonts w:ascii="方正书宋_GBK" w:eastAsia="方正书宋_GBK"/>
              </w:rPr>
            </w:pPr>
            <w:r>
              <w:rPr>
                <w:rFonts w:ascii="方正书宋_GBK" w:eastAsia="方正书宋_GBK"/>
              </w:rPr>
              <w:t>质量指标</w:t>
            </w:r>
          </w:p>
        </w:tc>
        <w:tc>
          <w:tcPr>
            <w:tcW w:w="1332" w:type="dxa"/>
            <w:vAlign w:val="center"/>
          </w:tcPr>
          <w:p>
            <w:pPr>
              <w:spacing w:line="300" w:lineRule="exact"/>
              <w:jc w:val="left"/>
              <w:rPr>
                <w:rFonts w:ascii="方正书宋_GBK" w:eastAsia="方正书宋_GBK"/>
              </w:rPr>
            </w:pPr>
            <w:r>
              <w:rPr>
                <w:rFonts w:ascii="方正书宋_GBK" w:eastAsia="方正书宋_GBK"/>
              </w:rPr>
              <w:t>经费保障准确率</w:t>
            </w:r>
          </w:p>
        </w:tc>
        <w:tc>
          <w:tcPr>
            <w:tcW w:w="2891" w:type="dxa"/>
            <w:vAlign w:val="center"/>
          </w:tcPr>
          <w:p>
            <w:pPr>
              <w:spacing w:line="300" w:lineRule="exact"/>
              <w:jc w:val="left"/>
              <w:rPr>
                <w:rFonts w:ascii="方正书宋_GBK" w:eastAsia="方正书宋_GBK"/>
              </w:rPr>
            </w:pPr>
            <w:r>
              <w:rPr>
                <w:rFonts w:ascii="方正书宋_GBK" w:eastAsia="方正书宋_GBK"/>
              </w:rPr>
              <w:t>巡视巡察经费支出范围合规比例</w:t>
            </w:r>
          </w:p>
        </w:tc>
        <w:tc>
          <w:tcPr>
            <w:tcW w:w="1276" w:type="dxa"/>
            <w:vAlign w:val="center"/>
          </w:tcPr>
          <w:p>
            <w:pPr>
              <w:spacing w:line="300" w:lineRule="exact"/>
              <w:jc w:val="left"/>
              <w:rPr>
                <w:rFonts w:ascii="方正书宋_GBK" w:eastAsia="方正书宋_GBK"/>
              </w:rPr>
            </w:pPr>
            <w:r>
              <w:rPr>
                <w:rFonts w:ascii="方正书宋_GBK" w:eastAsia="方正书宋_GBK"/>
              </w:rPr>
              <w:t>100百分比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spacing w:line="300" w:lineRule="exact"/>
              <w:jc w:val="left"/>
              <w:rPr>
                <w:rFonts w:ascii="方正书宋_GBK" w:eastAsia="方正书宋_GBK"/>
              </w:rPr>
            </w:pPr>
            <w:r>
              <w:rPr>
                <w:rFonts w:ascii="方正书宋_GBK" w:eastAsia="方正书宋_GBK"/>
              </w:rPr>
              <w:t>时效指标</w:t>
            </w:r>
          </w:p>
        </w:tc>
        <w:tc>
          <w:tcPr>
            <w:tcW w:w="1332" w:type="dxa"/>
            <w:vAlign w:val="center"/>
          </w:tcPr>
          <w:p>
            <w:pPr>
              <w:spacing w:line="300" w:lineRule="exact"/>
              <w:jc w:val="left"/>
              <w:rPr>
                <w:rFonts w:ascii="方正书宋_GBK" w:eastAsia="方正书宋_GBK"/>
              </w:rPr>
            </w:pPr>
            <w:r>
              <w:rPr>
                <w:rFonts w:ascii="方正书宋_GBK" w:eastAsia="方正书宋_GBK"/>
              </w:rPr>
              <w:t>案件、资料上报及时率</w:t>
            </w:r>
          </w:p>
        </w:tc>
        <w:tc>
          <w:tcPr>
            <w:tcW w:w="2891" w:type="dxa"/>
            <w:vAlign w:val="center"/>
          </w:tcPr>
          <w:p>
            <w:pPr>
              <w:spacing w:line="300" w:lineRule="exact"/>
              <w:jc w:val="left"/>
              <w:rPr>
                <w:rFonts w:ascii="方正书宋_GBK" w:eastAsia="方正书宋_GBK"/>
              </w:rPr>
            </w:pPr>
            <w:r>
              <w:rPr>
                <w:rFonts w:ascii="方正书宋_GBK" w:eastAsia="方正书宋_GBK"/>
              </w:rPr>
              <w:t>案件、资料上报及时率</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spacing w:line="300" w:lineRule="exact"/>
              <w:jc w:val="left"/>
            </w:pPr>
            <w:r>
              <w:t>项目资金预算控制数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支出资金不高于预算金额</w:t>
            </w:r>
          </w:p>
        </w:tc>
        <w:tc>
          <w:tcPr>
            <w:tcW w:w="1276" w:type="dxa"/>
            <w:vAlign w:val="center"/>
          </w:tcPr>
          <w:p>
            <w:pPr>
              <w:spacing w:line="300" w:lineRule="exact"/>
              <w:jc w:val="left"/>
            </w:pPr>
            <w:r>
              <w:t>≤61.77万元</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332" w:type="dxa"/>
            <w:vAlign w:val="center"/>
          </w:tcPr>
          <w:p>
            <w:pPr>
              <w:spacing w:line="300" w:lineRule="exact"/>
              <w:jc w:val="left"/>
              <w:rPr>
                <w:rFonts w:ascii="方正书宋_GBK" w:eastAsia="方正书宋_GBK"/>
              </w:rPr>
            </w:pPr>
            <w:r>
              <w:rPr>
                <w:rFonts w:ascii="方正书宋_GBK" w:eastAsia="方正书宋_GBK"/>
              </w:rPr>
              <w:t>巡视整改完成情况</w:t>
            </w:r>
          </w:p>
        </w:tc>
        <w:tc>
          <w:tcPr>
            <w:tcW w:w="2891" w:type="dxa"/>
            <w:vAlign w:val="center"/>
          </w:tcPr>
          <w:p>
            <w:pPr>
              <w:spacing w:line="300" w:lineRule="exact"/>
              <w:jc w:val="left"/>
              <w:rPr>
                <w:rFonts w:ascii="方正书宋_GBK" w:eastAsia="方正书宋_GBK"/>
              </w:rPr>
            </w:pPr>
            <w:r>
              <w:rPr>
                <w:rFonts w:ascii="方正书宋_GBK" w:eastAsia="方正书宋_GBK"/>
              </w:rPr>
              <w:t>巡视中发现的问题整改完成率</w:t>
            </w:r>
          </w:p>
        </w:tc>
        <w:tc>
          <w:tcPr>
            <w:tcW w:w="1276" w:type="dxa"/>
            <w:vAlign w:val="center"/>
          </w:tcPr>
          <w:p>
            <w:pPr>
              <w:pStyle w:val="16"/>
            </w:pPr>
            <w:r>
              <w:t>≥95百分比</w:t>
            </w:r>
          </w:p>
        </w:tc>
        <w:tc>
          <w:tcPr>
            <w:tcW w:w="1843"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332" w:type="dxa"/>
            <w:vAlign w:val="center"/>
          </w:tcPr>
          <w:p>
            <w:pPr>
              <w:spacing w:line="300" w:lineRule="exact"/>
              <w:jc w:val="left"/>
              <w:rPr>
                <w:rFonts w:ascii="方正书宋_GBK" w:eastAsia="方正书宋_GBK"/>
              </w:rPr>
            </w:pPr>
            <w:r>
              <w:rPr>
                <w:rFonts w:ascii="方正书宋_GBK" w:eastAsia="方正书宋_GBK"/>
              </w:rPr>
              <w:t>一线巡视巡察办案人员对于经费保障满意度</w:t>
            </w:r>
          </w:p>
        </w:tc>
        <w:tc>
          <w:tcPr>
            <w:tcW w:w="2891" w:type="dxa"/>
            <w:vAlign w:val="center"/>
          </w:tcPr>
          <w:p>
            <w:pPr>
              <w:spacing w:line="300" w:lineRule="exact"/>
              <w:jc w:val="left"/>
              <w:rPr>
                <w:rFonts w:ascii="方正书宋_GBK" w:eastAsia="方正书宋_GBK"/>
              </w:rPr>
            </w:pPr>
            <w:r>
              <w:rPr>
                <w:rFonts w:ascii="方正书宋_GBK" w:eastAsia="方正书宋_GBK"/>
              </w:rPr>
              <w:t>一线巡视巡察人员对于经费保障及时性、全面性等方面的满意度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
      <w:pPr>
        <w:jc w:val="center"/>
        <w:outlineLvl w:val="0"/>
        <w:rPr>
          <w:rFonts w:ascii="方正书宋_GBK" w:eastAsia="方正书宋_GBK"/>
        </w:rPr>
      </w:pPr>
    </w:p>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p>
    <w:tbl>
      <w:tblPr>
        <w:tblStyle w:val="5"/>
        <w:tblW w:w="14174" w:type="dxa"/>
        <w:tblInd w:w="0" w:type="dxa"/>
        <w:tblLayout w:type="autofit"/>
        <w:tblCellMar>
          <w:top w:w="0" w:type="dxa"/>
          <w:left w:w="108" w:type="dxa"/>
          <w:bottom w:w="0" w:type="dxa"/>
          <w:right w:w="108" w:type="dxa"/>
        </w:tblCellMar>
      </w:tblPr>
      <w:tblGrid>
        <w:gridCol w:w="1089"/>
        <w:gridCol w:w="1091"/>
        <w:gridCol w:w="1089"/>
        <w:gridCol w:w="1089"/>
        <w:gridCol w:w="1089"/>
        <w:gridCol w:w="1089"/>
        <w:gridCol w:w="1095"/>
        <w:gridCol w:w="1089"/>
        <w:gridCol w:w="1089"/>
        <w:gridCol w:w="1089"/>
        <w:gridCol w:w="1089"/>
        <w:gridCol w:w="1089"/>
        <w:gridCol w:w="1098"/>
      </w:tblGrid>
      <w:tr>
        <w:tblPrEx>
          <w:tblCellMar>
            <w:top w:w="0" w:type="dxa"/>
            <w:left w:w="108" w:type="dxa"/>
            <w:bottom w:w="0" w:type="dxa"/>
            <w:right w:w="108" w:type="dxa"/>
          </w:tblCellMar>
        </w:tblPrEx>
        <w:trPr>
          <w:trHeight w:val="235" w:hRule="atLeast"/>
        </w:trPr>
        <w:tc>
          <w:tcPr>
            <w:tcW w:w="1417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7" w:name="RANGE!A1"/>
            <w:r>
              <w:rPr>
                <w:rFonts w:hint="eastAsia" w:ascii="宋体" w:hAnsi="宋体" w:eastAsia="宋体" w:cs="宋体"/>
                <w:color w:val="000000"/>
                <w:kern w:val="0"/>
                <w:sz w:val="32"/>
                <w:szCs w:val="32"/>
              </w:rPr>
              <w:t>部门政府采购预算</w:t>
            </w:r>
            <w:bookmarkEnd w:id="7"/>
          </w:p>
        </w:tc>
      </w:tr>
      <w:tr>
        <w:tblPrEx>
          <w:tblCellMar>
            <w:top w:w="0" w:type="dxa"/>
            <w:left w:w="108" w:type="dxa"/>
            <w:bottom w:w="0" w:type="dxa"/>
            <w:right w:w="108" w:type="dxa"/>
          </w:tblCellMar>
        </w:tblPrEx>
        <w:trPr>
          <w:trHeight w:val="183" w:hRule="atLeast"/>
        </w:trPr>
        <w:tc>
          <w:tcPr>
            <w:tcW w:w="76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中共</w:t>
            </w:r>
            <w:r>
              <w:rPr>
                <w:rFonts w:ascii="Times New Roman" w:hAnsi="Times New Roman" w:eastAsia="等线" w:cs="Times New Roman"/>
                <w:color w:val="000000"/>
                <w:kern w:val="0"/>
                <w:sz w:val="24"/>
                <w:szCs w:val="24"/>
              </w:rPr>
              <w:t>保定市徐水区纪律检查委员会</w:t>
            </w:r>
          </w:p>
        </w:tc>
        <w:tc>
          <w:tcPr>
            <w:tcW w:w="6543"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157" w:hRule="atLeast"/>
        </w:trPr>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方正书宋_GBK" w:eastAsia="方正书宋_GBK"/>
              </w:rPr>
            </w:pPr>
            <w:r>
              <w:rPr>
                <w:rFonts w:ascii="方正书宋_GBK" w:eastAsia="方正书宋_GBK"/>
              </w:rPr>
              <w:t>政府采购项目来源</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采购物品名称</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政府采购目录序号</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计量  单位</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数量</w:t>
            </w:r>
          </w:p>
        </w:tc>
        <w:tc>
          <w:tcPr>
            <w:tcW w:w="109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单价</w:t>
            </w:r>
          </w:p>
        </w:tc>
        <w:tc>
          <w:tcPr>
            <w:tcW w:w="6543" w:type="dxa"/>
            <w:gridSpan w:val="6"/>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政府采购金额（当年部门预算安排资金）</w:t>
            </w:r>
          </w:p>
        </w:tc>
      </w:tr>
      <w:tr>
        <w:tblPrEx>
          <w:tblCellMar>
            <w:top w:w="0" w:type="dxa"/>
            <w:left w:w="108" w:type="dxa"/>
            <w:bottom w:w="0" w:type="dxa"/>
            <w:right w:w="108" w:type="dxa"/>
          </w:tblCellMar>
        </w:tblPrEx>
        <w:trPr>
          <w:trHeight w:val="472"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项目名称</w:t>
            </w:r>
          </w:p>
        </w:tc>
        <w:tc>
          <w:tcPr>
            <w:tcW w:w="1091"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预算资金</w:t>
            </w: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rPr>
            </w:pP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合计</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一般公共预算拨款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基金预算拨款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国有资本经营预算拨款</w:t>
            </w:r>
          </w:p>
        </w:tc>
        <w:tc>
          <w:tcPr>
            <w:tcW w:w="1089"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财政专户核拨</w:t>
            </w:r>
          </w:p>
        </w:tc>
        <w:tc>
          <w:tcPr>
            <w:tcW w:w="1098" w:type="dxa"/>
            <w:tcBorders>
              <w:top w:val="nil"/>
              <w:left w:val="nil"/>
              <w:bottom w:val="single" w:color="auto" w:sz="4" w:space="0"/>
              <w:right w:val="single" w:color="auto" w:sz="4" w:space="0"/>
            </w:tcBorders>
            <w:shd w:val="clear" w:color="auto" w:fill="auto"/>
            <w:vAlign w:val="center"/>
          </w:tcPr>
          <w:p>
            <w:pPr>
              <w:spacing w:line="300" w:lineRule="exact"/>
              <w:jc w:val="left"/>
              <w:rPr>
                <w:rFonts w:ascii="方正书宋_GBK" w:eastAsia="方正书宋_GBK"/>
              </w:rPr>
            </w:pPr>
            <w:r>
              <w:rPr>
                <w:rFonts w:ascii="方正书宋_GBK" w:eastAsia="方正书宋_GBK"/>
              </w:rPr>
              <w:t>单位资金</w:t>
            </w:r>
          </w:p>
        </w:tc>
      </w:tr>
      <w:tr>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157" w:hRule="atLeast"/>
        </w:trPr>
        <w:tc>
          <w:tcPr>
            <w:tcW w:w="10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9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pPr>
    </w:p>
    <w:p>
      <w:pPr>
        <w:spacing w:line="360" w:lineRule="auto"/>
        <w:rPr>
          <w:rFonts w:hint="eastAsia"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w:t>
      </w:r>
      <w:r>
        <w:rPr>
          <w:rFonts w:ascii="仿宋" w:hAnsi="仿宋" w:eastAsia="仿宋"/>
          <w:sz w:val="32"/>
          <w:szCs w:val="32"/>
        </w:rPr>
        <w:t>009.69</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1009.69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990.89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B53E1"/>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C6E"/>
    <w:rsid w:val="005C54AA"/>
    <w:rsid w:val="005C7B89"/>
    <w:rsid w:val="0062788A"/>
    <w:rsid w:val="00641F8A"/>
    <w:rsid w:val="0066383B"/>
    <w:rsid w:val="006A6FA2"/>
    <w:rsid w:val="006B5117"/>
    <w:rsid w:val="006C62DF"/>
    <w:rsid w:val="006F5104"/>
    <w:rsid w:val="006F6549"/>
    <w:rsid w:val="006F6C43"/>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137"/>
    <w:rsid w:val="0090620C"/>
    <w:rsid w:val="00912DA4"/>
    <w:rsid w:val="009302B8"/>
    <w:rsid w:val="009305C6"/>
    <w:rsid w:val="009752AE"/>
    <w:rsid w:val="00982F3D"/>
    <w:rsid w:val="00983232"/>
    <w:rsid w:val="009A278A"/>
    <w:rsid w:val="009B6368"/>
    <w:rsid w:val="009E6D5E"/>
    <w:rsid w:val="009F63C4"/>
    <w:rsid w:val="00A16957"/>
    <w:rsid w:val="00A6155C"/>
    <w:rsid w:val="00A7518E"/>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E3D4B"/>
    <w:rsid w:val="00BF5442"/>
    <w:rsid w:val="00C14D98"/>
    <w:rsid w:val="00C177A5"/>
    <w:rsid w:val="00C35FEE"/>
    <w:rsid w:val="00C50535"/>
    <w:rsid w:val="00C6153C"/>
    <w:rsid w:val="00C66779"/>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77B3"/>
    <w:rsid w:val="00F000B1"/>
    <w:rsid w:val="00F012D3"/>
    <w:rsid w:val="00F044C3"/>
    <w:rsid w:val="00F10D04"/>
    <w:rsid w:val="00F169E3"/>
    <w:rsid w:val="00F35D4B"/>
    <w:rsid w:val="00F3746B"/>
    <w:rsid w:val="00F572CB"/>
    <w:rsid w:val="00F621AF"/>
    <w:rsid w:val="00F7596B"/>
    <w:rsid w:val="00F8024E"/>
    <w:rsid w:val="00F82447"/>
    <w:rsid w:val="00F868E5"/>
    <w:rsid w:val="00FA55AB"/>
    <w:rsid w:val="00FB2F32"/>
    <w:rsid w:val="00FC3191"/>
    <w:rsid w:val="00FE0F1F"/>
    <w:rsid w:val="00FF61F3"/>
    <w:rsid w:val="0A214432"/>
    <w:rsid w:val="16287A9C"/>
    <w:rsid w:val="20491A77"/>
    <w:rsid w:val="27733670"/>
    <w:rsid w:val="296B5476"/>
    <w:rsid w:val="373C3A1E"/>
    <w:rsid w:val="51EE4E8E"/>
    <w:rsid w:val="56C16F7E"/>
    <w:rsid w:val="5A890E7D"/>
    <w:rsid w:val="5C2E7372"/>
    <w:rsid w:val="5C72448F"/>
    <w:rsid w:val="5DAA08C3"/>
    <w:rsid w:val="7E62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B914B-6B97-4346-B7F8-EBFC88FEFFF2}">
  <ds:schemaRefs/>
</ds:datastoreItem>
</file>

<file path=docProps/app.xml><?xml version="1.0" encoding="utf-8"?>
<Properties xmlns="http://schemas.openxmlformats.org/officeDocument/2006/extended-properties" xmlns:vt="http://schemas.openxmlformats.org/officeDocument/2006/docPropsVTypes">
  <Template>Normal</Template>
  <Pages>19</Pages>
  <Words>1203</Words>
  <Characters>6858</Characters>
  <Lines>57</Lines>
  <Paragraphs>16</Paragraphs>
  <TotalTime>886</TotalTime>
  <ScaleCrop>false</ScaleCrop>
  <LinksUpToDate>false</LinksUpToDate>
  <CharactersWithSpaces>8045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2023-11-14T08:50:04Z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573A6FDB072944E2A28DD783EBCF2A69</vt:lpwstr>
  </property>
</Properties>
</file>