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保定市徐水区审计局</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bookmarkStart w:id="5" w:name="_GoBack"/>
      <w:bookmarkEnd w:id="5"/>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560"/>
      </w:pPr>
      <w:r>
        <w:rPr>
          <w:rFonts w:eastAsia="方正仿宋_GBK"/>
          <w:color w:val="000000"/>
          <w:sz w:val="28"/>
        </w:rPr>
        <w:t>根据《保定市徐水区审计局职能配置、内设机构和人员编制规定》，保定市徐水区审计局的主要职责是：</w:t>
      </w:r>
    </w:p>
    <w:p>
      <w:pPr>
        <w:pStyle w:val="10"/>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市和区委、区政府相关重大政策措施贯彻落实情况进行跟踪审计。对审计、专项审计调查和核查社会审计机构相关审计报告的结果承担责任，并负有督促被审计单位整改的责任。</w:t>
      </w:r>
    </w:p>
    <w:p>
      <w:pPr>
        <w:pStyle w:val="10"/>
      </w:pPr>
      <w:r>
        <w:t>（二）贯彻执行审计法律、法规和方针、政策。组织起草审计地方性法规、政府规章草案；制定审计规范性文件并监督执行；制定并组织实施全区审计工作发展规划和专业领域审计工作规划；制定并组织实施全区年度审计计划，审核、调整年度审计项目计划；制定审计内容的标准和规范；参与拟订徐水区有关审计、财政经济方面的政府规章草案，制定审计规章制度并监督执行；对直接审计、调查和核查的事项依法进行审计评价，作出审计决定或提出审计建议。</w:t>
      </w:r>
    </w:p>
    <w:p>
      <w:pPr>
        <w:pStyle w:val="10"/>
      </w:pPr>
      <w:r>
        <w:t>（三）向中共保定市徐水区委审计委员会提出年度区本级预算执行和其他财政支出情况审计报告；向区长提出年度区本级预算执行和其他财政收支情况的审计结果报告；组织起草区政府向区人大常委会提出的区本级预算执行和其他财政收支情况审计工作报告、审计查出问题整改情况报告；向区委、区政府报告对其他事项的审计和专项审计调查情况及结果；依法向社会公布审计结果；向被审计单位通报审计情况和审计结果。</w:t>
      </w:r>
    </w:p>
    <w:p>
      <w:pPr>
        <w:pStyle w:val="10"/>
      </w:pPr>
      <w:r>
        <w:t>（四）直接审计下列事项，出具审计报告，在法定职权范围内作出审计决定。包括国家、省、市和区有关重大政策措施贯彻落实情况。</w:t>
      </w:r>
    </w:p>
    <w:p>
      <w:pPr>
        <w:pStyle w:val="10"/>
      </w:pPr>
      <w:r>
        <w:t>1.区本级预算执行情况和其他财政收支，区直各</w:t>
      </w:r>
      <w:r>
        <w:rPr>
          <w:rFonts w:hint="eastAsia"/>
          <w:lang w:eastAsia="zh-CN"/>
        </w:rPr>
        <w:t>单位</w:t>
      </w:r>
      <w:r>
        <w:t>（含所属单位）预算执行情况、决算草案和其他财政收支。</w:t>
      </w:r>
    </w:p>
    <w:p>
      <w:pPr>
        <w:pStyle w:val="10"/>
      </w:pPr>
      <w:r>
        <w:t>2.乡镇政府预算执行情况、决算和其他财政收支。</w:t>
      </w:r>
    </w:p>
    <w:p>
      <w:pPr>
        <w:pStyle w:val="10"/>
      </w:pPr>
      <w:r>
        <w:t>3.使用区级财政资金的事业单位和社会团体的财务收支。</w:t>
      </w:r>
    </w:p>
    <w:p>
      <w:pPr>
        <w:pStyle w:val="10"/>
      </w:pPr>
      <w:r>
        <w:t>4.区投资和以区投资为主的建设项目的预算执行情况和决算，区公共工程项目的资金管理使用和建设运营情况。</w:t>
      </w:r>
    </w:p>
    <w:p>
      <w:pPr>
        <w:pStyle w:val="10"/>
      </w:pPr>
      <w:r>
        <w:t>5.自然资源管理、污染防治和生态保护与修复情况。</w:t>
      </w:r>
    </w:p>
    <w:p>
      <w:pPr>
        <w:pStyle w:val="10"/>
      </w:pPr>
      <w:r>
        <w:t>6.区属国有和国有资本占控股或者主导地位的企业和境内外资产、负债和损益，区驻外非经营性机构的财务收支。</w:t>
      </w:r>
    </w:p>
    <w:p>
      <w:pPr>
        <w:pStyle w:val="10"/>
      </w:pPr>
      <w:r>
        <w:t>7.有关社会保障基金、社会捐赠资金和其他基金、资金的财务收支；国际组织和外国政府援助、贷款项目。</w:t>
      </w:r>
    </w:p>
    <w:p>
      <w:pPr>
        <w:pStyle w:val="10"/>
      </w:pPr>
      <w:r>
        <w:t>8.法律法规规定的其他事项。</w:t>
      </w:r>
    </w:p>
    <w:p>
      <w:pPr>
        <w:pStyle w:val="10"/>
      </w:pPr>
      <w:r>
        <w:t>（五）按规定对区管党政主要领导干部、区属国有及国有控股企业领导人及依法属于区级审计机构审计监督对象的其他单位主要负责人实施经济责任审计和自然资源资产离任审计。</w:t>
      </w:r>
    </w:p>
    <w:p>
      <w:pPr>
        <w:pStyle w:val="10"/>
      </w:pPr>
      <w:r>
        <w:t>（六）组织实施对财经法律法规、规章、政策和宏观调控措施执行情况、财政预算管理及国有资产管理使用、重点建设项目的实施情况、与财政收支有关的特定事项进行专项审计调查或跟踪审计。</w:t>
      </w:r>
    </w:p>
    <w:p>
      <w:pPr>
        <w:pStyle w:val="10"/>
      </w:pPr>
      <w:r>
        <w:t>（七）依法检查审计决定执行情况，督促整改审计查出的问题，依法办理被审计单位对审计决定提请行政复议、行政诉讼或区政府裁决中的有关事项，协助配合有关</w:t>
      </w:r>
      <w:r>
        <w:rPr>
          <w:rFonts w:hint="eastAsia"/>
          <w:lang w:eastAsia="zh-CN"/>
        </w:rPr>
        <w:t>单位</w:t>
      </w:r>
      <w:r>
        <w:t>查处相关重大案件。</w:t>
      </w:r>
    </w:p>
    <w:p>
      <w:pPr>
        <w:pStyle w:val="10"/>
      </w:pPr>
      <w:r>
        <w:t>（八）指导和监督内部审计工作，核查社会审计机构对依法属于审计监督对象的单位出具的相关审计报告。</w:t>
      </w:r>
    </w:p>
    <w:p>
      <w:pPr>
        <w:spacing w:line="360" w:lineRule="auto"/>
        <w:ind w:firstLine="560" w:firstLineChars="200"/>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（九）完成区委、区政府和上级审计机关交办的其他任务。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保定市徐水区审计局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保定市徐水区审计局（事业</w:t>
            </w:r>
            <w:r>
              <w:rPr>
                <w:rFonts w:ascii="仿宋_GB2312" w:hAnsi="仿宋" w:eastAsia="仿宋_GB2312"/>
                <w:bCs/>
                <w:sz w:val="24"/>
                <w:szCs w:val="24"/>
              </w:rPr>
              <w:t>）</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lang w:val="en-US" w:eastAsia="zh-CN"/>
        </w:rPr>
        <w:t>327.31</w:t>
      </w:r>
      <w:r>
        <w:rPr>
          <w:rFonts w:ascii="仿宋" w:hAnsi="仿宋" w:eastAsia="仿宋"/>
          <w:sz w:val="32"/>
          <w:szCs w:val="32"/>
        </w:rPr>
        <w:t>万元,其中：一般公共预算收入</w:t>
      </w:r>
      <w:r>
        <w:rPr>
          <w:rFonts w:hint="eastAsia" w:ascii="仿宋" w:hAnsi="仿宋" w:eastAsia="仿宋"/>
          <w:sz w:val="32"/>
          <w:szCs w:val="32"/>
          <w:lang w:val="en-US" w:eastAsia="zh-CN"/>
        </w:rPr>
        <w:t>327.31</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lang w:val="en-US" w:eastAsia="zh-CN"/>
        </w:rPr>
        <w:t>327.31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327.31</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其中：人员经费</w:t>
      </w:r>
      <w:r>
        <w:rPr>
          <w:rFonts w:hint="eastAsia" w:ascii="仿宋" w:hAnsi="仿宋" w:eastAsia="仿宋"/>
          <w:sz w:val="32"/>
          <w:szCs w:val="32"/>
          <w:lang w:val="en-US" w:eastAsia="zh-CN"/>
        </w:rPr>
        <w:t>282.18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日常公用经费</w:t>
      </w:r>
      <w:r>
        <w:rPr>
          <w:rFonts w:hint="eastAsia" w:ascii="仿宋" w:hAnsi="仿宋" w:eastAsia="仿宋"/>
          <w:sz w:val="32"/>
          <w:szCs w:val="32"/>
          <w:lang w:val="en-US" w:eastAsia="zh-CN"/>
        </w:rPr>
        <w:t>45.13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327.31</w:t>
      </w:r>
      <w:r>
        <w:rPr>
          <w:rFonts w:hint="eastAsia" w:ascii="仿宋" w:hAnsi="仿宋" w:eastAsia="仿宋"/>
          <w:sz w:val="32"/>
          <w:szCs w:val="32"/>
        </w:rPr>
        <w:t>万元，较上年增加</w:t>
      </w:r>
      <w:r>
        <w:rPr>
          <w:rFonts w:hint="eastAsia" w:ascii="仿宋" w:hAnsi="仿宋" w:eastAsia="仿宋"/>
          <w:sz w:val="32"/>
          <w:szCs w:val="32"/>
          <w:lang w:val="en-US" w:eastAsia="zh-CN"/>
        </w:rPr>
        <w:t>53.47</w:t>
      </w:r>
      <w:r>
        <w:rPr>
          <w:rFonts w:ascii="仿宋" w:hAnsi="仿宋" w:eastAsia="仿宋"/>
          <w:sz w:val="32"/>
          <w:szCs w:val="32"/>
        </w:rPr>
        <w:t>万元。其中:基本支出</w:t>
      </w:r>
      <w:r>
        <w:rPr>
          <w:rFonts w:hint="eastAsia" w:ascii="仿宋" w:hAnsi="仿宋" w:eastAsia="仿宋"/>
          <w:sz w:val="32"/>
          <w:szCs w:val="32"/>
          <w:lang w:eastAsia="zh-CN"/>
        </w:rPr>
        <w:t>增加</w:t>
      </w:r>
      <w:r>
        <w:rPr>
          <w:rFonts w:hint="eastAsia" w:ascii="仿宋" w:hAnsi="仿宋" w:eastAsia="仿宋"/>
          <w:sz w:val="32"/>
          <w:szCs w:val="32"/>
          <w:lang w:val="en-US" w:eastAsia="zh-CN"/>
        </w:rPr>
        <w:t>80.96</w:t>
      </w:r>
      <w:r>
        <w:rPr>
          <w:rFonts w:ascii="仿宋" w:hAnsi="仿宋" w:eastAsia="仿宋"/>
          <w:sz w:val="32"/>
          <w:szCs w:val="32"/>
        </w:rPr>
        <w:t>万元，主要原因是</w:t>
      </w:r>
      <w:r>
        <w:rPr>
          <w:rFonts w:hint="eastAsia" w:ascii="仿宋" w:hAnsi="仿宋" w:eastAsia="仿宋"/>
          <w:sz w:val="32"/>
          <w:szCs w:val="32"/>
        </w:rPr>
        <w:t>日常公用支出增加</w:t>
      </w:r>
      <w:r>
        <w:rPr>
          <w:rFonts w:ascii="仿宋" w:hAnsi="仿宋" w:eastAsia="仿宋"/>
          <w:sz w:val="32"/>
          <w:szCs w:val="32"/>
        </w:rPr>
        <w:t>；项目支出减少</w:t>
      </w:r>
      <w:r>
        <w:rPr>
          <w:rFonts w:hint="eastAsia" w:ascii="仿宋" w:hAnsi="仿宋" w:eastAsia="仿宋"/>
          <w:sz w:val="32"/>
          <w:szCs w:val="32"/>
        </w:rPr>
        <w:t>27.49</w:t>
      </w:r>
      <w:r>
        <w:rPr>
          <w:rFonts w:ascii="仿宋" w:hAnsi="仿宋" w:eastAsia="仿宋"/>
          <w:sz w:val="32"/>
          <w:szCs w:val="32"/>
        </w:rPr>
        <w:t>万元，主要原因是</w:t>
      </w:r>
      <w:r>
        <w:rPr>
          <w:rFonts w:hint="eastAsia" w:ascii="仿宋" w:hAnsi="仿宋" w:eastAsia="仿宋"/>
          <w:sz w:val="32"/>
          <w:szCs w:val="32"/>
        </w:rPr>
        <w:t>本年无项目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42.13</w:t>
      </w:r>
      <w:r>
        <w:rPr>
          <w:rFonts w:ascii="仿宋" w:hAnsi="仿宋" w:eastAsia="仿宋"/>
          <w:sz w:val="32"/>
          <w:szCs w:val="32"/>
        </w:rPr>
        <w:t>万元，其中办公费</w:t>
      </w:r>
      <w:r>
        <w:rPr>
          <w:rFonts w:hint="eastAsia" w:ascii="仿宋" w:hAnsi="仿宋" w:eastAsia="仿宋"/>
          <w:sz w:val="32"/>
          <w:szCs w:val="32"/>
          <w:lang w:val="en-US" w:eastAsia="zh-CN"/>
        </w:rPr>
        <w:t>20.02</w:t>
      </w:r>
      <w:r>
        <w:rPr>
          <w:rFonts w:ascii="仿宋" w:hAnsi="仿宋" w:eastAsia="仿宋"/>
          <w:sz w:val="32"/>
          <w:szCs w:val="32"/>
        </w:rPr>
        <w:t>万元，邮电费</w:t>
      </w:r>
      <w:r>
        <w:rPr>
          <w:rFonts w:hint="eastAsia" w:ascii="仿宋" w:hAnsi="仿宋" w:eastAsia="仿宋"/>
          <w:sz w:val="32"/>
          <w:szCs w:val="32"/>
        </w:rPr>
        <w:t>5.94</w:t>
      </w:r>
      <w:r>
        <w:rPr>
          <w:rFonts w:ascii="仿宋" w:hAnsi="仿宋" w:eastAsia="仿宋"/>
          <w:sz w:val="32"/>
          <w:szCs w:val="32"/>
        </w:rPr>
        <w:t>万元，工会经费、福利费</w:t>
      </w:r>
      <w:r>
        <w:rPr>
          <w:rFonts w:hint="eastAsia" w:ascii="仿宋" w:hAnsi="仿宋" w:eastAsia="仿宋"/>
          <w:sz w:val="32"/>
          <w:szCs w:val="32"/>
          <w:lang w:val="en-US" w:eastAsia="zh-CN"/>
        </w:rPr>
        <w:t>3.16</w:t>
      </w:r>
      <w:r>
        <w:rPr>
          <w:rFonts w:ascii="仿宋" w:hAnsi="仿宋" w:eastAsia="仿宋"/>
          <w:sz w:val="32"/>
          <w:szCs w:val="32"/>
        </w:rPr>
        <w:t>万元，公务用车运行维护费</w:t>
      </w:r>
      <w:r>
        <w:rPr>
          <w:rFonts w:hint="eastAsia" w:ascii="仿宋" w:hAnsi="仿宋" w:eastAsia="仿宋"/>
          <w:sz w:val="32"/>
          <w:szCs w:val="32"/>
        </w:rPr>
        <w:t>2.43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0</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4.07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0.06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1.44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5.51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pPr>
      <w:r>
        <w:t>以习近平新时代中国特色社会主义思想为指导，协调推进和督促落实党中央、省委、市委、区委关于审计工作的方针政策和决策部署，坚持审计“促改革、促发展”，做到“应审尽审、凡审必严、严肃问责”，努力构建集中统一、全面覆盖、权威高效的审计监督体系；坚持创新审计理念，及时揭示和反映经济社会各领域的新情况、新问题、新趋势，准确把握“三个区分开来”要求，推动建立健全容错纠错机制；坚持“党建强审、科技强审、改革强审”，加强审计机关自身建设，以审计精神立身、以创新规范立业、以自身建设立信；科学合理制定2021年审计项目计划，提出审计领域坚持党的领导、加强党的建设的政策建议，组织研究全区审计工作发展规划、重大政策和改革方案，建设一支信念坚定、业务精通、作风务实、清正廉洁的高素质专业化审计干部队伍。</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pPr>
      <w:r>
        <w:t>（一）大力推进审计全覆盖，加大审计监督力度。</w:t>
      </w:r>
    </w:p>
    <w:p>
      <w:pPr>
        <w:pStyle w:val="12"/>
      </w:pPr>
      <w:r>
        <w:t>绩效目标：改进审计模式和组织方式，创新审计理念，充分利用大数据的收集、整理、分析，实现审计全覆盖，消除监督盲区。加大审计监督力度，充分发挥审计监督作用，维护国家财政经济秩序，提高资金使用效益，促进廉政建设，保障全区经济和社会健康发展。</w:t>
      </w:r>
    </w:p>
    <w:p>
      <w:pPr>
        <w:pStyle w:val="12"/>
      </w:pPr>
      <w:r>
        <w:t>绩效指标：审计计划完成率达到90%以上，重大政策落实跟踪审计部署完成率达到100%，保障审计程序合法合规，审计通知书按时送达，审计底稿取证合规，审计报告全部征求意见，审计档案及时归档。</w:t>
      </w:r>
    </w:p>
    <w:p>
      <w:pPr>
        <w:pStyle w:val="12"/>
      </w:pPr>
      <w:r>
        <w:t>（二）大力推进审计工作统筹，提升审计效能。</w:t>
      </w:r>
    </w:p>
    <w:p>
      <w:pPr>
        <w:pStyle w:val="12"/>
      </w:pPr>
      <w:r>
        <w:t>绩效目标：强化上级审计机关对下级审计机关的领导，加快形成审计工作一盘棋；加强审计项目审计组织方式 “两统筹”，保障审计项目的质量；优化资源配置，建立健全全区内部审计机构建设，监督内部审计职责履行情况，检查内部审计业务质量；通过向社会购买服务的方式，合理运用内部审计和社会审计力量，形成审计监督合力。</w:t>
      </w:r>
    </w:p>
    <w:p>
      <w:pPr>
        <w:pStyle w:val="12"/>
      </w:pPr>
      <w:r>
        <w:t>绩效指标：审计项目数量达到17个以上，其中：重大审计项目完成1个以上。</w:t>
      </w:r>
    </w:p>
    <w:p>
      <w:pPr>
        <w:pStyle w:val="12"/>
      </w:pPr>
      <w:r>
        <w:t>（三）大力推进审计成果应用，彰显审计价值。</w:t>
      </w:r>
    </w:p>
    <w:p>
      <w:pPr>
        <w:pStyle w:val="12"/>
      </w:pPr>
      <w: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区委、区政府决策提供依据。</w:t>
      </w:r>
    </w:p>
    <w:p>
      <w:pPr>
        <w:pStyle w:val="12"/>
      </w:pPr>
      <w:r>
        <w:t>绩效指标：审计问题整改率达到85%以上。</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pPr>
      <w:r>
        <w:t>（一）完善制度建设。</w:t>
      </w:r>
    </w:p>
    <w:p>
      <w:pPr>
        <w:pStyle w:val="13"/>
      </w:pPr>
      <w:r>
        <w:t>始终把预算绩效工作列入年度工作计划，将事前评估、目标管理、运行监控、绩效评价、结果应用等有效融入预算管理的全过程。根据</w:t>
      </w:r>
      <w:r>
        <w:rPr>
          <w:rFonts w:hint="eastAsia"/>
          <w:lang w:eastAsia="zh-CN"/>
        </w:rPr>
        <w:t>单位</w:t>
      </w:r>
      <w:r>
        <w:t>职责和评价项目特点，对照预算文本和设定的绩效目标，制定预算绩效管理的具体工作方案。成立预算绩效工作领导小组，按照绩效工作实施方案规定的程序和内容，对预算项目绩效目标和绩效指标的完成情况，通过核实数据、现场比对，进行绩效分析和评价，发现问题及时采取措施，明确责任主体。</w:t>
      </w:r>
    </w:p>
    <w:p>
      <w:pPr>
        <w:pStyle w:val="13"/>
      </w:pPr>
      <w:r>
        <w:t>（二）加强支出管理。</w:t>
      </w:r>
    </w:p>
    <w:p>
      <w:pPr>
        <w:pStyle w:val="13"/>
      </w:pPr>
      <w:r>
        <w:t>优化</w:t>
      </w:r>
      <w:r>
        <w:rPr>
          <w:rFonts w:hint="eastAsia"/>
          <w:lang w:eastAsia="zh-CN"/>
        </w:rPr>
        <w:t>单位</w:t>
      </w:r>
      <w:r>
        <w:t>预算支出结构，合理制定支出方式，及时启动预算项目，及时支付资金，加快履行政府采购程序，确保按照时间节点完成支付进度，严格绩效目标考核，更好地发挥财政资金的使用效益。</w:t>
      </w:r>
    </w:p>
    <w:p>
      <w:pPr>
        <w:pStyle w:val="13"/>
      </w:pPr>
      <w:r>
        <w:t>（三）加强绩效运行监控。</w:t>
      </w:r>
    </w:p>
    <w:p>
      <w:pPr>
        <w:pStyle w:val="13"/>
      </w:pPr>
      <w:r>
        <w:t>按要求开展绩效运行监控，对绩效运行情况、重大支出、资产处置及其他重要经济业务事项经党组研究批准后执行，确保财政资金安全有效，发现问题及时采取措施，确保绩效目标如期保质实现。</w:t>
      </w:r>
    </w:p>
    <w:p>
      <w:pPr>
        <w:pStyle w:val="13"/>
      </w:pPr>
      <w:r>
        <w:t>（四）做好绩效自评。</w:t>
      </w:r>
    </w:p>
    <w:p>
      <w:pPr>
        <w:pStyle w:val="13"/>
      </w:pPr>
      <w:r>
        <w:t>按要求开展</w:t>
      </w:r>
      <w:r>
        <w:rPr>
          <w:rFonts w:hint="eastAsia"/>
          <w:lang w:eastAsia="zh-CN"/>
        </w:rPr>
        <w:t>单位</w:t>
      </w:r>
      <w:r>
        <w:t>预算绩效自评和重点评价工作。各</w:t>
      </w:r>
      <w:r>
        <w:rPr>
          <w:rFonts w:hint="eastAsia"/>
          <w:lang w:eastAsia="zh-CN"/>
        </w:rPr>
        <w:t>单位</w:t>
      </w:r>
      <w:r>
        <w:t>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及时整改，调整优化支出结构，提高财政资金使用效益。</w:t>
      </w:r>
    </w:p>
    <w:p>
      <w:pPr>
        <w:pStyle w:val="13"/>
      </w:pPr>
      <w:r>
        <w:t>（五）规范财务资产管理。</w:t>
      </w:r>
    </w:p>
    <w:p>
      <w:pPr>
        <w:pStyle w:val="13"/>
      </w:pPr>
      <w:r>
        <w:t>坚持 “统一领导、归口负责、分级管理、责任到人”的财务管理制度，严格执行</w:t>
      </w:r>
      <w:r>
        <w:rPr>
          <w:rFonts w:hint="eastAsia"/>
          <w:lang w:eastAsia="zh-CN"/>
        </w:rPr>
        <w:t>单位</w:t>
      </w:r>
      <w:r>
        <w:t>财务管理办法和</w:t>
      </w:r>
      <w:r>
        <w:rPr>
          <w:rFonts w:hint="eastAsia"/>
          <w:lang w:eastAsia="zh-CN"/>
        </w:rPr>
        <w:t>单位</w:t>
      </w:r>
      <w:r>
        <w:t>固定资产管理暂行规定。严格报销审核程序，强化内部控制，把资产管理与绩效管理有机结合起来，实现“定项目就要抓绩效”、“有资金就要有绩效”，确保绩效与业务工作紧密衔接。在资产管理方面，设置专职资产管理员，资产购置严格执行“先有预算后支出”的规定，保证资产卡片及时录入、信息完整，定期组织资产清查和盘点，做到账实相符、账账相符。对已毁损或需报废资产严格按程序审批，将绩效管理成果落到实处。</w:t>
      </w:r>
    </w:p>
    <w:p>
      <w:pPr>
        <w:pStyle w:val="13"/>
      </w:pPr>
      <w:r>
        <w:t>（六）加强内部监督。</w:t>
      </w:r>
    </w:p>
    <w:p>
      <w:pPr>
        <w:pStyle w:val="13"/>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3"/>
      </w:pPr>
      <w:r>
        <w:t>（七）加强宣传培训调研等。</w:t>
      </w:r>
    </w:p>
    <w:p>
      <w:pPr>
        <w:pStyle w:val="13"/>
      </w:pPr>
      <w:r>
        <w:t>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pPr>
        <w:pStyle w:val="13"/>
      </w:pPr>
      <w:r>
        <w:t>加大绩效管理的宣传力度，宣传工作要贯穿预算绩效管理始终。将预算绩效管理的成功经验和先进做法，进行重点宣传。强化“用钱必问效，无效必问责”的绩效管理理念，使绩效评价转化为自下而上的自觉行动。</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p>
    <w:p>
      <w:pPr>
        <w:jc w:val="left"/>
        <w:outlineLvl w:val="3"/>
        <w:rPr>
          <w:rFonts w:ascii="Times New Roman" w:hAnsi="宋体" w:eastAsia="宋体"/>
          <w:b/>
          <w:sz w:val="28"/>
        </w:rPr>
      </w:pPr>
      <w:bookmarkStart w:id="3" w:name="_Toc66799016"/>
      <w:r>
        <w:rPr>
          <w:rFonts w:hint="eastAsia" w:ascii="方正仿宋_GBK" w:eastAsia="方正仿宋_GBK"/>
          <w:b/>
          <w:sz w:val="28"/>
        </w:rPr>
        <w:t>利息收入绩效</w:t>
      </w:r>
      <w:r>
        <w:rPr>
          <w:rFonts w:ascii="方正仿宋_GBK" w:eastAsia="方正仿宋_GBK"/>
          <w:b/>
          <w:sz w:val="28"/>
        </w:rPr>
        <w:t>目标表</w:t>
      </w:r>
      <w:bookmarkEnd w:id="3"/>
      <w:r>
        <w:fldChar w:fldCharType="begin"/>
      </w:r>
      <w:r>
        <w:rPr>
          <w:rFonts w:ascii="方正仿宋_GBK" w:eastAsia="方正仿宋_GBK"/>
          <w:b/>
          <w:sz w:val="28"/>
        </w:rPr>
        <w:instrText xml:space="preserve"> TC 3、汽车租赁经费绩效目标表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319001审计局本级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13062522P00459810034K</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0.04</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p>
        </w:tc>
        <w:tc>
          <w:tcPr>
            <w:tcW w:w="127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t>该项目主要用于日常办公经费支出。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rPr>
              <w:t xml:space="preserve"> </w:t>
            </w:r>
            <w:r>
              <w:rPr>
                <w:rFonts w:hint="eastAsia" w:ascii="方正书宋_GBK" w:eastAsia="方正书宋_GBK"/>
              </w:rPr>
              <w:t>弥补单位办公经费不足。</w:t>
            </w:r>
          </w:p>
          <w:p>
            <w:pPr>
              <w:spacing w:line="300" w:lineRule="exact"/>
              <w:jc w:val="left"/>
              <w:rPr>
                <w:rFonts w:ascii="方正书宋_GBK" w:eastAsia="方正书宋_GBK"/>
              </w:rPr>
            </w:pPr>
            <w:r>
              <w:rPr>
                <w:rFonts w:ascii="方正书宋_GBK" w:eastAsia="方正书宋_GBK"/>
              </w:rPr>
              <w:t>2.</w:t>
            </w:r>
            <w:r>
              <w:rPr>
                <w:rFonts w:hint="eastAsia"/>
              </w:rPr>
              <w:t xml:space="preserve"> </w:t>
            </w:r>
            <w:r>
              <w:rPr>
                <w:rFonts w:hint="eastAsia" w:ascii="方正书宋_GBK" w:eastAsia="方正书宋_GBK"/>
              </w:rPr>
              <w:t>促进单位正常运转。</w:t>
            </w:r>
          </w:p>
          <w:p>
            <w:pPr>
              <w:spacing w:line="300" w:lineRule="exact"/>
              <w:jc w:val="left"/>
              <w:rPr>
                <w:rFonts w:ascii="方正书宋_GBK" w:eastAsia="方正书宋_GBK"/>
              </w:rPr>
            </w:pPr>
            <w:r>
              <w:rPr>
                <w:rFonts w:ascii="方正书宋_GBK" w:eastAsia="方正书宋_GBK"/>
              </w:rPr>
              <w:t>3.</w:t>
            </w:r>
            <w:r>
              <w:t xml:space="preserve"> </w:t>
            </w:r>
            <w:r>
              <w:rPr>
                <w:rFonts w:ascii="方正书宋_GBK" w:eastAsia="方正书宋_GBK"/>
              </w:rPr>
              <w:t>2022年12月底前全部支出完毕</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ign w:val="center"/>
          </w:tcPr>
          <w:tbl>
            <w:tblPr>
              <w:tblStyle w:val="5"/>
              <w:tblW w:w="2560" w:type="dxa"/>
              <w:tblInd w:w="0" w:type="dxa"/>
              <w:tblLayout w:type="fixed"/>
              <w:tblCellMar>
                <w:top w:w="0" w:type="dxa"/>
                <w:left w:w="108" w:type="dxa"/>
                <w:bottom w:w="0" w:type="dxa"/>
                <w:right w:w="108" w:type="dxa"/>
              </w:tblCellMar>
            </w:tblPr>
            <w:tblGrid>
              <w:gridCol w:w="2560"/>
            </w:tblGrid>
            <w:tr>
              <w:tblPrEx>
                <w:tblCellMar>
                  <w:top w:w="0" w:type="dxa"/>
                  <w:left w:w="108" w:type="dxa"/>
                  <w:bottom w:w="0" w:type="dxa"/>
                  <w:right w:w="108" w:type="dxa"/>
                </w:tblCellMar>
              </w:tblPrEx>
              <w:trPr>
                <w:trHeight w:val="330" w:hRule="atLeast"/>
              </w:trPr>
              <w:tc>
                <w:tcPr>
                  <w:tcW w:w="2560" w:type="dxa"/>
                  <w:tcBorders>
                    <w:top w:val="nil"/>
                    <w:left w:val="nil"/>
                    <w:bottom w:val="nil"/>
                    <w:right w:val="nil"/>
                  </w:tcBorders>
                  <w:shd w:val="clear" w:color="auto" w:fill="auto"/>
                  <w:noWrap/>
                </w:tcPr>
                <w:p>
                  <w:pPr>
                    <w:widowControl/>
                    <w:jc w:val="left"/>
                    <w:rPr>
                      <w:rFonts w:ascii="Calibri" w:hAnsi="Calibri" w:eastAsia="宋体" w:cs="宋体"/>
                      <w:color w:val="000000"/>
                      <w:kern w:val="0"/>
                      <w:sz w:val="22"/>
                    </w:rPr>
                  </w:pPr>
                  <w:r>
                    <w:rPr>
                      <w:rFonts w:hint="eastAsia" w:ascii="方正书宋_GBK" w:eastAsia="方正书宋_GBK"/>
                    </w:rPr>
                    <w:t>任务完成率</w:t>
                  </w:r>
                </w:p>
              </w:tc>
            </w:tr>
          </w:tbl>
          <w:p>
            <w:pPr>
              <w:spacing w:line="300" w:lineRule="exact"/>
              <w:jc w:val="left"/>
              <w:rPr>
                <w:rFonts w:ascii="方正书宋_GBK" w:eastAsia="方正书宋_GBK"/>
              </w:rPr>
            </w:pP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办公费成本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办公费成本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提供服务次数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tbl>
      <w:tblPr>
        <w:tblStyle w:val="5"/>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4" w:name="RANGE!A1"/>
            <w:r>
              <w:rPr>
                <w:rFonts w:hint="eastAsia" w:ascii="仿宋" w:hAnsi="仿宋" w:eastAsia="仿宋"/>
                <w:sz w:val="32"/>
                <w:szCs w:val="32"/>
                <w:lang w:eastAsia="zh-CN"/>
              </w:rPr>
              <w:t>单位</w:t>
            </w:r>
            <w:r>
              <w:rPr>
                <w:rFonts w:hint="eastAsia" w:ascii="宋体" w:hAnsi="宋体" w:eastAsia="宋体" w:cs="宋体"/>
                <w:color w:val="000000"/>
                <w:kern w:val="0"/>
                <w:sz w:val="32"/>
                <w:szCs w:val="32"/>
              </w:rPr>
              <w:t>政府采购预算</w:t>
            </w:r>
            <w:bookmarkEnd w:id="4"/>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审计局</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w:t>
            </w:r>
            <w:r>
              <w:rPr>
                <w:rFonts w:hint="eastAsia" w:ascii="Times New Roman" w:hAnsi="Times New Roman" w:eastAsia="等线" w:cs="Times New Roman"/>
                <w:b/>
                <w:bCs/>
                <w:color w:val="000000"/>
                <w:kern w:val="0"/>
                <w:szCs w:val="21"/>
              </w:rPr>
              <w:t>单位</w:t>
            </w:r>
            <w:r>
              <w:rPr>
                <w:rFonts w:ascii="Times New Roman" w:hAnsi="Times New Roman" w:eastAsia="等线" w:cs="Times New Roman"/>
                <w:b/>
                <w:bCs/>
                <w:color w:val="000000"/>
                <w:kern w:val="0"/>
                <w:szCs w:val="21"/>
              </w:rPr>
              <w:t>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固定资产总金额为44.11万元（详见下表）。我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auto"/>
                <w:kern w:val="0"/>
                <w:sz w:val="28"/>
                <w:szCs w:val="28"/>
              </w:rPr>
              <w:t>2021</w:t>
            </w:r>
            <w:r>
              <w:rPr>
                <w:rFonts w:hint="eastAsia" w:ascii="仿宋_GB2312" w:hAnsi="仿宋" w:eastAsia="仿宋_GB2312" w:cs="宋体"/>
                <w:bCs/>
                <w:color w:val="auto"/>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44.11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44.11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2NWQyY2NmMzNmMDcwMzdiOWFkMzJjZDZiOTEzNzUifQ=="/>
  </w:docVars>
  <w:rsids>
    <w:rsidRoot w:val="00055F1F"/>
    <w:rsid w:val="00013B8A"/>
    <w:rsid w:val="00016C04"/>
    <w:rsid w:val="000244EE"/>
    <w:rsid w:val="00044FBC"/>
    <w:rsid w:val="00055F1F"/>
    <w:rsid w:val="000577EF"/>
    <w:rsid w:val="00057F18"/>
    <w:rsid w:val="000A445D"/>
    <w:rsid w:val="000C178B"/>
    <w:rsid w:val="00131DEC"/>
    <w:rsid w:val="00136AB3"/>
    <w:rsid w:val="001462BD"/>
    <w:rsid w:val="00152380"/>
    <w:rsid w:val="001638BE"/>
    <w:rsid w:val="00164810"/>
    <w:rsid w:val="00172C7A"/>
    <w:rsid w:val="001777E1"/>
    <w:rsid w:val="00181777"/>
    <w:rsid w:val="001B4688"/>
    <w:rsid w:val="001B6235"/>
    <w:rsid w:val="001D5731"/>
    <w:rsid w:val="001F4875"/>
    <w:rsid w:val="002062E4"/>
    <w:rsid w:val="00212335"/>
    <w:rsid w:val="002918C6"/>
    <w:rsid w:val="00291EF3"/>
    <w:rsid w:val="00296524"/>
    <w:rsid w:val="002A64BF"/>
    <w:rsid w:val="002D1656"/>
    <w:rsid w:val="002D296A"/>
    <w:rsid w:val="002D2B49"/>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0D69"/>
    <w:rsid w:val="003E3832"/>
    <w:rsid w:val="003E5531"/>
    <w:rsid w:val="003E555C"/>
    <w:rsid w:val="003E6AF3"/>
    <w:rsid w:val="0040243C"/>
    <w:rsid w:val="00406BD1"/>
    <w:rsid w:val="00420A12"/>
    <w:rsid w:val="0042464E"/>
    <w:rsid w:val="00426C19"/>
    <w:rsid w:val="00450FD9"/>
    <w:rsid w:val="00453CE0"/>
    <w:rsid w:val="00470736"/>
    <w:rsid w:val="00470BBB"/>
    <w:rsid w:val="0048611E"/>
    <w:rsid w:val="004B6929"/>
    <w:rsid w:val="004E2F43"/>
    <w:rsid w:val="004E3572"/>
    <w:rsid w:val="004E35FB"/>
    <w:rsid w:val="004F3C52"/>
    <w:rsid w:val="00510A1E"/>
    <w:rsid w:val="005158E2"/>
    <w:rsid w:val="00524204"/>
    <w:rsid w:val="00550049"/>
    <w:rsid w:val="00553F7E"/>
    <w:rsid w:val="00570142"/>
    <w:rsid w:val="00586C35"/>
    <w:rsid w:val="005B1B6F"/>
    <w:rsid w:val="005B6CCB"/>
    <w:rsid w:val="005C54AA"/>
    <w:rsid w:val="005C7B89"/>
    <w:rsid w:val="005F4967"/>
    <w:rsid w:val="00612C6D"/>
    <w:rsid w:val="00613697"/>
    <w:rsid w:val="0062788A"/>
    <w:rsid w:val="00641F8A"/>
    <w:rsid w:val="0066383B"/>
    <w:rsid w:val="006A6FA2"/>
    <w:rsid w:val="006B475E"/>
    <w:rsid w:val="006B5117"/>
    <w:rsid w:val="006C62DF"/>
    <w:rsid w:val="006F5104"/>
    <w:rsid w:val="006F6549"/>
    <w:rsid w:val="0073001E"/>
    <w:rsid w:val="00735B02"/>
    <w:rsid w:val="00757B12"/>
    <w:rsid w:val="007657C8"/>
    <w:rsid w:val="00767A77"/>
    <w:rsid w:val="00771E49"/>
    <w:rsid w:val="00782208"/>
    <w:rsid w:val="00791938"/>
    <w:rsid w:val="007A5999"/>
    <w:rsid w:val="007C7FD7"/>
    <w:rsid w:val="007F24F0"/>
    <w:rsid w:val="007F3746"/>
    <w:rsid w:val="00833132"/>
    <w:rsid w:val="00845C67"/>
    <w:rsid w:val="0086454E"/>
    <w:rsid w:val="008672EA"/>
    <w:rsid w:val="00891680"/>
    <w:rsid w:val="008A0099"/>
    <w:rsid w:val="008A0B5F"/>
    <w:rsid w:val="008B4B84"/>
    <w:rsid w:val="008B5402"/>
    <w:rsid w:val="008D11BC"/>
    <w:rsid w:val="0090527E"/>
    <w:rsid w:val="00905BB7"/>
    <w:rsid w:val="0090620C"/>
    <w:rsid w:val="00912DA4"/>
    <w:rsid w:val="009302B8"/>
    <w:rsid w:val="009305C6"/>
    <w:rsid w:val="009664F1"/>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3027D"/>
    <w:rsid w:val="00B71A0D"/>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13719"/>
    <w:rsid w:val="00D43F7A"/>
    <w:rsid w:val="00D45530"/>
    <w:rsid w:val="00D45A0E"/>
    <w:rsid w:val="00D45D23"/>
    <w:rsid w:val="00D723D1"/>
    <w:rsid w:val="00D80C60"/>
    <w:rsid w:val="00D8525F"/>
    <w:rsid w:val="00DA0C4D"/>
    <w:rsid w:val="00DA5DA7"/>
    <w:rsid w:val="00DC0E4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3D6C"/>
    <w:rsid w:val="00EA56CB"/>
    <w:rsid w:val="00EA7853"/>
    <w:rsid w:val="00EC40E5"/>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8F6413C"/>
    <w:rsid w:val="0A214432"/>
    <w:rsid w:val="0D2072D9"/>
    <w:rsid w:val="0E3B7DF0"/>
    <w:rsid w:val="0FBA447E"/>
    <w:rsid w:val="1C197B20"/>
    <w:rsid w:val="1F551EF2"/>
    <w:rsid w:val="27733670"/>
    <w:rsid w:val="29883BEF"/>
    <w:rsid w:val="2CAA134F"/>
    <w:rsid w:val="30CB4551"/>
    <w:rsid w:val="318E54B6"/>
    <w:rsid w:val="332B3F69"/>
    <w:rsid w:val="355F0D68"/>
    <w:rsid w:val="3EB43064"/>
    <w:rsid w:val="40A64E31"/>
    <w:rsid w:val="4554199A"/>
    <w:rsid w:val="48090F94"/>
    <w:rsid w:val="52293911"/>
    <w:rsid w:val="56DF110B"/>
    <w:rsid w:val="642C1B08"/>
    <w:rsid w:val="6C545262"/>
    <w:rsid w:val="6D066B1C"/>
    <w:rsid w:val="7C305561"/>
    <w:rsid w:val="7EED1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A861-9D13-41E0-8D95-55140933E17E}">
  <ds:schemaRefs/>
</ds:datastoreItem>
</file>

<file path=docProps/app.xml><?xml version="1.0" encoding="utf-8"?>
<Properties xmlns="http://schemas.openxmlformats.org/officeDocument/2006/extended-properties" xmlns:vt="http://schemas.openxmlformats.org/officeDocument/2006/docPropsVTypes">
  <Template>Normal</Template>
  <Pages>12</Pages>
  <Words>5278</Words>
  <Characters>5499</Characters>
  <Lines>42</Lines>
  <Paragraphs>11</Paragraphs>
  <TotalTime>5</TotalTime>
  <ScaleCrop>false</ScaleCrop>
  <LinksUpToDate>false</LinksUpToDate>
  <CharactersWithSpaces>5571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2022-03-04T02:46:00Z</dcterms:created>
  <dc:creator>Windows 用户</dc:creator>
  <cp:lastModifiedBy>Administrator</cp:lastModifiedBy>
  <cp:lastPrinted>2021-04-14T02:06:00Z</cp:lastPrinted>
  <dcterms:modified xsi:type="dcterms:W3CDTF">2023-11-14T06:35:14Z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76EAFEA3433E47EF9BBEB116C4FC5C2C</vt:lpwstr>
  </property>
</Properties>
</file>