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1045.19</w:t>
            </w:r>
          </w:p>
        </w:tc>
        <w:tc>
          <w:tcPr>
            <w:tcW w:w="4535" w:type="dxa"/>
            <w:vAlign w:val="center"/>
          </w:tcPr>
          <w:p>
            <w:pPr>
              <w:pStyle w:val="16"/>
            </w:pPr>
            <w:r>
              <w:t>一、一般公共服务支出</w:t>
            </w:r>
          </w:p>
        </w:tc>
        <w:tc>
          <w:tcPr>
            <w:tcW w:w="2126" w:type="dxa"/>
            <w:vAlign w:val="center"/>
          </w:tcPr>
          <w:p>
            <w:pPr>
              <w:pStyle w:val="15"/>
            </w:pPr>
            <w:r>
              <w:t>845.48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125.22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0.05</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1045.24</w:t>
            </w:r>
          </w:p>
        </w:tc>
        <w:tc>
          <w:tcPr>
            <w:tcW w:w="4535" w:type="dxa"/>
            <w:vAlign w:val="center"/>
          </w:tcPr>
          <w:p>
            <w:pPr>
              <w:pStyle w:val="18"/>
            </w:pPr>
            <w:r>
              <w:t>本年支出合计</w:t>
            </w:r>
          </w:p>
        </w:tc>
        <w:tc>
          <w:tcPr>
            <w:tcW w:w="2126" w:type="dxa"/>
            <w:vAlign w:val="center"/>
          </w:tcPr>
          <w:p>
            <w:pPr>
              <w:pStyle w:val="19"/>
            </w:pPr>
            <w:r>
              <w:t>1045.24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1045.24</w:t>
            </w:r>
          </w:p>
        </w:tc>
        <w:tc>
          <w:tcPr>
            <w:tcW w:w="4535" w:type="dxa"/>
            <w:vAlign w:val="center"/>
          </w:tcPr>
          <w:p>
            <w:pPr>
              <w:pStyle w:val="18"/>
            </w:pPr>
            <w:r>
              <w:t>支出总计</w:t>
            </w:r>
          </w:p>
        </w:tc>
        <w:tc>
          <w:tcPr>
            <w:tcW w:w="2126" w:type="dxa"/>
            <w:vAlign w:val="center"/>
          </w:tcPr>
          <w:p>
            <w:pPr>
              <w:pStyle w:val="19"/>
            </w:pPr>
            <w:r>
              <w:t>1045.24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1045.24</w:t>
            </w:r>
          </w:p>
        </w:tc>
        <w:tc>
          <w:tcPr>
            <w:tcW w:w="1134" w:type="dxa"/>
            <w:vAlign w:val="center"/>
          </w:tcPr>
          <w:p>
            <w:pPr>
              <w:pStyle w:val="19"/>
            </w:pPr>
            <w:r>
              <w:t>1045.24</w:t>
            </w:r>
          </w:p>
        </w:tc>
        <w:tc>
          <w:tcPr>
            <w:tcW w:w="1134" w:type="dxa"/>
            <w:vAlign w:val="center"/>
          </w:tcPr>
          <w:p>
            <w:pPr>
              <w:pStyle w:val="19"/>
            </w:pPr>
            <w:r>
              <w:t>1045.19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0.05</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845.48</w:t>
            </w:r>
          </w:p>
        </w:tc>
        <w:tc>
          <w:tcPr>
            <w:tcW w:w="1134" w:type="dxa"/>
            <w:vAlign w:val="center"/>
          </w:tcPr>
          <w:p>
            <w:pPr>
              <w:pStyle w:val="15"/>
            </w:pPr>
            <w:r>
              <w:t>845.48</w:t>
            </w:r>
          </w:p>
        </w:tc>
        <w:tc>
          <w:tcPr>
            <w:tcW w:w="1134" w:type="dxa"/>
            <w:vAlign w:val="center"/>
          </w:tcPr>
          <w:p>
            <w:pPr>
              <w:pStyle w:val="15"/>
            </w:pPr>
            <w:r>
              <w:t>845.43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0.05</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845.48</w:t>
            </w:r>
          </w:p>
        </w:tc>
        <w:tc>
          <w:tcPr>
            <w:tcW w:w="1134" w:type="dxa"/>
            <w:vAlign w:val="center"/>
          </w:tcPr>
          <w:p>
            <w:pPr>
              <w:pStyle w:val="15"/>
            </w:pPr>
            <w:r>
              <w:t>845.48</w:t>
            </w:r>
          </w:p>
        </w:tc>
        <w:tc>
          <w:tcPr>
            <w:tcW w:w="1134" w:type="dxa"/>
            <w:vAlign w:val="center"/>
          </w:tcPr>
          <w:p>
            <w:pPr>
              <w:pStyle w:val="15"/>
            </w:pPr>
            <w:r>
              <w:t>845.43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0.05</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608.17</w:t>
            </w:r>
          </w:p>
        </w:tc>
        <w:tc>
          <w:tcPr>
            <w:tcW w:w="1134" w:type="dxa"/>
            <w:vAlign w:val="center"/>
          </w:tcPr>
          <w:p>
            <w:pPr>
              <w:pStyle w:val="15"/>
            </w:pPr>
            <w:r>
              <w:t>608.17</w:t>
            </w:r>
          </w:p>
        </w:tc>
        <w:tc>
          <w:tcPr>
            <w:tcW w:w="1134" w:type="dxa"/>
            <w:vAlign w:val="center"/>
          </w:tcPr>
          <w:p>
            <w:pPr>
              <w:pStyle w:val="15"/>
            </w:pPr>
            <w:r>
              <w:t>608.17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180.45</w:t>
            </w:r>
          </w:p>
        </w:tc>
        <w:tc>
          <w:tcPr>
            <w:tcW w:w="1134" w:type="dxa"/>
            <w:vAlign w:val="center"/>
          </w:tcPr>
          <w:p>
            <w:pPr>
              <w:pStyle w:val="15"/>
            </w:pPr>
            <w:r>
              <w:t>180.45</w:t>
            </w:r>
          </w:p>
        </w:tc>
        <w:tc>
          <w:tcPr>
            <w:tcW w:w="1134" w:type="dxa"/>
            <w:vAlign w:val="center"/>
          </w:tcPr>
          <w:p>
            <w:pPr>
              <w:pStyle w:val="15"/>
            </w:pPr>
            <w:r>
              <w:t>180.40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0.05</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56.86</w:t>
            </w:r>
          </w:p>
        </w:tc>
        <w:tc>
          <w:tcPr>
            <w:tcW w:w="1134" w:type="dxa"/>
            <w:vAlign w:val="center"/>
          </w:tcPr>
          <w:p>
            <w:pPr>
              <w:pStyle w:val="15"/>
            </w:pPr>
            <w:r>
              <w:t>56.86</w:t>
            </w:r>
          </w:p>
        </w:tc>
        <w:tc>
          <w:tcPr>
            <w:tcW w:w="1134" w:type="dxa"/>
            <w:vAlign w:val="center"/>
          </w:tcPr>
          <w:p>
            <w:pPr>
              <w:pStyle w:val="15"/>
            </w:pPr>
            <w:r>
              <w:t>56.86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125.22</w:t>
            </w:r>
          </w:p>
        </w:tc>
        <w:tc>
          <w:tcPr>
            <w:tcW w:w="1134" w:type="dxa"/>
            <w:vAlign w:val="center"/>
          </w:tcPr>
          <w:p>
            <w:pPr>
              <w:pStyle w:val="15"/>
            </w:pPr>
            <w:r>
              <w:t>125.22</w:t>
            </w:r>
          </w:p>
        </w:tc>
        <w:tc>
          <w:tcPr>
            <w:tcW w:w="1134" w:type="dxa"/>
            <w:vAlign w:val="center"/>
          </w:tcPr>
          <w:p>
            <w:pPr>
              <w:pStyle w:val="15"/>
            </w:pPr>
            <w:r>
              <w:t>125.22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125.22</w:t>
            </w:r>
          </w:p>
        </w:tc>
        <w:tc>
          <w:tcPr>
            <w:tcW w:w="1134" w:type="dxa"/>
            <w:vAlign w:val="center"/>
          </w:tcPr>
          <w:p>
            <w:pPr>
              <w:pStyle w:val="15"/>
            </w:pPr>
            <w:r>
              <w:t>125.22</w:t>
            </w:r>
          </w:p>
        </w:tc>
        <w:tc>
          <w:tcPr>
            <w:tcW w:w="1134" w:type="dxa"/>
            <w:vAlign w:val="center"/>
          </w:tcPr>
          <w:p>
            <w:pPr>
              <w:pStyle w:val="15"/>
            </w:pPr>
            <w:r>
              <w:t>125.22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53.78</w:t>
            </w:r>
          </w:p>
        </w:tc>
        <w:tc>
          <w:tcPr>
            <w:tcW w:w="1134" w:type="dxa"/>
            <w:vAlign w:val="center"/>
          </w:tcPr>
          <w:p>
            <w:pPr>
              <w:pStyle w:val="15"/>
            </w:pPr>
            <w:r>
              <w:t>53.78</w:t>
            </w:r>
          </w:p>
        </w:tc>
        <w:tc>
          <w:tcPr>
            <w:tcW w:w="1134" w:type="dxa"/>
            <w:vAlign w:val="center"/>
          </w:tcPr>
          <w:p>
            <w:pPr>
              <w:pStyle w:val="15"/>
            </w:pPr>
            <w:r>
              <w:t>53.78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12.67</w:t>
            </w:r>
          </w:p>
        </w:tc>
        <w:tc>
          <w:tcPr>
            <w:tcW w:w="1134" w:type="dxa"/>
            <w:vAlign w:val="center"/>
          </w:tcPr>
          <w:p>
            <w:pPr>
              <w:pStyle w:val="15"/>
            </w:pPr>
            <w:r>
              <w:t>12.67</w:t>
            </w:r>
          </w:p>
        </w:tc>
        <w:tc>
          <w:tcPr>
            <w:tcW w:w="1134" w:type="dxa"/>
            <w:vAlign w:val="center"/>
          </w:tcPr>
          <w:p>
            <w:pPr>
              <w:pStyle w:val="15"/>
            </w:pPr>
            <w:r>
              <w:t>12.67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58.77</w:t>
            </w:r>
          </w:p>
        </w:tc>
        <w:tc>
          <w:tcPr>
            <w:tcW w:w="1134" w:type="dxa"/>
            <w:vAlign w:val="center"/>
          </w:tcPr>
          <w:p>
            <w:pPr>
              <w:pStyle w:val="15"/>
            </w:pPr>
            <w:r>
              <w:t>58.77</w:t>
            </w:r>
          </w:p>
        </w:tc>
        <w:tc>
          <w:tcPr>
            <w:tcW w:w="1134" w:type="dxa"/>
            <w:vAlign w:val="center"/>
          </w:tcPr>
          <w:p>
            <w:pPr>
              <w:pStyle w:val="15"/>
            </w:pPr>
            <w:r>
              <w:t>58.77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r>
              <w:t>26.32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r>
              <w:t>48.22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1045.24</w:t>
            </w:r>
          </w:p>
        </w:tc>
        <w:tc>
          <w:tcPr>
            <w:tcW w:w="1361" w:type="dxa"/>
            <w:vAlign w:val="center"/>
          </w:tcPr>
          <w:p>
            <w:pPr>
              <w:pStyle w:val="19"/>
            </w:pPr>
            <w:r>
              <w:t>864.79</w:t>
            </w:r>
          </w:p>
        </w:tc>
        <w:tc>
          <w:tcPr>
            <w:tcW w:w="1361" w:type="dxa"/>
            <w:vAlign w:val="center"/>
          </w:tcPr>
          <w:p>
            <w:pPr>
              <w:pStyle w:val="19"/>
            </w:pPr>
            <w:r>
              <w:t>180.45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845.48</w:t>
            </w:r>
          </w:p>
        </w:tc>
        <w:tc>
          <w:tcPr>
            <w:tcW w:w="1361" w:type="dxa"/>
            <w:vAlign w:val="center"/>
          </w:tcPr>
          <w:p>
            <w:pPr>
              <w:pStyle w:val="15"/>
            </w:pPr>
            <w:r>
              <w:t>665.03</w:t>
            </w:r>
          </w:p>
        </w:tc>
        <w:tc>
          <w:tcPr>
            <w:tcW w:w="1361" w:type="dxa"/>
            <w:vAlign w:val="center"/>
          </w:tcPr>
          <w:p>
            <w:pPr>
              <w:pStyle w:val="15"/>
            </w:pPr>
            <w:r>
              <w:t>180.45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845.48</w:t>
            </w:r>
          </w:p>
        </w:tc>
        <w:tc>
          <w:tcPr>
            <w:tcW w:w="1361" w:type="dxa"/>
            <w:vAlign w:val="center"/>
          </w:tcPr>
          <w:p>
            <w:pPr>
              <w:pStyle w:val="15"/>
            </w:pPr>
            <w:r>
              <w:t>665.03</w:t>
            </w:r>
          </w:p>
        </w:tc>
        <w:tc>
          <w:tcPr>
            <w:tcW w:w="1361" w:type="dxa"/>
            <w:vAlign w:val="center"/>
          </w:tcPr>
          <w:p>
            <w:pPr>
              <w:pStyle w:val="15"/>
            </w:pPr>
            <w:r>
              <w:t>180.45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608.17</w:t>
            </w:r>
          </w:p>
        </w:tc>
        <w:tc>
          <w:tcPr>
            <w:tcW w:w="1361" w:type="dxa"/>
            <w:vAlign w:val="center"/>
          </w:tcPr>
          <w:p>
            <w:pPr>
              <w:pStyle w:val="15"/>
            </w:pPr>
            <w:r>
              <w:t>608.17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180.45</w:t>
            </w:r>
          </w:p>
        </w:tc>
        <w:tc>
          <w:tcPr>
            <w:tcW w:w="1361" w:type="dxa"/>
            <w:vAlign w:val="center"/>
          </w:tcPr>
          <w:p>
            <w:pPr>
              <w:pStyle w:val="15"/>
            </w:pPr>
          </w:p>
        </w:tc>
        <w:tc>
          <w:tcPr>
            <w:tcW w:w="1361" w:type="dxa"/>
            <w:vAlign w:val="center"/>
          </w:tcPr>
          <w:p>
            <w:pPr>
              <w:pStyle w:val="15"/>
            </w:pPr>
            <w:r>
              <w:t>180.45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56.86</w:t>
            </w:r>
          </w:p>
        </w:tc>
        <w:tc>
          <w:tcPr>
            <w:tcW w:w="1361" w:type="dxa"/>
            <w:vAlign w:val="center"/>
          </w:tcPr>
          <w:p>
            <w:pPr>
              <w:pStyle w:val="15"/>
            </w:pPr>
            <w:r>
              <w:t>56.86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125.22</w:t>
            </w:r>
          </w:p>
        </w:tc>
        <w:tc>
          <w:tcPr>
            <w:tcW w:w="1361" w:type="dxa"/>
            <w:vAlign w:val="center"/>
          </w:tcPr>
          <w:p>
            <w:pPr>
              <w:pStyle w:val="15"/>
            </w:pPr>
            <w:r>
              <w:t>125.22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125.22</w:t>
            </w:r>
          </w:p>
        </w:tc>
        <w:tc>
          <w:tcPr>
            <w:tcW w:w="1361" w:type="dxa"/>
            <w:vAlign w:val="center"/>
          </w:tcPr>
          <w:p>
            <w:pPr>
              <w:pStyle w:val="15"/>
            </w:pPr>
            <w:r>
              <w:t>125.22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53.78</w:t>
            </w:r>
          </w:p>
        </w:tc>
        <w:tc>
          <w:tcPr>
            <w:tcW w:w="1361" w:type="dxa"/>
            <w:vAlign w:val="center"/>
          </w:tcPr>
          <w:p>
            <w:pPr>
              <w:pStyle w:val="15"/>
            </w:pPr>
            <w:r>
              <w:t>53.78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12.67</w:t>
            </w:r>
          </w:p>
        </w:tc>
        <w:tc>
          <w:tcPr>
            <w:tcW w:w="1361" w:type="dxa"/>
            <w:vAlign w:val="center"/>
          </w:tcPr>
          <w:p>
            <w:pPr>
              <w:pStyle w:val="15"/>
            </w:pPr>
            <w:r>
              <w:t>12.67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58.77</w:t>
            </w:r>
          </w:p>
        </w:tc>
        <w:tc>
          <w:tcPr>
            <w:tcW w:w="1361" w:type="dxa"/>
            <w:vAlign w:val="center"/>
          </w:tcPr>
          <w:p>
            <w:pPr>
              <w:pStyle w:val="15"/>
            </w:pPr>
            <w:r>
              <w:t>58.77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26.32</w:t>
            </w:r>
          </w:p>
        </w:tc>
        <w:tc>
          <w:tcPr>
            <w:tcW w:w="1361" w:type="dxa"/>
            <w:vAlign w:val="center"/>
          </w:tcPr>
          <w:p>
            <w:pPr>
              <w:pStyle w:val="15"/>
            </w:pPr>
            <w:r>
              <w:t>26.32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26.32</w:t>
            </w:r>
          </w:p>
        </w:tc>
        <w:tc>
          <w:tcPr>
            <w:tcW w:w="1361" w:type="dxa"/>
            <w:vAlign w:val="center"/>
          </w:tcPr>
          <w:p>
            <w:pPr>
              <w:pStyle w:val="15"/>
            </w:pPr>
            <w:r>
              <w:t>26.32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26.32</w:t>
            </w:r>
          </w:p>
        </w:tc>
        <w:tc>
          <w:tcPr>
            <w:tcW w:w="1361" w:type="dxa"/>
            <w:vAlign w:val="center"/>
          </w:tcPr>
          <w:p>
            <w:pPr>
              <w:pStyle w:val="15"/>
            </w:pPr>
            <w:r>
              <w:t>26.32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48.22</w:t>
            </w:r>
          </w:p>
        </w:tc>
        <w:tc>
          <w:tcPr>
            <w:tcW w:w="1361" w:type="dxa"/>
            <w:vAlign w:val="center"/>
          </w:tcPr>
          <w:p>
            <w:pPr>
              <w:pStyle w:val="15"/>
            </w:pPr>
            <w:r>
              <w:t>48.22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48.22</w:t>
            </w:r>
          </w:p>
        </w:tc>
        <w:tc>
          <w:tcPr>
            <w:tcW w:w="1361" w:type="dxa"/>
            <w:vAlign w:val="center"/>
          </w:tcPr>
          <w:p>
            <w:pPr>
              <w:pStyle w:val="15"/>
            </w:pPr>
            <w:r>
              <w:t>48.22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48.22</w:t>
            </w:r>
          </w:p>
        </w:tc>
        <w:tc>
          <w:tcPr>
            <w:tcW w:w="1361" w:type="dxa"/>
            <w:vAlign w:val="center"/>
          </w:tcPr>
          <w:p>
            <w:pPr>
              <w:pStyle w:val="15"/>
            </w:pPr>
            <w:r>
              <w:t>48.22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1045.19</w:t>
            </w:r>
          </w:p>
        </w:tc>
        <w:tc>
          <w:tcPr>
            <w:tcW w:w="3402" w:type="dxa"/>
            <w:vAlign w:val="center"/>
          </w:tcPr>
          <w:p>
            <w:pPr>
              <w:pStyle w:val="16"/>
            </w:pPr>
            <w:r>
              <w:t>一、一般公共服务支出</w:t>
            </w:r>
          </w:p>
        </w:tc>
        <w:tc>
          <w:tcPr>
            <w:tcW w:w="1474" w:type="dxa"/>
            <w:vAlign w:val="center"/>
          </w:tcPr>
          <w:p>
            <w:pPr>
              <w:pStyle w:val="15"/>
            </w:pPr>
            <w:r>
              <w:t>845.43</w:t>
            </w:r>
          </w:p>
        </w:tc>
        <w:tc>
          <w:tcPr>
            <w:tcW w:w="1474" w:type="dxa"/>
            <w:vAlign w:val="center"/>
          </w:tcPr>
          <w:p>
            <w:pPr>
              <w:pStyle w:val="15"/>
            </w:pPr>
            <w:r>
              <w:t>845.43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125.22</w:t>
            </w:r>
          </w:p>
        </w:tc>
        <w:tc>
          <w:tcPr>
            <w:tcW w:w="1474" w:type="dxa"/>
            <w:vAlign w:val="center"/>
          </w:tcPr>
          <w:p>
            <w:pPr>
              <w:pStyle w:val="15"/>
            </w:pPr>
            <w:r>
              <w:t>125.22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26.32</w:t>
            </w:r>
          </w:p>
        </w:tc>
        <w:tc>
          <w:tcPr>
            <w:tcW w:w="1474" w:type="dxa"/>
            <w:vAlign w:val="center"/>
          </w:tcPr>
          <w:p>
            <w:pPr>
              <w:pStyle w:val="15"/>
            </w:pPr>
            <w:r>
              <w:t>26.32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48.22</w:t>
            </w:r>
          </w:p>
        </w:tc>
        <w:tc>
          <w:tcPr>
            <w:tcW w:w="1474" w:type="dxa"/>
            <w:vAlign w:val="center"/>
          </w:tcPr>
          <w:p>
            <w:pPr>
              <w:pStyle w:val="15"/>
            </w:pPr>
            <w:r>
              <w:t>48.22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1045.19</w:t>
            </w:r>
          </w:p>
        </w:tc>
        <w:tc>
          <w:tcPr>
            <w:tcW w:w="3402" w:type="dxa"/>
            <w:vAlign w:val="center"/>
          </w:tcPr>
          <w:p>
            <w:pPr>
              <w:pStyle w:val="18"/>
            </w:pPr>
            <w:r>
              <w:t>本年支出合计</w:t>
            </w:r>
          </w:p>
        </w:tc>
        <w:tc>
          <w:tcPr>
            <w:tcW w:w="1474" w:type="dxa"/>
            <w:vAlign w:val="center"/>
          </w:tcPr>
          <w:p>
            <w:pPr>
              <w:pStyle w:val="19"/>
            </w:pPr>
            <w:r>
              <w:t>1045.19</w:t>
            </w:r>
          </w:p>
        </w:tc>
        <w:tc>
          <w:tcPr>
            <w:tcW w:w="1474" w:type="dxa"/>
            <w:vAlign w:val="center"/>
          </w:tcPr>
          <w:p>
            <w:pPr>
              <w:pStyle w:val="19"/>
            </w:pPr>
            <w:r>
              <w:t>1045.19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1045.19</w:t>
            </w:r>
          </w:p>
        </w:tc>
        <w:tc>
          <w:tcPr>
            <w:tcW w:w="3402" w:type="dxa"/>
            <w:vAlign w:val="center"/>
          </w:tcPr>
          <w:p>
            <w:pPr>
              <w:pStyle w:val="18"/>
            </w:pPr>
            <w:r>
              <w:t>支出总计</w:t>
            </w:r>
          </w:p>
        </w:tc>
        <w:tc>
          <w:tcPr>
            <w:tcW w:w="1474" w:type="dxa"/>
            <w:vAlign w:val="center"/>
          </w:tcPr>
          <w:p>
            <w:pPr>
              <w:pStyle w:val="19"/>
            </w:pPr>
            <w:r>
              <w:t>1045.19</w:t>
            </w:r>
          </w:p>
        </w:tc>
        <w:tc>
          <w:tcPr>
            <w:tcW w:w="1474" w:type="dxa"/>
            <w:vAlign w:val="center"/>
          </w:tcPr>
          <w:p>
            <w:pPr>
              <w:pStyle w:val="19"/>
            </w:pPr>
            <w:r>
              <w:t>1045.19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1045.19</w:t>
            </w:r>
          </w:p>
        </w:tc>
        <w:tc>
          <w:tcPr>
            <w:tcW w:w="2551" w:type="dxa"/>
            <w:vAlign w:val="center"/>
          </w:tcPr>
          <w:p>
            <w:pPr>
              <w:pStyle w:val="19"/>
            </w:pPr>
            <w:r>
              <w:t>864.79</w:t>
            </w:r>
          </w:p>
        </w:tc>
        <w:tc>
          <w:tcPr>
            <w:tcW w:w="2551" w:type="dxa"/>
            <w:vAlign w:val="center"/>
          </w:tcPr>
          <w:p>
            <w:pPr>
              <w:pStyle w:val="19"/>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845.43</w:t>
            </w:r>
          </w:p>
        </w:tc>
        <w:tc>
          <w:tcPr>
            <w:tcW w:w="2551" w:type="dxa"/>
            <w:vAlign w:val="center"/>
          </w:tcPr>
          <w:p>
            <w:pPr>
              <w:pStyle w:val="15"/>
            </w:pPr>
            <w:r>
              <w:t>665.03</w:t>
            </w:r>
          </w:p>
        </w:tc>
        <w:tc>
          <w:tcPr>
            <w:tcW w:w="2551" w:type="dxa"/>
            <w:vAlign w:val="center"/>
          </w:tcPr>
          <w:p>
            <w:pPr>
              <w:pStyle w:val="15"/>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845.43</w:t>
            </w:r>
          </w:p>
        </w:tc>
        <w:tc>
          <w:tcPr>
            <w:tcW w:w="2551" w:type="dxa"/>
            <w:vAlign w:val="center"/>
          </w:tcPr>
          <w:p>
            <w:pPr>
              <w:pStyle w:val="15"/>
            </w:pPr>
            <w:r>
              <w:t>665.03</w:t>
            </w:r>
          </w:p>
        </w:tc>
        <w:tc>
          <w:tcPr>
            <w:tcW w:w="2551" w:type="dxa"/>
            <w:vAlign w:val="center"/>
          </w:tcPr>
          <w:p>
            <w:pPr>
              <w:pStyle w:val="15"/>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608.17</w:t>
            </w:r>
          </w:p>
        </w:tc>
        <w:tc>
          <w:tcPr>
            <w:tcW w:w="2551" w:type="dxa"/>
            <w:vAlign w:val="center"/>
          </w:tcPr>
          <w:p>
            <w:pPr>
              <w:pStyle w:val="15"/>
            </w:pPr>
            <w:r>
              <w:t>608.17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180.40</w:t>
            </w:r>
          </w:p>
        </w:tc>
        <w:tc>
          <w:tcPr>
            <w:tcW w:w="2551" w:type="dxa"/>
            <w:vAlign w:val="center"/>
          </w:tcPr>
          <w:p>
            <w:pPr>
              <w:pStyle w:val="15"/>
            </w:pPr>
          </w:p>
        </w:tc>
        <w:tc>
          <w:tcPr>
            <w:tcW w:w="2551" w:type="dxa"/>
            <w:vAlign w:val="center"/>
          </w:tcPr>
          <w:p>
            <w:pPr>
              <w:pStyle w:val="15"/>
            </w:pPr>
            <w:r>
              <w:t>180.40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56.86</w:t>
            </w:r>
          </w:p>
        </w:tc>
        <w:tc>
          <w:tcPr>
            <w:tcW w:w="2551" w:type="dxa"/>
            <w:vAlign w:val="center"/>
          </w:tcPr>
          <w:p>
            <w:pPr>
              <w:pStyle w:val="15"/>
            </w:pPr>
            <w:r>
              <w:t>56.86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125.22</w:t>
            </w:r>
          </w:p>
        </w:tc>
        <w:tc>
          <w:tcPr>
            <w:tcW w:w="2551" w:type="dxa"/>
            <w:vAlign w:val="center"/>
          </w:tcPr>
          <w:p>
            <w:pPr>
              <w:pStyle w:val="15"/>
            </w:pPr>
            <w:r>
              <w:t>125.22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125.22</w:t>
            </w:r>
          </w:p>
        </w:tc>
        <w:tc>
          <w:tcPr>
            <w:tcW w:w="2551" w:type="dxa"/>
            <w:vAlign w:val="center"/>
          </w:tcPr>
          <w:p>
            <w:pPr>
              <w:pStyle w:val="15"/>
            </w:pPr>
            <w:r>
              <w:t>125.22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53.78</w:t>
            </w:r>
          </w:p>
        </w:tc>
        <w:tc>
          <w:tcPr>
            <w:tcW w:w="2551" w:type="dxa"/>
            <w:vAlign w:val="center"/>
          </w:tcPr>
          <w:p>
            <w:pPr>
              <w:pStyle w:val="15"/>
            </w:pPr>
            <w:r>
              <w:t>53.78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12.67</w:t>
            </w:r>
          </w:p>
        </w:tc>
        <w:tc>
          <w:tcPr>
            <w:tcW w:w="2551" w:type="dxa"/>
            <w:vAlign w:val="center"/>
          </w:tcPr>
          <w:p>
            <w:pPr>
              <w:pStyle w:val="15"/>
            </w:pPr>
            <w:r>
              <w:t>12.67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58.77</w:t>
            </w:r>
          </w:p>
        </w:tc>
        <w:tc>
          <w:tcPr>
            <w:tcW w:w="2551" w:type="dxa"/>
            <w:vAlign w:val="center"/>
          </w:tcPr>
          <w:p>
            <w:pPr>
              <w:pStyle w:val="15"/>
            </w:pPr>
            <w:r>
              <w:t>58.77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26.32</w:t>
            </w:r>
          </w:p>
        </w:tc>
        <w:tc>
          <w:tcPr>
            <w:tcW w:w="2551" w:type="dxa"/>
            <w:vAlign w:val="center"/>
          </w:tcPr>
          <w:p>
            <w:pPr>
              <w:pStyle w:val="15"/>
            </w:pPr>
            <w:r>
              <w:t>26.32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26.32</w:t>
            </w:r>
          </w:p>
        </w:tc>
        <w:tc>
          <w:tcPr>
            <w:tcW w:w="2551" w:type="dxa"/>
            <w:vAlign w:val="center"/>
          </w:tcPr>
          <w:p>
            <w:pPr>
              <w:pStyle w:val="15"/>
            </w:pPr>
            <w:r>
              <w:t>26.32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26.32</w:t>
            </w:r>
          </w:p>
        </w:tc>
        <w:tc>
          <w:tcPr>
            <w:tcW w:w="2551" w:type="dxa"/>
            <w:vAlign w:val="center"/>
          </w:tcPr>
          <w:p>
            <w:pPr>
              <w:pStyle w:val="15"/>
            </w:pPr>
            <w:r>
              <w:t>26.32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48.22</w:t>
            </w:r>
          </w:p>
        </w:tc>
        <w:tc>
          <w:tcPr>
            <w:tcW w:w="2551" w:type="dxa"/>
            <w:vAlign w:val="center"/>
          </w:tcPr>
          <w:p>
            <w:pPr>
              <w:pStyle w:val="15"/>
            </w:pPr>
            <w:r>
              <w:t>48.22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48.22</w:t>
            </w:r>
          </w:p>
        </w:tc>
        <w:tc>
          <w:tcPr>
            <w:tcW w:w="2551" w:type="dxa"/>
            <w:vAlign w:val="center"/>
          </w:tcPr>
          <w:p>
            <w:pPr>
              <w:pStyle w:val="15"/>
            </w:pPr>
            <w:r>
              <w:t>48.22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48.22</w:t>
            </w:r>
          </w:p>
        </w:tc>
        <w:tc>
          <w:tcPr>
            <w:tcW w:w="2551" w:type="dxa"/>
            <w:vAlign w:val="center"/>
          </w:tcPr>
          <w:p>
            <w:pPr>
              <w:pStyle w:val="15"/>
            </w:pPr>
            <w:r>
              <w:t>48.22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864.79</w:t>
            </w:r>
          </w:p>
        </w:tc>
        <w:tc>
          <w:tcPr>
            <w:tcW w:w="2551" w:type="dxa"/>
            <w:vAlign w:val="center"/>
          </w:tcPr>
          <w:p>
            <w:pPr>
              <w:pStyle w:val="19"/>
            </w:pPr>
            <w:r>
              <w:t>718.73</w:t>
            </w:r>
          </w:p>
        </w:tc>
        <w:tc>
          <w:tcPr>
            <w:tcW w:w="2551" w:type="dxa"/>
            <w:vAlign w:val="center"/>
          </w:tcPr>
          <w:p>
            <w:pPr>
              <w:pStyle w:val="19"/>
            </w:pPr>
            <w:r>
              <w:t>146.06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648.34</w:t>
            </w:r>
          </w:p>
        </w:tc>
        <w:tc>
          <w:tcPr>
            <w:tcW w:w="2551" w:type="dxa"/>
            <w:vAlign w:val="center"/>
          </w:tcPr>
          <w:p>
            <w:pPr>
              <w:pStyle w:val="15"/>
            </w:pPr>
            <w:r>
              <w:t>648.34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163.86</w:t>
            </w:r>
          </w:p>
        </w:tc>
        <w:tc>
          <w:tcPr>
            <w:tcW w:w="2551" w:type="dxa"/>
            <w:vAlign w:val="center"/>
          </w:tcPr>
          <w:p>
            <w:pPr>
              <w:pStyle w:val="15"/>
            </w:pPr>
            <w:r>
              <w:t>163.86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138.34</w:t>
            </w:r>
          </w:p>
        </w:tc>
        <w:tc>
          <w:tcPr>
            <w:tcW w:w="2551" w:type="dxa"/>
            <w:vAlign w:val="center"/>
          </w:tcPr>
          <w:p>
            <w:pPr>
              <w:pStyle w:val="15"/>
            </w:pPr>
            <w:r>
              <w:t>138.34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85.09</w:t>
            </w:r>
          </w:p>
        </w:tc>
        <w:tc>
          <w:tcPr>
            <w:tcW w:w="2551" w:type="dxa"/>
            <w:vAlign w:val="center"/>
          </w:tcPr>
          <w:p>
            <w:pPr>
              <w:pStyle w:val="15"/>
            </w:pPr>
            <w:r>
              <w:t>85.09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13.22</w:t>
            </w:r>
          </w:p>
        </w:tc>
        <w:tc>
          <w:tcPr>
            <w:tcW w:w="2551" w:type="dxa"/>
            <w:vAlign w:val="center"/>
          </w:tcPr>
          <w:p>
            <w:pPr>
              <w:pStyle w:val="15"/>
            </w:pPr>
            <w:r>
              <w:t>13.22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58.77</w:t>
            </w:r>
          </w:p>
        </w:tc>
        <w:tc>
          <w:tcPr>
            <w:tcW w:w="2551" w:type="dxa"/>
            <w:vAlign w:val="center"/>
          </w:tcPr>
          <w:p>
            <w:pPr>
              <w:pStyle w:val="15"/>
            </w:pPr>
            <w:r>
              <w:t>58.77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25.93</w:t>
            </w:r>
          </w:p>
        </w:tc>
        <w:tc>
          <w:tcPr>
            <w:tcW w:w="2551" w:type="dxa"/>
            <w:vAlign w:val="center"/>
          </w:tcPr>
          <w:p>
            <w:pPr>
              <w:pStyle w:val="15"/>
            </w:pPr>
            <w:r>
              <w:t>25.93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2.08</w:t>
            </w:r>
          </w:p>
        </w:tc>
        <w:tc>
          <w:tcPr>
            <w:tcW w:w="2551" w:type="dxa"/>
            <w:vAlign w:val="center"/>
          </w:tcPr>
          <w:p>
            <w:pPr>
              <w:pStyle w:val="15"/>
            </w:pPr>
            <w:r>
              <w:t>2.08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48.22</w:t>
            </w:r>
          </w:p>
        </w:tc>
        <w:tc>
          <w:tcPr>
            <w:tcW w:w="2551" w:type="dxa"/>
            <w:vAlign w:val="center"/>
          </w:tcPr>
          <w:p>
            <w:pPr>
              <w:pStyle w:val="15"/>
            </w:pPr>
            <w:r>
              <w:t>48.22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112.84</w:t>
            </w:r>
          </w:p>
        </w:tc>
        <w:tc>
          <w:tcPr>
            <w:tcW w:w="2551" w:type="dxa"/>
            <w:vAlign w:val="center"/>
          </w:tcPr>
          <w:p>
            <w:pPr>
              <w:pStyle w:val="15"/>
            </w:pPr>
            <w:r>
              <w:t>112.84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146.06</w:t>
            </w:r>
          </w:p>
        </w:tc>
        <w:tc>
          <w:tcPr>
            <w:tcW w:w="2551" w:type="dxa"/>
            <w:vAlign w:val="center"/>
          </w:tcPr>
          <w:p>
            <w:pPr>
              <w:pStyle w:val="15"/>
            </w:pPr>
          </w:p>
        </w:tc>
        <w:tc>
          <w:tcPr>
            <w:tcW w:w="2551" w:type="dxa"/>
            <w:vAlign w:val="center"/>
          </w:tcPr>
          <w:p>
            <w:pPr>
              <w:pStyle w:val="15"/>
            </w:pPr>
            <w:r>
              <w:t>146.06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10.53</w:t>
            </w:r>
          </w:p>
        </w:tc>
        <w:tc>
          <w:tcPr>
            <w:tcW w:w="2551" w:type="dxa"/>
            <w:vAlign w:val="center"/>
          </w:tcPr>
          <w:p>
            <w:pPr>
              <w:pStyle w:val="15"/>
            </w:pPr>
          </w:p>
        </w:tc>
        <w:tc>
          <w:tcPr>
            <w:tcW w:w="2551" w:type="dxa"/>
            <w:vAlign w:val="center"/>
          </w:tcPr>
          <w:p>
            <w:pPr>
              <w:pStyle w:val="15"/>
            </w:pPr>
            <w: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18.58</w:t>
            </w:r>
          </w:p>
        </w:tc>
        <w:tc>
          <w:tcPr>
            <w:tcW w:w="2551" w:type="dxa"/>
            <w:vAlign w:val="center"/>
          </w:tcPr>
          <w:p>
            <w:pPr>
              <w:pStyle w:val="15"/>
            </w:pPr>
          </w:p>
        </w:tc>
        <w:tc>
          <w:tcPr>
            <w:tcW w:w="2551" w:type="dxa"/>
            <w:vAlign w:val="center"/>
          </w:tcPr>
          <w:p>
            <w:pPr>
              <w:pStyle w:val="15"/>
            </w:pPr>
            <w:r>
              <w:t>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23.35</w:t>
            </w:r>
          </w:p>
        </w:tc>
        <w:tc>
          <w:tcPr>
            <w:tcW w:w="2551" w:type="dxa"/>
            <w:vAlign w:val="center"/>
          </w:tcPr>
          <w:p>
            <w:pPr>
              <w:pStyle w:val="15"/>
            </w:pPr>
          </w:p>
        </w:tc>
        <w:tc>
          <w:tcPr>
            <w:tcW w:w="2551" w:type="dxa"/>
            <w:vAlign w:val="center"/>
          </w:tcPr>
          <w:p>
            <w:pPr>
              <w:pStyle w:val="15"/>
            </w:pPr>
            <w:r>
              <w:t>23.35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40.72</w:t>
            </w:r>
          </w:p>
        </w:tc>
        <w:tc>
          <w:tcPr>
            <w:tcW w:w="2551" w:type="dxa"/>
            <w:vAlign w:val="center"/>
          </w:tcPr>
          <w:p>
            <w:pPr>
              <w:pStyle w:val="15"/>
            </w:pPr>
          </w:p>
        </w:tc>
        <w:tc>
          <w:tcPr>
            <w:tcW w:w="2551" w:type="dxa"/>
            <w:vAlign w:val="center"/>
          </w:tcPr>
          <w:p>
            <w:pPr>
              <w:pStyle w:val="15"/>
            </w:pPr>
            <w:r>
              <w:t>40.72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5.89</w:t>
            </w:r>
          </w:p>
        </w:tc>
        <w:tc>
          <w:tcPr>
            <w:tcW w:w="2551" w:type="dxa"/>
            <w:vAlign w:val="center"/>
          </w:tcPr>
          <w:p>
            <w:pPr>
              <w:pStyle w:val="15"/>
            </w:pPr>
          </w:p>
        </w:tc>
        <w:tc>
          <w:tcPr>
            <w:tcW w:w="2551" w:type="dxa"/>
            <w:vAlign w:val="center"/>
          </w:tcPr>
          <w:p>
            <w:pPr>
              <w:pStyle w:val="15"/>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4.10</w:t>
            </w:r>
          </w:p>
        </w:tc>
        <w:tc>
          <w:tcPr>
            <w:tcW w:w="2551" w:type="dxa"/>
            <w:vAlign w:val="center"/>
          </w:tcPr>
          <w:p>
            <w:pPr>
              <w:pStyle w:val="15"/>
            </w:pPr>
          </w:p>
        </w:tc>
        <w:tc>
          <w:tcPr>
            <w:tcW w:w="2551" w:type="dxa"/>
            <w:vAlign w:val="center"/>
          </w:tcPr>
          <w:p>
            <w:pPr>
              <w:pStyle w:val="15"/>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17.01</w:t>
            </w:r>
          </w:p>
        </w:tc>
        <w:tc>
          <w:tcPr>
            <w:tcW w:w="2551" w:type="dxa"/>
            <w:vAlign w:val="center"/>
          </w:tcPr>
          <w:p>
            <w:pPr>
              <w:pStyle w:val="15"/>
            </w:pPr>
          </w:p>
        </w:tc>
        <w:tc>
          <w:tcPr>
            <w:tcW w:w="2551" w:type="dxa"/>
            <w:vAlign w:val="center"/>
          </w:tcPr>
          <w:p>
            <w:pPr>
              <w:pStyle w:val="15"/>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22.79</w:t>
            </w:r>
          </w:p>
        </w:tc>
        <w:tc>
          <w:tcPr>
            <w:tcW w:w="2551" w:type="dxa"/>
            <w:vAlign w:val="center"/>
          </w:tcPr>
          <w:p>
            <w:pPr>
              <w:pStyle w:val="15"/>
            </w:pPr>
          </w:p>
        </w:tc>
        <w:tc>
          <w:tcPr>
            <w:tcW w:w="2551" w:type="dxa"/>
            <w:vAlign w:val="center"/>
          </w:tcPr>
          <w:p>
            <w:pPr>
              <w:pStyle w:val="15"/>
            </w:pPr>
            <w:r>
              <w:t>22.79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3.10</w:t>
            </w:r>
          </w:p>
        </w:tc>
        <w:tc>
          <w:tcPr>
            <w:tcW w:w="2551" w:type="dxa"/>
            <w:vAlign w:val="center"/>
          </w:tcPr>
          <w:p>
            <w:pPr>
              <w:pStyle w:val="15"/>
            </w:pPr>
          </w:p>
        </w:tc>
        <w:tc>
          <w:tcPr>
            <w:tcW w:w="2551" w:type="dxa"/>
            <w:vAlign w:val="center"/>
          </w:tcPr>
          <w:p>
            <w:pPr>
              <w:pStyle w:val="15"/>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70.39</w:t>
            </w:r>
          </w:p>
        </w:tc>
        <w:tc>
          <w:tcPr>
            <w:tcW w:w="2551" w:type="dxa"/>
            <w:vAlign w:val="center"/>
          </w:tcPr>
          <w:p>
            <w:pPr>
              <w:pStyle w:val="15"/>
            </w:pPr>
            <w:r>
              <w:t>70.39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63.70</w:t>
            </w:r>
          </w:p>
        </w:tc>
        <w:tc>
          <w:tcPr>
            <w:tcW w:w="2551" w:type="dxa"/>
            <w:vAlign w:val="center"/>
          </w:tcPr>
          <w:p>
            <w:pPr>
              <w:pStyle w:val="15"/>
            </w:pPr>
            <w:r>
              <w:t>63.70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32.99</w:t>
            </w:r>
          </w:p>
        </w:tc>
        <w:tc>
          <w:tcPr>
            <w:tcW w:w="2381" w:type="dxa"/>
            <w:vAlign w:val="center"/>
          </w:tcPr>
          <w:p>
            <w:pPr>
              <w:pStyle w:val="19"/>
              <w:rPr>
                <w:lang w:eastAsia="zh-CN"/>
              </w:rPr>
            </w:pPr>
            <w:r>
              <w:rPr>
                <w:rFonts w:hint="eastAsia"/>
                <w:lang w:eastAsia="zh-CN"/>
              </w:rPr>
              <w:t>32.99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t>32.99</w:t>
            </w:r>
          </w:p>
        </w:tc>
        <w:tc>
          <w:tcPr>
            <w:tcW w:w="2381" w:type="dxa"/>
            <w:vAlign w:val="center"/>
          </w:tcPr>
          <w:p>
            <w:pPr>
              <w:pStyle w:val="15"/>
            </w:pPr>
            <w:r>
              <w:t>32.99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r>
              <w:t>17.01</w:t>
            </w:r>
          </w:p>
        </w:tc>
        <w:tc>
          <w:tcPr>
            <w:tcW w:w="2381" w:type="dxa"/>
            <w:vAlign w:val="center"/>
          </w:tcPr>
          <w:p>
            <w:pPr>
              <w:pStyle w:val="15"/>
            </w:pPr>
            <w:r>
              <w:t>17.01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17.01</w:t>
            </w:r>
          </w:p>
        </w:tc>
        <w:tc>
          <w:tcPr>
            <w:tcW w:w="2381" w:type="dxa"/>
            <w:vAlign w:val="center"/>
          </w:tcPr>
          <w:p>
            <w:pPr>
              <w:pStyle w:val="15"/>
            </w:pPr>
            <w:r>
              <w:t>17.01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r>
              <w:t>15.98</w:t>
            </w:r>
          </w:p>
        </w:tc>
        <w:tc>
          <w:tcPr>
            <w:tcW w:w="2381" w:type="dxa"/>
            <w:vAlign w:val="center"/>
          </w:tcPr>
          <w:p>
            <w:pPr>
              <w:pStyle w:val="15"/>
            </w:pPr>
            <w:r>
              <w:t>15.98</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保定市徐水区人民政府办公室2023年部门预算信息公开情况说明</w:t>
      </w:r>
    </w:p>
    <w:p>
      <w:pPr>
        <w:jc w:val="center"/>
      </w:pPr>
      <w:r>
        <w:rPr>
          <w:rFonts w:ascii="方正小标宋_GBK" w:hAnsi="方正小标宋_GBK" w:eastAsia="方正小标宋_GBK" w:cs="方正小标宋_GBK"/>
          <w:color w:val="000000"/>
          <w:sz w:val="44"/>
        </w:rPr>
        <w:t>保定市徐水区人民政府办公室2023年部门预算信息公开情况说明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6" w:name="_GoBack"/>
      <w:bookmarkEnd w:id="16"/>
      <w:r>
        <w:rPr>
          <w:rFonts w:eastAsia="方正仿宋_GBK"/>
          <w:color w:val="000000"/>
          <w:sz w:val="28"/>
        </w:rPr>
        <w:t>预算法》、《地方预决算公开操作规程》和《关于进一步推进预算公开工作的实施意见》规定，现将保定市徐水区人民政府办公室2023年部门预算公开如下：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根据《保定市徐水区人民政府办公室职能配置、内设机构和人员编制规定》， 保定市徐水区人民政府办公室的主要职责是：</w:t>
      </w:r>
    </w:p>
    <w:p>
      <w:pPr>
        <w:pStyle w:val="21"/>
      </w:pPr>
      <w:r>
        <w:t>保定市徐水区人民政府办公室贯彻落实党中央、省委、市委和区委关于政府工作的方针政策和决策部署，在履行职责过程中坚持和加强党对政府工作的集中统一领导。主要职责是：</w:t>
      </w:r>
    </w:p>
    <w:p>
      <w:pPr>
        <w:pStyle w:val="21"/>
      </w:pPr>
      <w:r>
        <w:t>（一）负责区政府会议的准备、组织和服务工作，协调和督办区政府会议决定的事项。</w:t>
      </w:r>
    </w:p>
    <w:p>
      <w:pPr>
        <w:pStyle w:val="21"/>
      </w:pPr>
      <w:r>
        <w:t>（二）组织起草区政府领导重要讲话及其他重要文稿。</w:t>
      </w:r>
    </w:p>
    <w:p>
      <w:pPr>
        <w:pStyle w:val="21"/>
      </w:pPr>
      <w:r>
        <w:t>（三）根据区政府领导意见，对有关事项进行协调，对部门之间出现的争议问题提出处理意见，报区政府领导决定。</w:t>
      </w:r>
    </w:p>
    <w:p>
      <w:pPr>
        <w:pStyle w:val="21"/>
      </w:pPr>
      <w:r>
        <w:t>（四）研究区政府各部门和各乡镇人民政府、城区办事处、经济开发区管委会请示区政府的事项，提出审核意见，报区政府领导审批。</w:t>
      </w:r>
    </w:p>
    <w:p>
      <w:pPr>
        <w:pStyle w:val="21"/>
      </w:pPr>
      <w:r>
        <w:t>（五）组织起草或审核上报市政府、市政府办公室和致函市政府各部门的公文，以及以区政府、区政府办公室名义发布的公文；办理区政府各部门和各乡镇人民政府、城区办事处、经济开发区管委会报送区政府的文件。</w:t>
      </w:r>
    </w:p>
    <w:p>
      <w:pPr>
        <w:pStyle w:val="21"/>
      </w:pPr>
      <w:r>
        <w:t>（六）负责区政府值班工作，及时报告重要情况。负责紧急重要事项的协调上报。</w:t>
      </w:r>
    </w:p>
    <w:p>
      <w:pPr>
        <w:pStyle w:val="21"/>
      </w:pPr>
      <w:r>
        <w:t>（七）围绕全区经济、社会发展中心工作，按照区委、区政府领导的安排和工作部署，深入调查研究，及时了解、掌握经济和社会发展动态并向区政府领导报告，提出建议。</w:t>
      </w:r>
    </w:p>
    <w:p>
      <w:pPr>
        <w:pStyle w:val="21"/>
      </w:pPr>
      <w:r>
        <w:t>（八）组织承办人大代表建议和政协提案工作。</w:t>
      </w:r>
    </w:p>
    <w:p>
      <w:pPr>
        <w:pStyle w:val="21"/>
      </w:pPr>
      <w:r>
        <w:t>（九）负责政务信息公开工作和区政府系统机关电子政务工作。</w:t>
      </w:r>
    </w:p>
    <w:p>
      <w:pPr>
        <w:pStyle w:val="21"/>
      </w:pPr>
      <w:r>
        <w:t>（十）负责区政府和区政府办公室的文书处理、档案管理、印信管理和保密工作。</w:t>
      </w:r>
    </w:p>
    <w:p>
      <w:pPr>
        <w:pStyle w:val="21"/>
      </w:pPr>
      <w:r>
        <w:t>（十一）负责区政府的行政事务和接待工作。</w:t>
      </w:r>
    </w:p>
    <w:p>
      <w:pPr>
        <w:pStyle w:val="21"/>
      </w:pPr>
      <w:r>
        <w:t>（十二）承担区政府政策研究职责；区政府外事工作职责；区地方志编纂工作职责。</w:t>
      </w:r>
    </w:p>
    <w:p>
      <w:pPr>
        <w:pStyle w:val="21"/>
      </w:pPr>
      <w:r>
        <w:t>（十三）负责受理通过市长热线、短信平台、群众热线等投诉办理工作。</w:t>
      </w:r>
    </w:p>
    <w:p>
      <w:pPr>
        <w:pStyle w:val="21"/>
      </w:pPr>
      <w:r>
        <w:t>（十四）贯彻执行党和国家有关行政机关后勤管理的方针、政策和法律法规，结合本区实际，制定区政府机关后勤事务工作的规定和办法，并组织实施。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保定市徐水区人民政府办公室本级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按照预算管理有关规定，目前我省部门预算的编制实行综合预算管理，即全部收入和支出都反映在预算中。保定市徐水区人民政府办公室机关及所属事业单位的收支包含在部门预算中。</w:t>
      </w:r>
    </w:p>
    <w:p>
      <w:pPr>
        <w:pStyle w:val="22"/>
      </w:pPr>
      <w:r>
        <w:t>一、收入说明</w:t>
      </w:r>
    </w:p>
    <w:p>
      <w:pPr>
        <w:pStyle w:val="22"/>
      </w:pPr>
      <w:r>
        <w:t>反映本部门当年全部收入。2023年预算收入1045.24万元，其中：一般公共预算收入1045.19万元，基金预算收入0万元，国有资本经营预算收入0万元，财政专户核拨收入0万元，部门资金收入0.05万元，上年结转结余0万元。</w:t>
      </w:r>
    </w:p>
    <w:p>
      <w:pPr>
        <w:pStyle w:val="22"/>
      </w:pPr>
      <w:r>
        <w:t>二、支出说明</w:t>
      </w:r>
    </w:p>
    <w:p>
      <w:pPr>
        <w:pStyle w:val="22"/>
      </w:pPr>
      <w:r>
        <w:t>收支预算总表支出栏、基本支出表、项目支出表按经济分类和支出功能分类科目编制，反映政府办年度部门预算中支出预算的总体情况。2023年支出预算 1045.24万元，其中基本支出864.79万元，包括人员经费 718.73万元和日常公用经费146.06万元；项目支出180.45万元，主要为政务服务、人民防空、年鉴出版、大气办、大项目办等。</w:t>
      </w:r>
    </w:p>
    <w:p>
      <w:pPr>
        <w:pStyle w:val="22"/>
      </w:pPr>
      <w:r>
        <w:t>三、比上年增减情况</w:t>
      </w:r>
    </w:p>
    <w:p>
      <w:pPr>
        <w:pStyle w:val="22"/>
      </w:pPr>
      <w:r>
        <w:t>本年度预算收支安排1045.24万元，较上年减少89.63万元。其中:基本支出减少200.78万元，主要原因是日常公用经费减少；项目支出增加111.14万元，主要原因是项目增多。</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2023年我部门机关运行经费安排146.06万元，其中办公费10.53万元，邮电费18.58万元，工会经费、福利费9.98万元，公务用车运行维护费17.01万元，其他支出89.96万元。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 我部门财政拨款“三公” 经费预算安排32.99万元，其中因公出国（境）费0万元；公务用车购置及运维费17.01万元（其中：公务用车购置费为0万元，公务用车运维费17.01万元)；公务接待费15.98万元。与 2022年相比无变化。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总体绩效目标</w:t>
      </w:r>
    </w:p>
    <w:p>
      <w:pPr>
        <w:pStyle w:val="25"/>
      </w:pPr>
      <w:r>
        <w:t>贯彻落实党中央、省委、市委、区委关于政府工作方针政策和决策部署，主动适应新形势、新任务、新要求，不断增强做好工作的责任感和使命感。全面提升“四个服务”能力和水平，提高政务服务、政务管理和政府电子政务水平，站位全局谋划工作，精准高效提供服务。紧紧围绕区政府中心工作，积极协调区领导谋大事，解难事，努力为领导提供服务层次和优质服务。坚定信念、履职担当，以一流的工作作风、高度的政治使命，为推动徐水政府各项工作顺利运转、为建设经济强区、幸福徐水作出新的更大贡献。</w:t>
      </w:r>
    </w:p>
    <w:p>
      <w:pPr>
        <w:spacing w:line="500" w:lineRule="exact"/>
        <w:ind w:firstLine="560"/>
      </w:pPr>
      <w:r>
        <w:rPr>
          <w:rFonts w:eastAsia="方正仿宋_GBK"/>
          <w:color w:val="000000"/>
          <w:sz w:val="28"/>
        </w:rPr>
        <w:t>（二）分项绩效目标</w:t>
      </w:r>
    </w:p>
    <w:p>
      <w:pPr>
        <w:pStyle w:val="26"/>
      </w:pPr>
      <w:r>
        <w:t>分项绩效目标</w:t>
      </w:r>
    </w:p>
    <w:p>
      <w:pPr>
        <w:pStyle w:val="26"/>
      </w:pPr>
      <w:r>
        <w:t>1、开展政府电子政务s</w:t>
      </w:r>
    </w:p>
    <w:p>
      <w:pPr>
        <w:pStyle w:val="26"/>
      </w:pPr>
      <w:r>
        <w:t>绩效目标：开展政府电子政务管理于服务工作。提高行政效能和会议效率，适应电视电话会议要求，确保各类会议顺利进行，保障区政府网络系统安全、稳定运行，技术设备安全可用，切实提高技术保障能力和服务水平。</w:t>
      </w:r>
    </w:p>
    <w:p>
      <w:pPr>
        <w:pStyle w:val="26"/>
      </w:pPr>
      <w:r>
        <w:t>绩效指标：争取视频会议系统断点信号优良；电视电话会议组织完成率争取达到95%以上；会议提供服务的满意程度争取达到95%以上。</w:t>
      </w:r>
    </w:p>
    <w:p>
      <w:pPr>
        <w:pStyle w:val="26"/>
      </w:pPr>
      <w:r>
        <w:t>2、加强人民防空组织指挥体系建设</w:t>
      </w:r>
    </w:p>
    <w:p>
      <w:pPr>
        <w:pStyle w:val="26"/>
      </w:pPr>
      <w:r>
        <w:t>绩效目标：根据省、市人防办关于加强人民防空宣传工作的意见，宣传教育进机关等人民防空宣传工作，通过人民防空宣传教育，提高全民对人民防空的认识，提高整体应战应急防灾保障能力。</w:t>
      </w:r>
    </w:p>
    <w:p>
      <w:pPr>
        <w:pStyle w:val="26"/>
      </w:pPr>
      <w:r>
        <w:t>绩效指标：应战应急防灾保障完成率争取达到100%；人民防空知识宣传到位率争取达到95%以上；人民服务满意度争取达到100%。</w:t>
      </w:r>
    </w:p>
    <w:p>
      <w:pPr>
        <w:pStyle w:val="26"/>
      </w:pPr>
      <w:r>
        <w:t>3、承担徐水区大气污染防治工作</w:t>
      </w:r>
    </w:p>
    <w:p>
      <w:pPr>
        <w:pStyle w:val="26"/>
      </w:pPr>
      <w:r>
        <w:t>绩效目标：紧紧围绕区大气污染防治工作，积极协调各部门解决问题，承担全区大气污染防治工作的组织、协调、督导和上级交办信访点位的核查督办及国家省市环保专项督察的接待工作，保障徐水区大气污染防治工作领导小组办公室日常工作正常运转。</w:t>
      </w:r>
    </w:p>
    <w:p>
      <w:pPr>
        <w:pStyle w:val="26"/>
      </w:pPr>
      <w:r>
        <w:t>绩效指标：综合协调管理工作完成率争取达到 100%；完成督查督办占督察督办落实任务完成率达到100%。</w:t>
      </w:r>
    </w:p>
    <w:p>
      <w:pPr>
        <w:pStyle w:val="26"/>
      </w:pPr>
      <w:r>
        <w:t>4、负责全区双代协调工作</w:t>
      </w:r>
    </w:p>
    <w:p>
      <w:pPr>
        <w:pStyle w:val="26"/>
      </w:pPr>
      <w:r>
        <w:t>绩效目标：按照省市气代煤电代煤工作要求，加强对气代煤工作的组织推进，督导检查、综合协调工作。紧紧围绕区双代工作，积极协调各部门解决问题。保障徐水区气电代煤领导小组办公室日常工作的高效运转。</w:t>
      </w:r>
    </w:p>
    <w:p>
      <w:pPr>
        <w:pStyle w:val="26"/>
      </w:pPr>
      <w:r>
        <w:t>绩效指标：综合协调管理工作完成率争取达到 100%；完成督查督办占督察督办落实任务完成率达到100%。</w:t>
      </w:r>
    </w:p>
    <w:p>
      <w:pPr>
        <w:pStyle w:val="26"/>
      </w:pPr>
      <w:r>
        <w:t>5、推进全区项目建设</w:t>
      </w:r>
    </w:p>
    <w:p>
      <w:pPr>
        <w:pStyle w:val="26"/>
      </w:pPr>
      <w:r>
        <w:t>绩效目标：提高各级各部门推进项目建设的工作热情，形成全社会齐抓共管共同推进项目建设的良好局面，推进全区固定资产投资和项目建设。发挥综合协调作用，组织好项目能观摩会、招商引资等，推进全区项目建设工作，保障徐水区大项目办公室日常工作运转。</w:t>
      </w:r>
    </w:p>
    <w:p>
      <w:pPr>
        <w:pStyle w:val="26"/>
      </w:pPr>
      <w:r>
        <w:t>绩效指标：综合协调管理工作完成率争取达到 100%；完成督查督办占督察督办落实任务完成率达到100%。</w:t>
      </w:r>
    </w:p>
    <w:p>
      <w:pPr>
        <w:pStyle w:val="26"/>
      </w:pPr>
    </w:p>
    <w:p>
      <w:pPr>
        <w:spacing w:line="500" w:lineRule="exact"/>
        <w:ind w:firstLine="560"/>
      </w:pPr>
      <w:r>
        <w:rPr>
          <w:rFonts w:eastAsia="方正仿宋_GBK"/>
          <w:color w:val="000000"/>
          <w:sz w:val="28"/>
        </w:rPr>
        <w:t>（三）工作保障措施</w:t>
      </w:r>
    </w:p>
    <w:p>
      <w:pPr>
        <w:pStyle w:val="27"/>
      </w:pPr>
      <w:r>
        <w:t>工作保障措施</w:t>
      </w:r>
    </w:p>
    <w:p>
      <w:pPr>
        <w:pStyle w:val="27"/>
      </w:pPr>
      <w:r>
        <w:t>1、坚持改革创新，健全完善制度机制。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办各项工作取得新成效，确保全年目标任务高质量完成。</w:t>
      </w:r>
    </w:p>
    <w:p>
      <w:pPr>
        <w:pStyle w:val="27"/>
      </w:pPr>
      <w:r>
        <w:t>2、强化预算执行，确保支出进度达标。将年度工作目标任务细化分解，落实到岗、落实到人。加强预算资金支出动态过程管理，及时协调解决预算项目中遇到的困难问题，实时掌握预算支出进度。3、加强内控建设，确保资金安全有效。建立健全内部控制体系，认真执行财经法规和政策要求，对重大支出、资产处置及其他重要经济事项进行有效监督，并完善内部审计，配合做好审计、财政等外部检查，确保资金使用安全有效。</w:t>
      </w:r>
    </w:p>
    <w:p>
      <w:pPr>
        <w:pStyle w:val="27"/>
      </w:pPr>
      <w:r>
        <w:t>4、完善绩效管理，确保绩效目标实现。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pStyle w:val="27"/>
      </w:pPr>
    </w:p>
    <w:p>
      <w:pPr>
        <w:pStyle w:val="27"/>
      </w:pPr>
    </w:p>
    <w:p>
      <w:pPr>
        <w:ind w:firstLine="640"/>
        <w:rPr>
          <w:lang w:eastAsia="zh-CN"/>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1.目标内容1主要用于办公经费支出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绩效评价次数</w:t>
            </w:r>
          </w:p>
        </w:tc>
        <w:tc>
          <w:tcPr>
            <w:tcW w:w="2835" w:type="dxa"/>
            <w:vAlign w:val="center"/>
          </w:tcPr>
          <w:p>
            <w:pPr>
              <w:pStyle w:val="16"/>
            </w:pPr>
            <w:r>
              <w:t>按季度评价资金使用程度</w:t>
            </w:r>
          </w:p>
        </w:tc>
        <w:tc>
          <w:tcPr>
            <w:tcW w:w="2551" w:type="dxa"/>
            <w:vAlign w:val="center"/>
          </w:tcPr>
          <w:p>
            <w:pPr>
              <w:pStyle w:val="16"/>
            </w:pPr>
            <w:r>
              <w:t>4次</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日常工作正常运转情况</w:t>
            </w:r>
          </w:p>
        </w:tc>
        <w:tc>
          <w:tcPr>
            <w:tcW w:w="2551" w:type="dxa"/>
            <w:vAlign w:val="center"/>
          </w:tcPr>
          <w:p>
            <w:pPr>
              <w:pStyle w:val="16"/>
            </w:pPr>
            <w:r>
              <w:t>≥95%</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资金支出进度占预算全额的比例</w:t>
            </w:r>
          </w:p>
        </w:tc>
        <w:tc>
          <w:tcPr>
            <w:tcW w:w="2551" w:type="dxa"/>
            <w:vAlign w:val="center"/>
          </w:tcPr>
          <w:p>
            <w:pPr>
              <w:pStyle w:val="16"/>
            </w:pPr>
            <w:r>
              <w:t>100%</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100%</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有效改善工作环境提高工作水平</w:t>
            </w:r>
          </w:p>
        </w:tc>
        <w:tc>
          <w:tcPr>
            <w:tcW w:w="2551" w:type="dxa"/>
            <w:vAlign w:val="center"/>
          </w:tcPr>
          <w:p>
            <w:pPr>
              <w:pStyle w:val="16"/>
            </w:pPr>
            <w:r>
              <w:t>≥95%</w:t>
            </w:r>
          </w:p>
        </w:tc>
        <w:tc>
          <w:tcPr>
            <w:tcW w:w="2268" w:type="dxa"/>
            <w:vAlign w:val="center"/>
          </w:tcPr>
          <w:p>
            <w:pPr>
              <w:pStyle w:val="16"/>
            </w:pPr>
            <w:r>
              <w:t>根据实际情况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2、年鉴出版发行绩效目标表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1.充分发挥方志办的职能作用，提高年鉴出版质量</w:t>
            </w:r>
          </w:p>
          <w:p>
            <w:pPr>
              <w:pStyle w:val="16"/>
            </w:pPr>
            <w:r>
              <w:t>2.年鉴的出版、印刷，完成综合年鉴的出版发行。</w:t>
            </w:r>
          </w:p>
          <w:p>
            <w:pPr>
              <w:pStyle w:val="16"/>
            </w:pPr>
            <w:r>
              <w:t>3.资金按进度预计在12月份支出一次性支出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年鉴印刷数</w:t>
            </w:r>
          </w:p>
        </w:tc>
        <w:tc>
          <w:tcPr>
            <w:tcW w:w="2835" w:type="dxa"/>
            <w:vAlign w:val="center"/>
          </w:tcPr>
          <w:p>
            <w:pPr>
              <w:pStyle w:val="16"/>
            </w:pPr>
            <w:r>
              <w:t>年鉴印刷数量</w:t>
            </w:r>
          </w:p>
        </w:tc>
        <w:tc>
          <w:tcPr>
            <w:tcW w:w="2551" w:type="dxa"/>
            <w:vAlign w:val="center"/>
          </w:tcPr>
          <w:p>
            <w:pPr>
              <w:pStyle w:val="16"/>
            </w:pPr>
            <w:r>
              <w:t>≥15本</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出版物编校差错率</w:t>
            </w:r>
          </w:p>
        </w:tc>
        <w:tc>
          <w:tcPr>
            <w:tcW w:w="2835" w:type="dxa"/>
            <w:vAlign w:val="center"/>
          </w:tcPr>
          <w:p>
            <w:pPr>
              <w:pStyle w:val="16"/>
            </w:pPr>
            <w:r>
              <w:t>出版物编校差错率</w:t>
            </w:r>
          </w:p>
        </w:tc>
        <w:tc>
          <w:tcPr>
            <w:tcW w:w="2551" w:type="dxa"/>
            <w:vAlign w:val="center"/>
          </w:tcPr>
          <w:p>
            <w:pPr>
              <w:pStyle w:val="16"/>
            </w:pPr>
            <w:r>
              <w:t>0.01%</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出版发行及时率</w:t>
            </w:r>
          </w:p>
        </w:tc>
        <w:tc>
          <w:tcPr>
            <w:tcW w:w="2835" w:type="dxa"/>
            <w:vAlign w:val="center"/>
          </w:tcPr>
          <w:p>
            <w:pPr>
              <w:pStyle w:val="16"/>
            </w:pPr>
            <w:r>
              <w:t>出版发行及时情况</w:t>
            </w:r>
          </w:p>
        </w:tc>
        <w:tc>
          <w:tcPr>
            <w:tcW w:w="2551" w:type="dxa"/>
            <w:vAlign w:val="center"/>
          </w:tcPr>
          <w:p>
            <w:pPr>
              <w:pStyle w:val="16"/>
            </w:pPr>
            <w:r>
              <w:t>≥98%</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≤12万元</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年鉴阅读提升率</w:t>
            </w:r>
          </w:p>
        </w:tc>
        <w:tc>
          <w:tcPr>
            <w:tcW w:w="2835" w:type="dxa"/>
            <w:vAlign w:val="center"/>
          </w:tcPr>
          <w:p>
            <w:pPr>
              <w:pStyle w:val="16"/>
            </w:pPr>
            <w:r>
              <w:t>年鉴阅读提升情况</w:t>
            </w:r>
          </w:p>
        </w:tc>
        <w:tc>
          <w:tcPr>
            <w:tcW w:w="2551" w:type="dxa"/>
            <w:vAlign w:val="center"/>
          </w:tcPr>
          <w:p>
            <w:pPr>
              <w:pStyle w:val="16"/>
            </w:pPr>
            <w:r>
              <w:t>≥50%</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阅读人群满意度</w:t>
            </w:r>
          </w:p>
        </w:tc>
        <w:tc>
          <w:tcPr>
            <w:tcW w:w="2835" w:type="dxa"/>
            <w:vAlign w:val="center"/>
          </w:tcPr>
          <w:p>
            <w:pPr>
              <w:pStyle w:val="16"/>
            </w:pPr>
            <w:r>
              <w:t>阅读人群满意情况</w:t>
            </w:r>
          </w:p>
        </w:tc>
        <w:tc>
          <w:tcPr>
            <w:tcW w:w="2551" w:type="dxa"/>
            <w:vAlign w:val="center"/>
          </w:tcPr>
          <w:p>
            <w:pPr>
              <w:pStyle w:val="16"/>
            </w:pPr>
            <w:r>
              <w:t>≥80%</w:t>
            </w:r>
          </w:p>
        </w:tc>
        <w:tc>
          <w:tcPr>
            <w:tcW w:w="2268" w:type="dxa"/>
            <w:vAlign w:val="center"/>
          </w:tcPr>
          <w:p>
            <w:pPr>
              <w:pStyle w:val="16"/>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3、人民防空宣传及设备维护等费用绩效目标表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1.提高整体应战应急防灾保障能力</w:t>
            </w:r>
          </w:p>
          <w:p>
            <w:pPr>
              <w:pStyle w:val="16"/>
            </w:pPr>
            <w:r>
              <w:t>2.通过人民防空宣传教育，提高全民对人民防空的认识</w:t>
            </w:r>
          </w:p>
          <w:p>
            <w:pPr>
              <w:pStyle w:val="16"/>
            </w:pPr>
            <w:r>
              <w:t>3.资金进度按照即6月份50%，12月份100%，及时支付到位，为人防宣传工作提供资金保障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组织宣传活动次数</w:t>
            </w:r>
          </w:p>
        </w:tc>
        <w:tc>
          <w:tcPr>
            <w:tcW w:w="2835" w:type="dxa"/>
            <w:vAlign w:val="center"/>
          </w:tcPr>
          <w:p>
            <w:pPr>
              <w:pStyle w:val="16"/>
            </w:pPr>
            <w:r>
              <w:t>组织宣传活动次数</w:t>
            </w:r>
          </w:p>
        </w:tc>
        <w:tc>
          <w:tcPr>
            <w:tcW w:w="2551" w:type="dxa"/>
            <w:vAlign w:val="center"/>
          </w:tcPr>
          <w:p>
            <w:pPr>
              <w:pStyle w:val="16"/>
            </w:pPr>
            <w:r>
              <w:t>≥4次</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活动主题符合率</w:t>
            </w:r>
          </w:p>
        </w:tc>
        <w:tc>
          <w:tcPr>
            <w:tcW w:w="2835" w:type="dxa"/>
            <w:vAlign w:val="center"/>
          </w:tcPr>
          <w:p>
            <w:pPr>
              <w:pStyle w:val="16"/>
            </w:pPr>
            <w:r>
              <w:t>活动主题符合情况</w:t>
            </w:r>
          </w:p>
        </w:tc>
        <w:tc>
          <w:tcPr>
            <w:tcW w:w="2551" w:type="dxa"/>
            <w:vAlign w:val="center"/>
          </w:tcPr>
          <w:p>
            <w:pPr>
              <w:pStyle w:val="16"/>
            </w:pPr>
            <w:r>
              <w:t>≥98%</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活动举办及时率</w:t>
            </w:r>
          </w:p>
        </w:tc>
        <w:tc>
          <w:tcPr>
            <w:tcW w:w="2835" w:type="dxa"/>
            <w:vAlign w:val="center"/>
          </w:tcPr>
          <w:p>
            <w:pPr>
              <w:pStyle w:val="16"/>
            </w:pPr>
            <w:r>
              <w:t>根据工作计划举办活动及时情况</w:t>
            </w:r>
          </w:p>
        </w:tc>
        <w:tc>
          <w:tcPr>
            <w:tcW w:w="2551" w:type="dxa"/>
            <w:vAlign w:val="center"/>
          </w:tcPr>
          <w:p>
            <w:pPr>
              <w:pStyle w:val="16"/>
            </w:pPr>
            <w:r>
              <w:t>≥95%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≤28万元</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防控措施群众知晓率</w:t>
            </w:r>
          </w:p>
        </w:tc>
        <w:tc>
          <w:tcPr>
            <w:tcW w:w="2835" w:type="dxa"/>
            <w:vAlign w:val="center"/>
          </w:tcPr>
          <w:p>
            <w:pPr>
              <w:pStyle w:val="16"/>
            </w:pPr>
            <w:r>
              <w:t>防空相关知识知晓情况</w:t>
            </w:r>
          </w:p>
        </w:tc>
        <w:tc>
          <w:tcPr>
            <w:tcW w:w="2551" w:type="dxa"/>
            <w:vAlign w:val="center"/>
          </w:tcPr>
          <w:p>
            <w:pPr>
              <w:pStyle w:val="16"/>
            </w:pPr>
            <w:r>
              <w:t>≥95%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社会群众满意度</w:t>
            </w:r>
          </w:p>
        </w:tc>
        <w:tc>
          <w:tcPr>
            <w:tcW w:w="2835" w:type="dxa"/>
            <w:vAlign w:val="center"/>
          </w:tcPr>
          <w:p>
            <w:pPr>
              <w:pStyle w:val="16"/>
            </w:pPr>
            <w:r>
              <w:t>社会群众满意情况</w:t>
            </w:r>
          </w:p>
        </w:tc>
        <w:tc>
          <w:tcPr>
            <w:tcW w:w="2551" w:type="dxa"/>
            <w:vAlign w:val="center"/>
          </w:tcPr>
          <w:p>
            <w:pPr>
              <w:pStyle w:val="16"/>
            </w:pPr>
            <w:r>
              <w:t>≥80%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4、数字电视维护和增值业务费绩效目标表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1.承担省市相关视频会议信号传输和保障工作</w:t>
            </w:r>
            <w:r>
              <w:tab/>
            </w:r>
            <w:r>
              <w:tab/>
            </w:r>
            <w:r>
              <w:tab/>
            </w:r>
            <w:r>
              <w:tab/>
            </w:r>
          </w:p>
          <w:p>
            <w:pPr>
              <w:pStyle w:val="16"/>
            </w:pPr>
          </w:p>
          <w:p>
            <w:pPr>
              <w:pStyle w:val="16"/>
            </w:pPr>
            <w:r>
              <w:t>2.保障各乡镇和城区办能够正常收看使用广电网络信号</w:t>
            </w:r>
          </w:p>
          <w:p>
            <w:pPr>
              <w:pStyle w:val="16"/>
            </w:pPr>
            <w:r>
              <w:t>3.资金于11月份一次性支付到位，为会议正常进行提供保障。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维护站点数</w:t>
            </w:r>
          </w:p>
        </w:tc>
        <w:tc>
          <w:tcPr>
            <w:tcW w:w="2835" w:type="dxa"/>
            <w:vAlign w:val="center"/>
          </w:tcPr>
          <w:p>
            <w:pPr>
              <w:pStyle w:val="16"/>
            </w:pPr>
            <w:r>
              <w:t>维护站点数量</w:t>
            </w:r>
          </w:p>
        </w:tc>
        <w:tc>
          <w:tcPr>
            <w:tcW w:w="2551" w:type="dxa"/>
            <w:vAlign w:val="center"/>
          </w:tcPr>
          <w:p>
            <w:pPr>
              <w:pStyle w:val="16"/>
            </w:pPr>
            <w:r>
              <w:t>15个</w:t>
            </w:r>
          </w:p>
        </w:tc>
        <w:tc>
          <w:tcPr>
            <w:tcW w:w="2268" w:type="dxa"/>
            <w:vAlign w:val="center"/>
          </w:tcPr>
          <w:p>
            <w:pPr>
              <w:pStyle w:val="16"/>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网络会议畅通率</w:t>
            </w:r>
          </w:p>
        </w:tc>
        <w:tc>
          <w:tcPr>
            <w:tcW w:w="2835" w:type="dxa"/>
            <w:vAlign w:val="center"/>
          </w:tcPr>
          <w:p>
            <w:pPr>
              <w:pStyle w:val="16"/>
            </w:pPr>
            <w:r>
              <w:t>网络会议畅通情况</w:t>
            </w:r>
          </w:p>
        </w:tc>
        <w:tc>
          <w:tcPr>
            <w:tcW w:w="2551" w:type="dxa"/>
            <w:vAlign w:val="center"/>
          </w:tcPr>
          <w:p>
            <w:pPr>
              <w:pStyle w:val="16"/>
            </w:pPr>
            <w:r>
              <w:t>≥98%</w:t>
            </w:r>
          </w:p>
        </w:tc>
        <w:tc>
          <w:tcPr>
            <w:tcW w:w="2268" w:type="dxa"/>
            <w:vAlign w:val="center"/>
          </w:tcPr>
          <w:p>
            <w:pPr>
              <w:pStyle w:val="16"/>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设备维护及时率</w:t>
            </w:r>
          </w:p>
        </w:tc>
        <w:tc>
          <w:tcPr>
            <w:tcW w:w="2835" w:type="dxa"/>
            <w:vAlign w:val="center"/>
          </w:tcPr>
          <w:p>
            <w:pPr>
              <w:pStyle w:val="16"/>
            </w:pPr>
            <w:r>
              <w:t>设备维护及时情况</w:t>
            </w:r>
          </w:p>
        </w:tc>
        <w:tc>
          <w:tcPr>
            <w:tcW w:w="2551" w:type="dxa"/>
            <w:vAlign w:val="center"/>
          </w:tcPr>
          <w:p>
            <w:pPr>
              <w:pStyle w:val="16"/>
            </w:pPr>
            <w:r>
              <w:t>100%</w:t>
            </w:r>
          </w:p>
        </w:tc>
        <w:tc>
          <w:tcPr>
            <w:tcW w:w="2268" w:type="dxa"/>
            <w:vAlign w:val="center"/>
          </w:tcPr>
          <w:p>
            <w:pPr>
              <w:pStyle w:val="16"/>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≤1.8万元</w:t>
            </w:r>
          </w:p>
        </w:tc>
        <w:tc>
          <w:tcPr>
            <w:tcW w:w="2268" w:type="dxa"/>
            <w:vAlign w:val="center"/>
          </w:tcPr>
          <w:p>
            <w:pPr>
              <w:pStyle w:val="16"/>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视频会议保障率</w:t>
            </w:r>
          </w:p>
        </w:tc>
        <w:tc>
          <w:tcPr>
            <w:tcW w:w="2835" w:type="dxa"/>
            <w:vAlign w:val="center"/>
          </w:tcPr>
          <w:p>
            <w:pPr>
              <w:pStyle w:val="16"/>
            </w:pPr>
            <w:r>
              <w:t>保障相关视频会议开展情况</w:t>
            </w:r>
          </w:p>
        </w:tc>
        <w:tc>
          <w:tcPr>
            <w:tcW w:w="2551" w:type="dxa"/>
            <w:vAlign w:val="center"/>
          </w:tcPr>
          <w:p>
            <w:pPr>
              <w:pStyle w:val="16"/>
            </w:pPr>
            <w:r>
              <w:t>≥90%</w:t>
            </w:r>
          </w:p>
        </w:tc>
        <w:tc>
          <w:tcPr>
            <w:tcW w:w="2268" w:type="dxa"/>
            <w:vAlign w:val="center"/>
          </w:tcPr>
          <w:p>
            <w:pPr>
              <w:pStyle w:val="16"/>
            </w:pPr>
            <w:r>
              <w:t>按工作要求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受用对象满意度</w:t>
            </w:r>
          </w:p>
        </w:tc>
        <w:tc>
          <w:tcPr>
            <w:tcW w:w="2835" w:type="dxa"/>
            <w:vAlign w:val="center"/>
          </w:tcPr>
          <w:p>
            <w:pPr>
              <w:pStyle w:val="16"/>
            </w:pPr>
            <w:r>
              <w:t>各乡镇、城区办满意情况</w:t>
            </w:r>
          </w:p>
        </w:tc>
        <w:tc>
          <w:tcPr>
            <w:tcW w:w="2551" w:type="dxa"/>
            <w:vAlign w:val="center"/>
          </w:tcPr>
          <w:p>
            <w:pPr>
              <w:pStyle w:val="16"/>
            </w:pPr>
            <w:r>
              <w:t>≥85%</w:t>
            </w:r>
          </w:p>
        </w:tc>
        <w:tc>
          <w:tcPr>
            <w:tcW w:w="2268" w:type="dxa"/>
            <w:vAlign w:val="center"/>
          </w:tcPr>
          <w:p>
            <w:pPr>
              <w:pStyle w:val="16"/>
            </w:pPr>
            <w:r>
              <w:t>按工作要求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5、徐水区大气办专项经费绩效目标表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1.承担全区大气污染防治工作的组织、协调、督导和上级交办信访点位的核查督办及国家省市环保专项督察的接待工作。</w:t>
            </w:r>
          </w:p>
          <w:p>
            <w:pPr>
              <w:pStyle w:val="16"/>
            </w:pPr>
            <w:r>
              <w:t>2.保障我区大气污染防治工作有序进行</w:t>
            </w:r>
          </w:p>
          <w:p>
            <w:pPr>
              <w:pStyle w:val="16"/>
            </w:pPr>
            <w:r>
              <w:t>3.资金进度按照即6月50%，12月100%，及时支付到位，为大气办工作顺利进行提供资金保障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督查督导工作次数</w:t>
            </w:r>
          </w:p>
        </w:tc>
        <w:tc>
          <w:tcPr>
            <w:tcW w:w="2835" w:type="dxa"/>
            <w:vAlign w:val="center"/>
          </w:tcPr>
          <w:p>
            <w:pPr>
              <w:pStyle w:val="16"/>
            </w:pPr>
            <w:r>
              <w:t>督查督导工作次数</w:t>
            </w:r>
          </w:p>
        </w:tc>
        <w:tc>
          <w:tcPr>
            <w:tcW w:w="2551" w:type="dxa"/>
            <w:vAlign w:val="center"/>
          </w:tcPr>
          <w:p>
            <w:pPr>
              <w:pStyle w:val="16"/>
            </w:pPr>
            <w:r>
              <w:t>≥10次</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调研督查人员到位率</w:t>
            </w:r>
          </w:p>
        </w:tc>
        <w:tc>
          <w:tcPr>
            <w:tcW w:w="2835" w:type="dxa"/>
            <w:vAlign w:val="center"/>
          </w:tcPr>
          <w:p>
            <w:pPr>
              <w:pStyle w:val="16"/>
            </w:pPr>
            <w:r>
              <w:t>调研督查人员到位情况</w:t>
            </w:r>
          </w:p>
        </w:tc>
        <w:tc>
          <w:tcPr>
            <w:tcW w:w="2551" w:type="dxa"/>
            <w:vAlign w:val="center"/>
          </w:tcPr>
          <w:p>
            <w:pPr>
              <w:pStyle w:val="16"/>
            </w:pPr>
            <w:r>
              <w:t>≥85%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督导调研开展及时率</w:t>
            </w:r>
          </w:p>
        </w:tc>
        <w:tc>
          <w:tcPr>
            <w:tcW w:w="2835" w:type="dxa"/>
            <w:vAlign w:val="center"/>
          </w:tcPr>
          <w:p>
            <w:pPr>
              <w:pStyle w:val="16"/>
            </w:pPr>
            <w:r>
              <w:t>督导调研开展及时情况</w:t>
            </w:r>
          </w:p>
        </w:tc>
        <w:tc>
          <w:tcPr>
            <w:tcW w:w="2551" w:type="dxa"/>
            <w:vAlign w:val="center"/>
          </w:tcPr>
          <w:p>
            <w:pPr>
              <w:pStyle w:val="16"/>
            </w:pPr>
            <w:r>
              <w:t>≥95%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≤20万元</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日常工作开展保障率</w:t>
            </w:r>
          </w:p>
        </w:tc>
        <w:tc>
          <w:tcPr>
            <w:tcW w:w="2835" w:type="dxa"/>
            <w:vAlign w:val="center"/>
          </w:tcPr>
          <w:p>
            <w:pPr>
              <w:pStyle w:val="16"/>
            </w:pPr>
            <w:r>
              <w:t>日常工作开展保障情况</w:t>
            </w:r>
          </w:p>
        </w:tc>
        <w:tc>
          <w:tcPr>
            <w:tcW w:w="2551" w:type="dxa"/>
            <w:vAlign w:val="center"/>
          </w:tcPr>
          <w:p>
            <w:pPr>
              <w:pStyle w:val="16"/>
            </w:pPr>
            <w:r>
              <w:t>≥95%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工作人员满意情况</w:t>
            </w:r>
          </w:p>
        </w:tc>
        <w:tc>
          <w:tcPr>
            <w:tcW w:w="2551" w:type="dxa"/>
            <w:vAlign w:val="center"/>
          </w:tcPr>
          <w:p>
            <w:pPr>
              <w:pStyle w:val="16"/>
            </w:pPr>
            <w:r>
              <w:t>≥95%</w:t>
            </w:r>
          </w:p>
        </w:tc>
        <w:tc>
          <w:tcPr>
            <w:tcW w:w="2268" w:type="dxa"/>
            <w:vAlign w:val="center"/>
          </w:tcPr>
          <w:p>
            <w:pPr>
              <w:pStyle w:val="16"/>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6、徐水区大项目办专项经费绩效目标表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1.发挥综合协调作用，组织好项目能观摩会、招商引资等，推进全区项目建设工作</w:t>
            </w:r>
          </w:p>
          <w:p>
            <w:pPr>
              <w:pStyle w:val="16"/>
            </w:pPr>
            <w:r>
              <w:t>2.保障徐水区大项目办公室日常工作运转</w:t>
            </w:r>
          </w:p>
          <w:p>
            <w:pPr>
              <w:pStyle w:val="16"/>
            </w:pPr>
            <w:r>
              <w:t>3.资金进度按照即6月份支付50%，12月份支付100%，及时支付到位，为大项目办工作提供资金保障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联系企业数</w:t>
            </w:r>
          </w:p>
        </w:tc>
        <w:tc>
          <w:tcPr>
            <w:tcW w:w="2835" w:type="dxa"/>
            <w:vAlign w:val="center"/>
          </w:tcPr>
          <w:p>
            <w:pPr>
              <w:pStyle w:val="16"/>
            </w:pPr>
            <w:r>
              <w:t>联系企业数量</w:t>
            </w:r>
          </w:p>
        </w:tc>
        <w:tc>
          <w:tcPr>
            <w:tcW w:w="2551" w:type="dxa"/>
            <w:vAlign w:val="center"/>
          </w:tcPr>
          <w:p>
            <w:pPr>
              <w:pStyle w:val="16"/>
            </w:pPr>
            <w:r>
              <w:t>≥5个</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参与观摩企业到位率</w:t>
            </w:r>
          </w:p>
        </w:tc>
        <w:tc>
          <w:tcPr>
            <w:tcW w:w="2835" w:type="dxa"/>
            <w:vAlign w:val="center"/>
          </w:tcPr>
          <w:p>
            <w:pPr>
              <w:pStyle w:val="16"/>
            </w:pPr>
            <w:r>
              <w:t>参与观摩企业到位情况</w:t>
            </w:r>
          </w:p>
        </w:tc>
        <w:tc>
          <w:tcPr>
            <w:tcW w:w="2551" w:type="dxa"/>
            <w:vAlign w:val="center"/>
          </w:tcPr>
          <w:p>
            <w:pPr>
              <w:pStyle w:val="16"/>
            </w:pPr>
            <w:r>
              <w:t>≥90%</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项目观摩会举办及时率</w:t>
            </w:r>
          </w:p>
        </w:tc>
        <w:tc>
          <w:tcPr>
            <w:tcW w:w="2835" w:type="dxa"/>
            <w:vAlign w:val="center"/>
          </w:tcPr>
          <w:p>
            <w:pPr>
              <w:pStyle w:val="16"/>
            </w:pPr>
            <w:r>
              <w:t>项目观摩会举办及时情况</w:t>
            </w:r>
          </w:p>
        </w:tc>
        <w:tc>
          <w:tcPr>
            <w:tcW w:w="2551" w:type="dxa"/>
            <w:vAlign w:val="center"/>
          </w:tcPr>
          <w:p>
            <w:pPr>
              <w:pStyle w:val="16"/>
            </w:pPr>
            <w:r>
              <w:t>≥95%</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≤13万元</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日常工作开展保障率</w:t>
            </w:r>
          </w:p>
        </w:tc>
        <w:tc>
          <w:tcPr>
            <w:tcW w:w="2835" w:type="dxa"/>
            <w:vAlign w:val="center"/>
          </w:tcPr>
          <w:p>
            <w:pPr>
              <w:pStyle w:val="16"/>
            </w:pPr>
            <w:r>
              <w:t>日常工作开展保障情况</w:t>
            </w:r>
          </w:p>
        </w:tc>
        <w:tc>
          <w:tcPr>
            <w:tcW w:w="2551" w:type="dxa"/>
            <w:vAlign w:val="center"/>
          </w:tcPr>
          <w:p>
            <w:pPr>
              <w:pStyle w:val="16"/>
            </w:pPr>
            <w:r>
              <w:t>≥90%</w:t>
            </w:r>
          </w:p>
        </w:tc>
        <w:tc>
          <w:tcPr>
            <w:tcW w:w="2268" w:type="dxa"/>
            <w:vAlign w:val="center"/>
          </w:tcPr>
          <w:p>
            <w:pPr>
              <w:pStyle w:val="16"/>
            </w:pPr>
            <w:r>
              <w:t>根据部门职责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观摩企业满意度</w:t>
            </w:r>
          </w:p>
        </w:tc>
        <w:tc>
          <w:tcPr>
            <w:tcW w:w="2835" w:type="dxa"/>
            <w:vAlign w:val="center"/>
          </w:tcPr>
          <w:p>
            <w:pPr>
              <w:pStyle w:val="16"/>
            </w:pPr>
            <w:r>
              <w:t>观摩企业满意情况</w:t>
            </w:r>
          </w:p>
        </w:tc>
        <w:tc>
          <w:tcPr>
            <w:tcW w:w="2551" w:type="dxa"/>
            <w:vAlign w:val="center"/>
          </w:tcPr>
          <w:p>
            <w:pPr>
              <w:pStyle w:val="16"/>
            </w:pPr>
            <w:r>
              <w:t>≥95%</w:t>
            </w:r>
          </w:p>
        </w:tc>
        <w:tc>
          <w:tcPr>
            <w:tcW w:w="2268" w:type="dxa"/>
            <w:vAlign w:val="center"/>
          </w:tcPr>
          <w:p>
            <w:pPr>
              <w:pStyle w:val="16"/>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工作人员满意情况</w:t>
            </w:r>
          </w:p>
        </w:tc>
        <w:tc>
          <w:tcPr>
            <w:tcW w:w="2551" w:type="dxa"/>
            <w:vAlign w:val="center"/>
          </w:tcPr>
          <w:p>
            <w:pPr>
              <w:pStyle w:val="16"/>
            </w:pPr>
            <w:r>
              <w:t>≥95%</w:t>
            </w:r>
          </w:p>
        </w:tc>
        <w:tc>
          <w:tcPr>
            <w:tcW w:w="2268" w:type="dxa"/>
            <w:vAlign w:val="center"/>
          </w:tcPr>
          <w:p>
            <w:pPr>
              <w:pStyle w:val="16"/>
            </w:pPr>
            <w:r>
              <w:t>根据部门职责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7、政务服务相关经费绩效目标表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1.提升服务管理水平，提高单位工作效率</w:t>
            </w:r>
          </w:p>
          <w:p>
            <w:pPr>
              <w:pStyle w:val="16"/>
            </w:pPr>
            <w:r>
              <w:t>2.保障政府办工作顺利有序进行</w:t>
            </w:r>
          </w:p>
          <w:p>
            <w:pPr>
              <w:pStyle w:val="16"/>
            </w:pPr>
            <w:r>
              <w:t>3.资金进度按照即6月50%，12月100%，及时支付到位，为政府办工作顺利进行提供资金保障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单位保洁人员人数</w:t>
            </w:r>
          </w:p>
        </w:tc>
        <w:tc>
          <w:tcPr>
            <w:tcW w:w="2835" w:type="dxa"/>
            <w:vAlign w:val="center"/>
          </w:tcPr>
          <w:p>
            <w:pPr>
              <w:pStyle w:val="16"/>
            </w:pPr>
            <w:r>
              <w:t>单位保洁人员人数</w:t>
            </w:r>
          </w:p>
        </w:tc>
        <w:tc>
          <w:tcPr>
            <w:tcW w:w="2551" w:type="dxa"/>
            <w:vAlign w:val="center"/>
          </w:tcPr>
          <w:p>
            <w:pPr>
              <w:pStyle w:val="16"/>
            </w:pPr>
            <w:r>
              <w:t>≤2人</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工资发放准确率</w:t>
            </w:r>
          </w:p>
        </w:tc>
        <w:tc>
          <w:tcPr>
            <w:tcW w:w="2835" w:type="dxa"/>
            <w:vAlign w:val="center"/>
          </w:tcPr>
          <w:p>
            <w:pPr>
              <w:pStyle w:val="16"/>
            </w:pPr>
            <w:r>
              <w:t>工资发放准确情况</w:t>
            </w:r>
          </w:p>
        </w:tc>
        <w:tc>
          <w:tcPr>
            <w:tcW w:w="2551" w:type="dxa"/>
            <w:vAlign w:val="center"/>
          </w:tcPr>
          <w:p>
            <w:pPr>
              <w:pStyle w:val="16"/>
            </w:pPr>
            <w:r>
              <w:t>≥90%</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≥95%</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≤105.6万元</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工作开展保障率</w:t>
            </w:r>
          </w:p>
        </w:tc>
        <w:tc>
          <w:tcPr>
            <w:tcW w:w="2835" w:type="dxa"/>
            <w:vAlign w:val="center"/>
          </w:tcPr>
          <w:p>
            <w:pPr>
              <w:pStyle w:val="16"/>
            </w:pPr>
            <w:r>
              <w:t>保障相关业务、工作等情况开展</w:t>
            </w:r>
          </w:p>
        </w:tc>
        <w:tc>
          <w:tcPr>
            <w:tcW w:w="2551" w:type="dxa"/>
            <w:vAlign w:val="center"/>
          </w:tcPr>
          <w:p>
            <w:pPr>
              <w:pStyle w:val="16"/>
            </w:pPr>
            <w:r>
              <w:t>≥95%</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工作人员满意情况</w:t>
            </w:r>
          </w:p>
        </w:tc>
        <w:tc>
          <w:tcPr>
            <w:tcW w:w="2551" w:type="dxa"/>
            <w:vAlign w:val="center"/>
          </w:tcPr>
          <w:p>
            <w:pPr>
              <w:pStyle w:val="16"/>
            </w:pPr>
            <w:r>
              <w:t>≥90%</w:t>
            </w:r>
          </w:p>
        </w:tc>
        <w:tc>
          <w:tcPr>
            <w:tcW w:w="2268" w:type="dxa"/>
            <w:vAlign w:val="center"/>
          </w:tcPr>
          <w:p>
            <w:pPr>
              <w:pStyle w:val="16"/>
            </w:pPr>
            <w:r>
              <w:t>根据工作计划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2023年，保定市徐水区人民政府办公室安排政府采购预算0.00万元。具体内容见下表。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保定市徐水区人民政府办公室（含所属单位）上年末固定资产金额为423.95万元（详见下表）。本年度拟购置固定资产总额为10.00万元，已按要求列入政府采购预算，详见政府采购预算表。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434保定市徐水区人民政府办公室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423.95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988</w:t>
            </w:r>
          </w:p>
        </w:tc>
        <w:tc>
          <w:tcPr>
            <w:tcW w:w="2835" w:type="dxa"/>
            <w:vAlign w:val="center"/>
          </w:tcPr>
          <w:p>
            <w:pPr>
              <w:pStyle w:val="15"/>
            </w:pPr>
            <w:r>
              <w:t>392.35</w:t>
            </w:r>
          </w:p>
        </w:tc>
      </w:tr>
    </w:tbl>
    <w:p>
      <w:pPr>
        <w:ind w:firstLine="640"/>
      </w:pPr>
      <w:r>
        <w:rPr>
          <w:rFonts w:eastAsia="方正仿宋_GBK"/>
          <w:color w:val="000000"/>
          <w:sz w:val="32"/>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TRhMzFlMTdiYzRiNGYxYjczZTlkNzJmYjc5MjgifQ=="/>
  </w:docVars>
  <w:rsids>
    <w:rsidRoot w:val="001A1E12"/>
    <w:rsid w:val="00051FE9"/>
    <w:rsid w:val="001A1E12"/>
    <w:rsid w:val="00276A3E"/>
    <w:rsid w:val="00630F32"/>
    <w:rsid w:val="00677198"/>
    <w:rsid w:val="00702211"/>
    <w:rsid w:val="007D7F65"/>
    <w:rsid w:val="0098141C"/>
    <w:rsid w:val="00BE4049"/>
    <w:rsid w:val="00DA0CE8"/>
    <w:rsid w:val="00DE6FAE"/>
    <w:rsid w:val="00F455E8"/>
    <w:rsid w:val="1608736F"/>
    <w:rsid w:val="2ECE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2023-02-28T15:35:54Z</dcterms:created>
  <dcterms:modified xsi:type="dcterms:W3CDTF">2023-02-28T07:35:54Z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2023-02-28T15:35:54Z</dcterms:created>
  <dcterms:modified xsi:type="dcterms:W3CDTF">2023-02-28T07:35:54Z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2023-02-28T15:35:45Z</dcterms:created>
  <dcterms:modified xsi:type="dcterms:W3CDTF">2023-02-28T07:35:45Z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2023-02-28T15:35:55Z</dcterms:created>
  <dcterms:modified xsi:type="dcterms:W3CDTF">2023-02-28T07:35:55Z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2023-02-28T15:35:44Z</dcterms:created>
  <dcterms:modified xsi:type="dcterms:W3CDTF">2023-02-28T07:35:44Z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2023-02-28T15:35:40Z</dcterms:created>
  <dcterms:modified xsi:type="dcterms:W3CDTF">2023-02-28T07:35:40Z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2023-02-28T15:35:48Z</dcterms:created>
  <dcterms:modified xsi:type="dcterms:W3CDTF">2023-02-28T07:35:48Z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2023-02-28T15:35:43Z</dcterms:created>
  <dcterms:modified xsi:type="dcterms:W3CDTF">2023-02-28T07:35:43Z</dcterms:modified>
</cp:coreProperties>
</file>

<file path=customXml/itemProps1.xml><?xml version="1.0" encoding="utf-8"?>
<ds:datastoreItem xmlns:ds="http://schemas.openxmlformats.org/officeDocument/2006/customXml" ds:itemID="{85A6FC48-292C-47DF-8D20-0B73E15A9B45}">
  <ds:schemaRefs/>
</ds:datastoreItem>
</file>

<file path=customXml/itemProps10.xml><?xml version="1.0" encoding="utf-8"?>
<ds:datastoreItem xmlns:ds="http://schemas.openxmlformats.org/officeDocument/2006/customXml" ds:itemID="{79E1F313-8BD4-4567-BB8B-D7B38CAEF4A6}">
  <ds:schemaRefs/>
</ds:datastoreItem>
</file>

<file path=customXml/itemProps11.xml><?xml version="1.0" encoding="utf-8"?>
<ds:datastoreItem xmlns:ds="http://schemas.openxmlformats.org/officeDocument/2006/customXml" ds:itemID="{E5E40616-5436-4FB9-A472-143CFDD6A910}">
  <ds:schemaRefs/>
</ds:datastoreItem>
</file>

<file path=customXml/itemProps12.xml><?xml version="1.0" encoding="utf-8"?>
<ds:datastoreItem xmlns:ds="http://schemas.openxmlformats.org/officeDocument/2006/customXml" ds:itemID="{76461914-9858-4A46-9E84-B94683BC802C}">
  <ds:schemaRefs/>
</ds:datastoreItem>
</file>

<file path=customXml/itemProps13.xml><?xml version="1.0" encoding="utf-8"?>
<ds:datastoreItem xmlns:ds="http://schemas.openxmlformats.org/officeDocument/2006/customXml" ds:itemID="{48041AC0-4B39-4AD1-8875-A2AE31FA2EE3}">
  <ds:schemaRefs/>
</ds:datastoreItem>
</file>

<file path=customXml/itemProps14.xml><?xml version="1.0" encoding="utf-8"?>
<ds:datastoreItem xmlns:ds="http://schemas.openxmlformats.org/officeDocument/2006/customXml" ds:itemID="{7D286AE5-F44F-4E24-88DA-F4B1E0675661}">
  <ds:schemaRefs/>
</ds:datastoreItem>
</file>

<file path=customXml/itemProps15.xml><?xml version="1.0" encoding="utf-8"?>
<ds:datastoreItem xmlns:ds="http://schemas.openxmlformats.org/officeDocument/2006/customXml" ds:itemID="{D74CEF23-3F58-423F-9943-E8747F8BD16E}">
  <ds:schemaRefs/>
</ds:datastoreItem>
</file>

<file path=customXml/itemProps16.xml><?xml version="1.0" encoding="utf-8"?>
<ds:datastoreItem xmlns:ds="http://schemas.openxmlformats.org/officeDocument/2006/customXml" ds:itemID="{89489B4B-E7D5-463B-ACE9-B4FA3D8B8D63}">
  <ds:schemaRefs/>
</ds:datastoreItem>
</file>

<file path=customXml/itemProps17.xml><?xml version="1.0" encoding="utf-8"?>
<ds:datastoreItem xmlns:ds="http://schemas.openxmlformats.org/officeDocument/2006/customXml" ds:itemID="{6E963A40-B2F8-48D4-829B-817413A2336F}">
  <ds:schemaRefs/>
</ds:datastoreItem>
</file>

<file path=customXml/itemProps18.xml><?xml version="1.0" encoding="utf-8"?>
<ds:datastoreItem xmlns:ds="http://schemas.openxmlformats.org/officeDocument/2006/customXml" ds:itemID="{7C290781-6661-41D6-AAB9-8752D188C000}">
  <ds:schemaRefs/>
</ds:datastoreItem>
</file>

<file path=customXml/itemProps19.xml><?xml version="1.0" encoding="utf-8"?>
<ds:datastoreItem xmlns:ds="http://schemas.openxmlformats.org/officeDocument/2006/customXml" ds:itemID="{B4ED3E86-5417-4F6B-ABAB-262F92604CED}">
  <ds:schemaRefs/>
</ds:datastoreItem>
</file>

<file path=customXml/itemProps2.xml><?xml version="1.0" encoding="utf-8"?>
<ds:datastoreItem xmlns:ds="http://schemas.openxmlformats.org/officeDocument/2006/customXml" ds:itemID="{CBFE58AE-4D4A-4750-9DE2-EF6272E1AC1D}">
  <ds:schemaRefs/>
</ds:datastoreItem>
</file>

<file path=customXml/itemProps20.xml><?xml version="1.0" encoding="utf-8"?>
<ds:datastoreItem xmlns:ds="http://schemas.openxmlformats.org/officeDocument/2006/customXml" ds:itemID="{3BB3EAAA-2E15-475A-9C37-6772D1CFD29E}">
  <ds:schemaRefs/>
</ds:datastoreItem>
</file>

<file path=customXml/itemProps21.xml><?xml version="1.0" encoding="utf-8"?>
<ds:datastoreItem xmlns:ds="http://schemas.openxmlformats.org/officeDocument/2006/customXml" ds:itemID="{C93ED301-36D6-4293-BCD0-EC3474D1A15B}">
  <ds:schemaRefs/>
</ds:datastoreItem>
</file>

<file path=customXml/itemProps22.xml><?xml version="1.0" encoding="utf-8"?>
<ds:datastoreItem xmlns:ds="http://schemas.openxmlformats.org/officeDocument/2006/customXml" ds:itemID="{70FCC5CC-B00F-476E-BF86-464AE8568FBD}">
  <ds:schemaRefs/>
</ds:datastoreItem>
</file>

<file path=customXml/itemProps23.xml><?xml version="1.0" encoding="utf-8"?>
<ds:datastoreItem xmlns:ds="http://schemas.openxmlformats.org/officeDocument/2006/customXml" ds:itemID="{C2F136B1-205B-4802-8D4F-A095EDABFD11}">
  <ds:schemaRefs/>
</ds:datastoreItem>
</file>

<file path=customXml/itemProps24.xml><?xml version="1.0" encoding="utf-8"?>
<ds:datastoreItem xmlns:ds="http://schemas.openxmlformats.org/officeDocument/2006/customXml" ds:itemID="{B61E5692-BE1B-4285-BDE8-4EDF07F130D5}">
  <ds:schemaRefs/>
</ds:datastoreItem>
</file>

<file path=customXml/itemProps25.xml><?xml version="1.0" encoding="utf-8"?>
<ds:datastoreItem xmlns:ds="http://schemas.openxmlformats.org/officeDocument/2006/customXml" ds:itemID="{4738BA63-4ADE-4B6C-84FB-BF6514215A89}">
  <ds:schemaRefs/>
</ds:datastoreItem>
</file>

<file path=customXml/itemProps26.xml><?xml version="1.0" encoding="utf-8"?>
<ds:datastoreItem xmlns:ds="http://schemas.openxmlformats.org/officeDocument/2006/customXml" ds:itemID="{06DA50D8-3B8E-49D2-9704-49B50AB611A1}">
  <ds:schemaRefs/>
</ds:datastoreItem>
</file>

<file path=customXml/itemProps27.xml><?xml version="1.0" encoding="utf-8"?>
<ds:datastoreItem xmlns:ds="http://schemas.openxmlformats.org/officeDocument/2006/customXml" ds:itemID="{35D7A3AA-6A41-43CC-8776-A0A1318FA9FA}">
  <ds:schemaRefs/>
</ds:datastoreItem>
</file>

<file path=customXml/itemProps28.xml><?xml version="1.0" encoding="utf-8"?>
<ds:datastoreItem xmlns:ds="http://schemas.openxmlformats.org/officeDocument/2006/customXml" ds:itemID="{7C40781E-4277-4AF2-93EA-E4DE4D25109C}">
  <ds:schemaRefs/>
</ds:datastoreItem>
</file>

<file path=customXml/itemProps29.xml><?xml version="1.0" encoding="utf-8"?>
<ds:datastoreItem xmlns:ds="http://schemas.openxmlformats.org/officeDocument/2006/customXml" ds:itemID="{FCE240A7-1F82-4C66-9776-5E41FB3772FC}">
  <ds:schemaRefs/>
</ds:datastoreItem>
</file>

<file path=customXml/itemProps3.xml><?xml version="1.0" encoding="utf-8"?>
<ds:datastoreItem xmlns:ds="http://schemas.openxmlformats.org/officeDocument/2006/customXml" ds:itemID="{79DFDF58-384E-4CA5-BA9C-982BF5848128}">
  <ds:schemaRefs/>
</ds:datastoreItem>
</file>

<file path=customXml/itemProps30.xml><?xml version="1.0" encoding="utf-8"?>
<ds:datastoreItem xmlns:ds="http://schemas.openxmlformats.org/officeDocument/2006/customXml" ds:itemID="{99CC6863-D164-4E80-8DD5-14AF59880072}">
  <ds:schemaRefs/>
</ds:datastoreItem>
</file>

<file path=customXml/itemProps31.xml><?xml version="1.0" encoding="utf-8"?>
<ds:datastoreItem xmlns:ds="http://schemas.openxmlformats.org/officeDocument/2006/customXml" ds:itemID="{A7DACD48-231B-4FE2-AC4C-903CC7871680}">
  <ds:schemaRefs/>
</ds:datastoreItem>
</file>

<file path=customXml/itemProps32.xml><?xml version="1.0" encoding="utf-8"?>
<ds:datastoreItem xmlns:ds="http://schemas.openxmlformats.org/officeDocument/2006/customXml" ds:itemID="{7BDFB90F-9095-4D3C-971B-945BCCEA0C0B}">
  <ds:schemaRefs/>
</ds:datastoreItem>
</file>

<file path=customXml/itemProps33.xml><?xml version="1.0" encoding="utf-8"?>
<ds:datastoreItem xmlns:ds="http://schemas.openxmlformats.org/officeDocument/2006/customXml" ds:itemID="{2EAAD92D-E9D4-437E-9633-6164E8FAF010}">
  <ds:schemaRefs/>
</ds:datastoreItem>
</file>

<file path=customXml/itemProps34.xml><?xml version="1.0" encoding="utf-8"?>
<ds:datastoreItem xmlns:ds="http://schemas.openxmlformats.org/officeDocument/2006/customXml" ds:itemID="{D412C743-0225-4BB6-96C1-0F2E25721AB4}">
  <ds:schemaRefs/>
</ds:datastoreItem>
</file>

<file path=customXml/itemProps35.xml><?xml version="1.0" encoding="utf-8"?>
<ds:datastoreItem xmlns:ds="http://schemas.openxmlformats.org/officeDocument/2006/customXml" ds:itemID="{4C820162-A78B-4BDF-A8E1-70A8E6778A44}">
  <ds:schemaRefs/>
</ds:datastoreItem>
</file>

<file path=customXml/itemProps36.xml><?xml version="1.0" encoding="utf-8"?>
<ds:datastoreItem xmlns:ds="http://schemas.openxmlformats.org/officeDocument/2006/customXml" ds:itemID="{CD3BD9A6-DC65-486D-A9A7-B0F1A2FB9C20}">
  <ds:schemaRefs/>
</ds:datastoreItem>
</file>

<file path=customXml/itemProps37.xml><?xml version="1.0" encoding="utf-8"?>
<ds:datastoreItem xmlns:ds="http://schemas.openxmlformats.org/officeDocument/2006/customXml" ds:itemID="{88F8F095-DBDB-4357-9DD3-A7D3907E8996}">
  <ds:schemaRefs/>
</ds:datastoreItem>
</file>

<file path=customXml/itemProps38.xml><?xml version="1.0" encoding="utf-8"?>
<ds:datastoreItem xmlns:ds="http://schemas.openxmlformats.org/officeDocument/2006/customXml" ds:itemID="{64AC3619-D57A-428B-9C31-81FAF6FEC6B5}">
  <ds:schemaRefs/>
</ds:datastoreItem>
</file>

<file path=customXml/itemProps4.xml><?xml version="1.0" encoding="utf-8"?>
<ds:datastoreItem xmlns:ds="http://schemas.openxmlformats.org/officeDocument/2006/customXml" ds:itemID="{2D5D138D-1B61-421B-AAE0-DBBDA986D7A7}">
  <ds:schemaRefs/>
</ds:datastoreItem>
</file>

<file path=customXml/itemProps5.xml><?xml version="1.0" encoding="utf-8"?>
<ds:datastoreItem xmlns:ds="http://schemas.openxmlformats.org/officeDocument/2006/customXml" ds:itemID="{CC432C4D-92A8-4938-9FB4-6A9E137AB8FD}">
  <ds:schemaRefs/>
</ds:datastoreItem>
</file>

<file path=customXml/itemProps6.xml><?xml version="1.0" encoding="utf-8"?>
<ds:datastoreItem xmlns:ds="http://schemas.openxmlformats.org/officeDocument/2006/customXml" ds:itemID="{2FE4B57E-182F-4EA5-8BCE-AE87ACE0E282}">
  <ds:schemaRefs/>
</ds:datastoreItem>
</file>

<file path=customXml/itemProps7.xml><?xml version="1.0" encoding="utf-8"?>
<ds:datastoreItem xmlns:ds="http://schemas.openxmlformats.org/officeDocument/2006/customXml" ds:itemID="{9F7E906E-391A-42BE-8680-DD407F899613}">
  <ds:schemaRefs/>
</ds:datastoreItem>
</file>

<file path=customXml/itemProps8.xml><?xml version="1.0" encoding="utf-8"?>
<ds:datastoreItem xmlns:ds="http://schemas.openxmlformats.org/officeDocument/2006/customXml" ds:itemID="{536C05DB-63E0-484F-B305-C98646D0E200}">
  <ds:schemaRefs/>
</ds:datastoreItem>
</file>

<file path=customXml/itemProps9.xml><?xml version="1.0" encoding="utf-8"?>
<ds:datastoreItem xmlns:ds="http://schemas.openxmlformats.org/officeDocument/2006/customXml" ds:itemID="{9F530ECD-2A5C-4D60-B748-7B5294C6286D}">
  <ds:schemaRefs/>
</ds:datastoreItem>
</file>

<file path=docProps/app.xml><?xml version="1.0" encoding="utf-8"?>
<Properties xmlns="http://schemas.openxmlformats.org/officeDocument/2006/extended-properties" xmlns:vt="http://schemas.openxmlformats.org/officeDocument/2006/docPropsVTypes">
  <Template>Normal</Template>
  <Pages>32</Pages>
  <Words>2218</Words>
  <Characters>12647</Characters>
  <Lines>105</Lines>
  <Paragraphs>29</Paragraphs>
  <TotalTime>1</TotalTime>
  <ScaleCrop>false</ScaleCrop>
  <LinksUpToDate>false</LinksUpToDate>
  <CharactersWithSpaces>14836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2023-02-28T07:36:00Z</dcterms:created>
  <dc:creator>Lenovo</dc:creator>
  <cp:lastModifiedBy>lenovo</cp:lastModifiedBy>
  <dcterms:modified xsi:type="dcterms:W3CDTF">2023-11-14T03:03:27Z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F417A017F89B4A429DEF81773AFDA0C5_12</vt:lpwstr>
  </property>
</Properties>
</file>