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保定市徐水区民政局</w:t>
      </w:r>
    </w:p>
    <w:p>
      <w:pPr>
        <w:spacing w:line="360" w:lineRule="auto"/>
        <w:jc w:val="center"/>
        <w:rPr>
          <w:rFonts w:ascii="宋体" w:hAnsi="宋体" w:eastAsia="宋体"/>
          <w:b/>
          <w:sz w:val="44"/>
          <w:szCs w:val="44"/>
        </w:rPr>
      </w:pPr>
      <w:r>
        <w:rPr>
          <w:rFonts w:ascii="宋体" w:hAnsi="宋体" w:eastAsia="宋体"/>
          <w:b/>
          <w:sz w:val="44"/>
          <w:szCs w:val="44"/>
        </w:rPr>
        <w:t>2022年部门预算公开说明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w:t>
      </w:r>
      <w:bookmarkStart w:id="29" w:name="_GoBack"/>
      <w:bookmarkEnd w:id="29"/>
      <w:r>
        <w:rPr>
          <w:rFonts w:hint="eastAsia" w:ascii="仿宋" w:hAnsi="仿宋" w:eastAsia="仿宋"/>
          <w:sz w:val="32"/>
          <w:szCs w:val="32"/>
        </w:rPr>
        <w:t>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根据《保定市徐水区民政局职能配置、内设机构和人员编制规定》，保定市徐水区民政局的主要职责是：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（一）拟定我区民政事业发展规划和工作计划并负责组织实施。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（二）提出加强和改进全区基层政权建设的建议，推进基层民主政治建设；指导村（居）民委员会换届选举、民主决策、民主管理和民主监督，推进村（居）民自治工作。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（三）负责区域行政区划界线的勘定和管理，协调解决行政区划边界纠纷；负责全区乡、村的区域划分及边界线的勘定和边界纠纷的调处。</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（四）负责全区农村地名命名、更名工作和境内主要道路、街道命名、更名的审核报批工作；负责指导地名标志、街路牌、门牌的设置工作及地名资料的编纂工作。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（五）承担城乡社会救助体系建设；负责全区城乡居民最低生活保障、城乡特困供养、临时救助和生活无着流浪乞讨人员救助工作。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（六）拟定全区扶贫脱贫工作规划，制定年度计划并组织实施；协调产业扶贫项目库的规划、立项、申报和储备工作，经批准后组织实施；负责全区贫困状况的统计工作；组织实施贫困退出工作。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（七）拟订全区慈善事业发展规划和措施，组织指导社会捐助工作；负责福利彩票管理工作；负责孤儿、残疾人等特殊群体权益保护工作；健全农村留守儿童关爱服务体系和困境儿童保障制度。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（八）负责全区婚姻管理、殡葬管理和儿童收养工作；负责推进婚俗和殡葬改革工作；指导公益性公墓、骨灰堂建设。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（九）负责全区性社会团体及民办非企业单位的年度检查和执法监察工作；依法查处各类社会组织的违法违规行为和非法社会组织活动；承担区社会组织党委日常工作。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（十）负责全区养老机构的指导、监督和管理工作。拟订全区养老服务体系建设规划并组织实施，承担特殊困难老年人救助工作。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（十一）负责拟定全区社区工作发展规划，指导社区居委会开展工作。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（十二）会同有关部门拟定社会工作发展规划和措施；推进全区社会工作人才队伍建设和相关志愿者队伍建设。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（十三）负责推进全区民政系统安全生产方面的规章制度建设，组织开展本系统安全宣传教育工作；督促本系统重点单位建立健全安全管理制度和应急预案，落实安全防范措施，消除事故隐患。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（十四）完成区委、区政府交办的其他事项。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8"/>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保定市徐水区民政局（行政）</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保定市徐水区民政局（事业）</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保定市徐水区敬老院</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保定市徐水区殡葬管理所</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pPr>
              <w:jc w:val="center"/>
              <w:rPr>
                <w:rFonts w:ascii="仿宋_GB2312" w:hAnsi="仿宋" w:eastAsia="仿宋_GB2312"/>
                <w:bCs/>
                <w:sz w:val="24"/>
                <w:szCs w:val="24"/>
              </w:rPr>
            </w:pPr>
            <w:r>
              <w:rPr>
                <w:rFonts w:hint="eastAsia" w:ascii="仿宋_GB2312" w:eastAsia="仿宋_GB2312"/>
                <w:sz w:val="24"/>
                <w:szCs w:val="24"/>
              </w:rPr>
              <w:t>财政性资金定额或定项补助</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2022年预算收入为4193.35万元,其中：一般公共预算收入4054.85万元，基金预算收入121万元，</w:t>
      </w:r>
      <w:r>
        <w:rPr>
          <w:rFonts w:hint="eastAsia" w:ascii="仿宋" w:hAnsi="仿宋" w:eastAsia="仿宋"/>
          <w:sz w:val="32"/>
          <w:szCs w:val="32"/>
        </w:rPr>
        <w:t>上年</w:t>
      </w:r>
      <w:r>
        <w:rPr>
          <w:rFonts w:ascii="仿宋" w:hAnsi="仿宋" w:eastAsia="仿宋"/>
          <w:sz w:val="32"/>
          <w:szCs w:val="32"/>
        </w:rPr>
        <w:t>结转结余</w:t>
      </w:r>
      <w:r>
        <w:rPr>
          <w:rFonts w:hint="eastAsia" w:ascii="仿宋" w:hAnsi="仿宋" w:eastAsia="仿宋"/>
          <w:sz w:val="32"/>
          <w:szCs w:val="32"/>
        </w:rPr>
        <w:t>17.5万元</w:t>
      </w:r>
      <w:r>
        <w:rPr>
          <w:rFonts w:ascii="仿宋" w:hAnsi="仿宋" w:eastAsia="仿宋"/>
          <w:sz w:val="32"/>
          <w:szCs w:val="32"/>
        </w:rPr>
        <w:t>，财政专户收入0万元，其他来源收入0万元。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2022年部门支出预算：4193.35万元</w:t>
      </w:r>
      <w:r>
        <w:rPr>
          <w:rFonts w:hint="eastAsia" w:ascii="仿宋" w:hAnsi="仿宋" w:eastAsia="仿宋"/>
          <w:sz w:val="32"/>
          <w:szCs w:val="32"/>
        </w:rPr>
        <w:t>,其中</w:t>
      </w:r>
      <w:r>
        <w:rPr>
          <w:rFonts w:ascii="仿宋" w:hAnsi="仿宋" w:eastAsia="仿宋"/>
          <w:sz w:val="32"/>
          <w:szCs w:val="32"/>
        </w:rPr>
        <w:t>基本支出</w:t>
      </w:r>
      <w:r>
        <w:rPr>
          <w:rFonts w:hint="eastAsia" w:ascii="仿宋" w:hAnsi="仿宋" w:eastAsia="仿宋"/>
          <w:sz w:val="32"/>
          <w:szCs w:val="32"/>
        </w:rPr>
        <w:t>1156.73万元</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sz w:val="32"/>
          <w:szCs w:val="32"/>
        </w:rPr>
        <w:t>3036.62</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1156.73</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其中：人员经费887.41万元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日常公用经费269.32万元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3036.62万元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其中：本级支出3036.62万元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4193.35</w:t>
      </w:r>
      <w:r>
        <w:rPr>
          <w:rFonts w:hint="eastAsia" w:ascii="仿宋" w:hAnsi="仿宋" w:eastAsia="仿宋"/>
          <w:sz w:val="32"/>
          <w:szCs w:val="32"/>
        </w:rPr>
        <w:t>万元，较上年</w:t>
      </w:r>
      <w:r>
        <w:rPr>
          <w:rFonts w:ascii="仿宋" w:hAnsi="仿宋" w:eastAsia="仿宋"/>
          <w:sz w:val="32"/>
          <w:szCs w:val="32"/>
        </w:rPr>
        <w:t>减少582.03万元。其中:基本支出增加484.20万元，</w:t>
      </w:r>
      <w:r>
        <w:rPr>
          <w:rFonts w:ascii="仿宋" w:hAnsi="仿宋" w:eastAsia="仿宋"/>
          <w:color w:val="FF0000"/>
          <w:sz w:val="32"/>
          <w:szCs w:val="32"/>
        </w:rPr>
        <w:t>主要原因是</w:t>
      </w:r>
      <w:r>
        <w:rPr>
          <w:rFonts w:hint="eastAsia" w:ascii="仿宋" w:hAnsi="仿宋" w:eastAsia="仿宋"/>
          <w:color w:val="FF0000"/>
          <w:sz w:val="32"/>
          <w:szCs w:val="32"/>
        </w:rPr>
        <w:t>人员工资调整</w:t>
      </w:r>
      <w:r>
        <w:rPr>
          <w:rFonts w:ascii="仿宋" w:hAnsi="仿宋" w:eastAsia="仿宋"/>
          <w:sz w:val="32"/>
          <w:szCs w:val="32"/>
        </w:rPr>
        <w:t>；项目支出减少1066.23万元，</w:t>
      </w:r>
      <w:r>
        <w:rPr>
          <w:rFonts w:ascii="仿宋" w:hAnsi="仿宋" w:eastAsia="仿宋"/>
          <w:color w:val="FF0000"/>
          <w:sz w:val="32"/>
          <w:szCs w:val="32"/>
        </w:rPr>
        <w:t>主要原因是</w:t>
      </w:r>
      <w:r>
        <w:rPr>
          <w:rFonts w:hint="eastAsia" w:ascii="仿宋" w:hAnsi="仿宋" w:eastAsia="仿宋"/>
          <w:color w:val="FF0000"/>
          <w:sz w:val="32"/>
          <w:szCs w:val="32"/>
        </w:rPr>
        <w:t>本年度基建项目减少</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 xml:space="preserve"> </w:t>
      </w: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jc w:val="center"/>
        <w:outlineLvl w:val="0"/>
        <w:rPr>
          <w:rFonts w:ascii="方正小标宋_GBK" w:eastAsia="方正小标宋_GBK"/>
          <w:sz w:val="44"/>
        </w:rPr>
      </w:pPr>
    </w:p>
    <w:p>
      <w:pPr>
        <w:spacing w:line="360" w:lineRule="auto"/>
        <w:ind w:firstLine="640" w:firstLineChars="200"/>
        <w:rPr>
          <w:rFonts w:ascii="仿宋" w:hAnsi="仿宋" w:eastAsia="仿宋"/>
          <w:b/>
          <w:sz w:val="32"/>
          <w:szCs w:val="32"/>
        </w:rPr>
      </w:pPr>
      <w:r>
        <w:rPr>
          <w:rFonts w:ascii="仿宋" w:hAnsi="仿宋" w:eastAsia="仿宋"/>
          <w:sz w:val="32"/>
          <w:szCs w:val="32"/>
        </w:rPr>
        <w:t>2022年我部门机关运行经费安排1923.81万元，其中</w:t>
      </w:r>
      <w:r>
        <w:rPr>
          <w:rFonts w:hint="eastAsia" w:ascii="仿宋" w:hAnsi="仿宋" w:eastAsia="仿宋"/>
          <w:sz w:val="32"/>
          <w:szCs w:val="32"/>
        </w:rPr>
        <w:t>基本</w:t>
      </w:r>
      <w:r>
        <w:rPr>
          <w:rFonts w:ascii="仿宋" w:hAnsi="仿宋" w:eastAsia="仿宋"/>
          <w:sz w:val="32"/>
          <w:szCs w:val="32"/>
        </w:rPr>
        <w:t>工资</w:t>
      </w:r>
      <w:r>
        <w:rPr>
          <w:rFonts w:hint="eastAsia" w:ascii="仿宋" w:hAnsi="仿宋" w:eastAsia="仿宋"/>
          <w:sz w:val="32"/>
          <w:szCs w:val="32"/>
        </w:rPr>
        <w:t>133.47万元</w:t>
      </w:r>
      <w:r>
        <w:rPr>
          <w:rFonts w:ascii="仿宋" w:hAnsi="仿宋" w:eastAsia="仿宋"/>
          <w:sz w:val="32"/>
          <w:szCs w:val="32"/>
        </w:rPr>
        <w:t>，津贴补贴</w:t>
      </w:r>
      <w:r>
        <w:rPr>
          <w:rFonts w:hint="eastAsia" w:ascii="仿宋" w:hAnsi="仿宋" w:eastAsia="仿宋"/>
          <w:sz w:val="32"/>
          <w:szCs w:val="32"/>
        </w:rPr>
        <w:t>56.06</w:t>
      </w:r>
      <w:r>
        <w:rPr>
          <w:rFonts w:ascii="仿宋" w:hAnsi="仿宋" w:eastAsia="仿宋"/>
          <w:sz w:val="32"/>
          <w:szCs w:val="32"/>
        </w:rPr>
        <w:t>万元，奖金</w:t>
      </w:r>
      <w:r>
        <w:rPr>
          <w:rFonts w:hint="eastAsia" w:ascii="仿宋" w:hAnsi="仿宋" w:eastAsia="仿宋"/>
          <w:sz w:val="32"/>
          <w:szCs w:val="32"/>
        </w:rPr>
        <w:t>393.17</w:t>
      </w:r>
      <w:r>
        <w:rPr>
          <w:rFonts w:ascii="仿宋" w:hAnsi="仿宋" w:eastAsia="仿宋"/>
          <w:sz w:val="32"/>
          <w:szCs w:val="32"/>
        </w:rPr>
        <w:t>万元，绩效工资</w:t>
      </w:r>
      <w:r>
        <w:rPr>
          <w:rFonts w:hint="eastAsia" w:ascii="仿宋" w:hAnsi="仿宋" w:eastAsia="仿宋"/>
          <w:sz w:val="32"/>
          <w:szCs w:val="32"/>
        </w:rPr>
        <w:t>84.74</w:t>
      </w:r>
      <w:r>
        <w:rPr>
          <w:rFonts w:ascii="仿宋" w:hAnsi="仿宋" w:eastAsia="仿宋"/>
          <w:sz w:val="32"/>
          <w:szCs w:val="32"/>
        </w:rPr>
        <w:t>万元，</w:t>
      </w:r>
      <w:r>
        <w:rPr>
          <w:rFonts w:hint="eastAsia" w:ascii="仿宋" w:hAnsi="仿宋" w:eastAsia="仿宋"/>
          <w:sz w:val="32"/>
          <w:szCs w:val="32"/>
        </w:rPr>
        <w:t>机关事业</w:t>
      </w:r>
      <w:r>
        <w:rPr>
          <w:rFonts w:ascii="仿宋" w:hAnsi="仿宋" w:eastAsia="仿宋"/>
          <w:sz w:val="32"/>
          <w:szCs w:val="32"/>
        </w:rPr>
        <w:t>单位基本养老</w:t>
      </w:r>
      <w:r>
        <w:rPr>
          <w:rFonts w:hint="eastAsia" w:ascii="仿宋" w:hAnsi="仿宋" w:eastAsia="仿宋"/>
          <w:sz w:val="32"/>
          <w:szCs w:val="32"/>
        </w:rPr>
        <w:t>保险缴费40.03万元，</w:t>
      </w:r>
      <w:r>
        <w:rPr>
          <w:rFonts w:ascii="仿宋" w:hAnsi="仿宋" w:eastAsia="仿宋"/>
          <w:sz w:val="32"/>
          <w:szCs w:val="32"/>
        </w:rPr>
        <w:t>职业年金缴费</w:t>
      </w:r>
      <w:r>
        <w:rPr>
          <w:rFonts w:hint="eastAsia" w:ascii="仿宋" w:hAnsi="仿宋" w:eastAsia="仿宋"/>
          <w:sz w:val="32"/>
          <w:szCs w:val="32"/>
        </w:rPr>
        <w:t>12.49万元</w:t>
      </w:r>
      <w:r>
        <w:rPr>
          <w:rFonts w:ascii="仿宋" w:hAnsi="仿宋" w:eastAsia="仿宋"/>
          <w:sz w:val="32"/>
          <w:szCs w:val="32"/>
        </w:rPr>
        <w:t>，职工基本医疗保险缴费</w:t>
      </w:r>
      <w:r>
        <w:rPr>
          <w:rFonts w:hint="eastAsia" w:ascii="仿宋" w:hAnsi="仿宋" w:eastAsia="仿宋"/>
          <w:sz w:val="32"/>
          <w:szCs w:val="32"/>
        </w:rPr>
        <w:t>29.29</w:t>
      </w:r>
      <w:r>
        <w:rPr>
          <w:rFonts w:ascii="仿宋" w:hAnsi="仿宋" w:eastAsia="仿宋"/>
          <w:sz w:val="32"/>
          <w:szCs w:val="32"/>
        </w:rPr>
        <w:t>万元，</w:t>
      </w:r>
      <w:r>
        <w:rPr>
          <w:rFonts w:hint="eastAsia" w:ascii="仿宋" w:hAnsi="仿宋" w:eastAsia="仿宋"/>
          <w:sz w:val="32"/>
          <w:szCs w:val="32"/>
        </w:rPr>
        <w:t>住房公积金30.02</w:t>
      </w:r>
      <w:r>
        <w:rPr>
          <w:rFonts w:ascii="仿宋" w:hAnsi="仿宋" w:eastAsia="仿宋"/>
          <w:sz w:val="32"/>
          <w:szCs w:val="32"/>
        </w:rPr>
        <w:t>万</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其他</w:t>
      </w:r>
      <w:r>
        <w:rPr>
          <w:rFonts w:ascii="仿宋" w:hAnsi="仿宋" w:eastAsia="仿宋"/>
          <w:sz w:val="32"/>
          <w:szCs w:val="32"/>
        </w:rPr>
        <w:t>工资</w:t>
      </w:r>
      <w:r>
        <w:rPr>
          <w:rFonts w:hint="eastAsia" w:ascii="仿宋" w:hAnsi="仿宋" w:eastAsia="仿宋"/>
          <w:sz w:val="32"/>
          <w:szCs w:val="32"/>
        </w:rPr>
        <w:t>福利支出42万元</w:t>
      </w:r>
      <w:r>
        <w:rPr>
          <w:rFonts w:ascii="仿宋" w:hAnsi="仿宋" w:eastAsia="仿宋"/>
          <w:sz w:val="32"/>
          <w:szCs w:val="32"/>
        </w:rPr>
        <w:t>，办公费166.96万元，</w:t>
      </w:r>
      <w:r>
        <w:rPr>
          <w:rFonts w:hint="eastAsia" w:ascii="仿宋" w:hAnsi="仿宋" w:eastAsia="仿宋"/>
          <w:sz w:val="32"/>
          <w:szCs w:val="32"/>
        </w:rPr>
        <w:t>取暖费44.24万，</w:t>
      </w:r>
      <w:r>
        <w:rPr>
          <w:rFonts w:ascii="仿宋" w:hAnsi="仿宋" w:eastAsia="仿宋"/>
          <w:sz w:val="32"/>
          <w:szCs w:val="32"/>
        </w:rPr>
        <w:t>邮电费5万元，</w:t>
      </w:r>
      <w:r>
        <w:rPr>
          <w:rFonts w:hint="eastAsia" w:ascii="仿宋" w:hAnsi="仿宋" w:eastAsia="仿宋"/>
          <w:sz w:val="32"/>
          <w:szCs w:val="32"/>
        </w:rPr>
        <w:t>公务</w:t>
      </w:r>
      <w:r>
        <w:rPr>
          <w:rFonts w:ascii="仿宋" w:hAnsi="仿宋" w:eastAsia="仿宋"/>
          <w:sz w:val="32"/>
          <w:szCs w:val="32"/>
        </w:rPr>
        <w:t>接待费</w:t>
      </w:r>
      <w:r>
        <w:rPr>
          <w:rFonts w:hint="eastAsia" w:ascii="仿宋" w:hAnsi="仿宋" w:eastAsia="仿宋"/>
          <w:sz w:val="32"/>
          <w:szCs w:val="32"/>
        </w:rPr>
        <w:t>0.23万元</w:t>
      </w:r>
      <w:r>
        <w:rPr>
          <w:rFonts w:ascii="仿宋" w:hAnsi="仿宋" w:eastAsia="仿宋"/>
          <w:sz w:val="32"/>
          <w:szCs w:val="32"/>
        </w:rPr>
        <w:t>，工会经费、福利费8.34万元，公务用车运行维护费17.01万元</w:t>
      </w:r>
      <w:r>
        <w:rPr>
          <w:rFonts w:hint="eastAsia" w:ascii="仿宋" w:hAnsi="仿宋" w:eastAsia="仿宋"/>
          <w:sz w:val="32"/>
          <w:szCs w:val="32"/>
        </w:rPr>
        <w:t>，办公设备购置15</w:t>
      </w:r>
      <w:r>
        <w:rPr>
          <w:rFonts w:ascii="仿宋" w:hAnsi="仿宋" w:eastAsia="仿宋"/>
          <w:sz w:val="32"/>
          <w:szCs w:val="32"/>
        </w:rPr>
        <w:t>万元。</w:t>
      </w: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8"/>
        <w:tblW w:w="5000" w:type="pct"/>
        <w:tblInd w:w="0" w:type="dxa"/>
        <w:tblLayout w:type="autofit"/>
        <w:tblCellMar>
          <w:top w:w="0" w:type="dxa"/>
          <w:left w:w="108" w:type="dxa"/>
          <w:bottom w:w="0" w:type="dxa"/>
          <w:right w:w="108" w:type="dxa"/>
        </w:tblCellMar>
      </w:tblPr>
      <w:tblGrid>
        <w:gridCol w:w="9508"/>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8"/>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2022</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w:t>
                  </w:r>
                  <w:r>
                    <w:rPr>
                      <w:rFonts w:ascii="仿宋_GB2312" w:hAnsi="宋体" w:eastAsia="仿宋_GB2312" w:cs="宋体"/>
                      <w:kern w:val="0"/>
                      <w:sz w:val="24"/>
                      <w:szCs w:val="24"/>
                    </w:rPr>
                    <w:t>变化</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w:t>
                  </w:r>
                  <w:r>
                    <w:rPr>
                      <w:rFonts w:ascii="仿宋_GB2312" w:hAnsi="宋体" w:eastAsia="仿宋_GB2312" w:cs="宋体"/>
                      <w:kern w:val="0"/>
                      <w:sz w:val="24"/>
                      <w:szCs w:val="24"/>
                    </w:rPr>
                    <w:t>变化</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21</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17.01</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3.99</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变化原因为核定经费降低</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2</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0.23</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1.77</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变化</w:t>
                  </w:r>
                  <w:r>
                    <w:rPr>
                      <w:rFonts w:ascii="仿宋_GB2312" w:hAnsi="宋体" w:eastAsia="仿宋_GB2312" w:cs="宋体"/>
                      <w:kern w:val="0"/>
                      <w:sz w:val="24"/>
                      <w:szCs w:val="24"/>
                    </w:rPr>
                    <w:t>原因为</w:t>
                  </w:r>
                  <w:r>
                    <w:rPr>
                      <w:rFonts w:hint="eastAsia" w:ascii="仿宋_GB2312" w:hAnsi="宋体" w:eastAsia="仿宋_GB2312" w:cs="宋体"/>
                      <w:kern w:val="0"/>
                      <w:sz w:val="24"/>
                      <w:szCs w:val="24"/>
                    </w:rPr>
                    <w:t>办公经费压减</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23</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17.24</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5.76</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变化</w:t>
                  </w:r>
                  <w:r>
                    <w:rPr>
                      <w:rFonts w:ascii="仿宋_GB2312" w:hAnsi="宋体" w:eastAsia="仿宋_GB2312" w:cs="宋体"/>
                      <w:kern w:val="0"/>
                      <w:sz w:val="24"/>
                      <w:szCs w:val="24"/>
                    </w:rPr>
                    <w:t>原因为</w:t>
                  </w:r>
                  <w:r>
                    <w:rPr>
                      <w:rFonts w:hint="eastAsia" w:ascii="仿宋_GB2312" w:hAnsi="宋体" w:eastAsia="仿宋_GB2312" w:cs="宋体"/>
                      <w:kern w:val="0"/>
                      <w:sz w:val="24"/>
                      <w:szCs w:val="24"/>
                    </w:rPr>
                    <w:t>办公经费压减</w:t>
                  </w: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ind w:firstLine="640" w:firstLineChars="200"/>
        <w:rPr>
          <w:rFonts w:ascii="仿宋" w:hAnsi="仿宋" w:eastAsia="仿宋"/>
          <w:sz w:val="32"/>
          <w:szCs w:val="32"/>
        </w:rPr>
      </w:pPr>
      <w:r>
        <w:rPr>
          <w:rFonts w:ascii="仿宋" w:hAnsi="仿宋" w:eastAsia="仿宋"/>
          <w:sz w:val="32"/>
          <w:szCs w:val="32"/>
        </w:rPr>
        <w:t>2022年我部门</w:t>
      </w:r>
      <w:r>
        <w:rPr>
          <w:rFonts w:hint="eastAsia" w:ascii="仿宋" w:hAnsi="仿宋" w:eastAsia="仿宋"/>
          <w:sz w:val="32"/>
          <w:szCs w:val="32"/>
        </w:rPr>
        <w:t>因公出国经费</w:t>
      </w:r>
      <w:r>
        <w:rPr>
          <w:rFonts w:ascii="仿宋" w:hAnsi="仿宋" w:eastAsia="仿宋"/>
          <w:sz w:val="32"/>
          <w:szCs w:val="32"/>
        </w:rPr>
        <w:t>与公务用车购置经费无增减变化，</w:t>
      </w:r>
      <w:r>
        <w:rPr>
          <w:rFonts w:hint="eastAsia" w:ascii="仿宋" w:hAnsi="仿宋" w:eastAsia="仿宋"/>
          <w:sz w:val="32"/>
          <w:szCs w:val="32"/>
        </w:rPr>
        <w:t>公务</w:t>
      </w:r>
      <w:r>
        <w:rPr>
          <w:rFonts w:ascii="仿宋" w:hAnsi="仿宋" w:eastAsia="仿宋"/>
          <w:sz w:val="32"/>
          <w:szCs w:val="32"/>
        </w:rPr>
        <w:t>用车</w:t>
      </w:r>
      <w:r>
        <w:rPr>
          <w:rFonts w:hint="eastAsia" w:ascii="仿宋" w:hAnsi="仿宋" w:eastAsia="仿宋"/>
          <w:sz w:val="32"/>
          <w:szCs w:val="32"/>
        </w:rPr>
        <w:t>运行经费</w:t>
      </w:r>
      <w:r>
        <w:rPr>
          <w:rFonts w:ascii="仿宋" w:hAnsi="仿宋" w:eastAsia="仿宋"/>
          <w:sz w:val="32"/>
          <w:szCs w:val="32"/>
        </w:rPr>
        <w:t>和公务接待费支出减少，主要原因为办公经费</w:t>
      </w:r>
      <w:r>
        <w:rPr>
          <w:rFonts w:hint="eastAsia" w:ascii="仿宋" w:hAnsi="仿宋" w:eastAsia="仿宋"/>
          <w:sz w:val="32"/>
          <w:szCs w:val="32"/>
        </w:rPr>
        <w:t>压减</w:t>
      </w:r>
      <w:r>
        <w:rPr>
          <w:rFonts w:ascii="仿宋" w:hAnsi="仿宋" w:eastAsia="仿宋"/>
          <w:sz w:val="32"/>
          <w:szCs w:val="32"/>
        </w:rPr>
        <w:t>。</w:t>
      </w:r>
    </w:p>
    <w:p>
      <w:pPr>
        <w:spacing w:line="360" w:lineRule="auto"/>
        <w:ind w:firstLine="643" w:firstLineChars="200"/>
        <w:rPr>
          <w:rFonts w:ascii="仿宋" w:hAnsi="仿宋" w:eastAsia="仿宋"/>
          <w:b/>
          <w:sz w:val="32"/>
          <w:szCs w:val="32"/>
        </w:rPr>
      </w:pPr>
      <w:r>
        <w:rPr>
          <w:rFonts w:ascii="仿宋" w:hAnsi="仿宋" w:eastAsia="仿宋"/>
          <w:b/>
          <w:sz w:val="32"/>
          <w:szCs w:val="32"/>
        </w:rPr>
        <w:t xml:space="preserve"> </w:t>
      </w:r>
    </w:p>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pPr>
        <w:jc w:val="center"/>
        <w:outlineLvl w:val="0"/>
        <w:rPr>
          <w:rFonts w:ascii="方正小标宋_GBK" w:eastAsia="方正小标宋_GBK"/>
          <w:sz w:val="44"/>
        </w:rPr>
      </w:pPr>
    </w:p>
    <w:p>
      <w:pPr>
        <w:pStyle w:val="14"/>
        <w:numPr>
          <w:ilvl w:val="0"/>
          <w:numId w:val="1"/>
        </w:numPr>
        <w:spacing w:line="360" w:lineRule="auto"/>
        <w:ind w:firstLineChars="0"/>
        <w:rPr>
          <w:rFonts w:ascii="仿宋" w:hAnsi="仿宋" w:eastAsia="仿宋"/>
          <w:sz w:val="32"/>
          <w:szCs w:val="32"/>
        </w:rPr>
      </w:pPr>
      <w:bookmarkStart w:id="0" w:name="_Toc_2_2_0000000001"/>
      <w:r>
        <w:rPr>
          <w:rFonts w:ascii="仿宋" w:hAnsi="仿宋" w:eastAsia="仿宋"/>
          <w:sz w:val="32"/>
          <w:szCs w:val="32"/>
        </w:rPr>
        <w:t>总体绩效目标</w:t>
      </w:r>
      <w:bookmarkEnd w:id="0"/>
    </w:p>
    <w:p>
      <w:pPr>
        <w:spacing w:line="360" w:lineRule="auto"/>
        <w:ind w:firstLine="640" w:firstLineChars="200"/>
        <w:rPr>
          <w:rFonts w:ascii="仿宋" w:hAnsi="仿宋" w:eastAsia="仿宋"/>
          <w:sz w:val="32"/>
          <w:szCs w:val="32"/>
        </w:rPr>
      </w:pPr>
      <w:r>
        <w:rPr>
          <w:rFonts w:ascii="仿宋" w:hAnsi="仿宋" w:eastAsia="仿宋"/>
          <w:sz w:val="32"/>
          <w:szCs w:val="32"/>
        </w:rPr>
        <w:t>聚焦脱贫攻坚、特殊群体、群众关切，以做好基本民生保障、基层社会治理、基本社会服务等各项工作，不断提升人民群众获得感、幸福感、安全感为目标，让惠及百姓的政策落下去、实起来，织密扎牢民生保障“安全网”。强化基本民生保障，服务脱贫攻坚，解决好困难群众基本生活问题, 确保到2020年农村低保标准不低于扶贫标准,生活不能自理特困人员集中供养率达进一步提高，逐步提高孤儿、困难和重度残疾人生活护理水平。优化基本社会服务供给，殡葬设施满足群众基本需求和环境保护标准要求，提升社会治理水平，加强基层政权和社区建设，2022年大力发展社会组织、社会工作和慈善事业。</w:t>
      </w:r>
    </w:p>
    <w:p>
      <w:pPr>
        <w:spacing w:line="360" w:lineRule="auto"/>
        <w:ind w:firstLine="640" w:firstLineChars="200"/>
        <w:rPr>
          <w:rFonts w:ascii="仿宋" w:hAnsi="仿宋" w:eastAsia="仿宋"/>
          <w:sz w:val="32"/>
          <w:szCs w:val="32"/>
        </w:rPr>
      </w:pPr>
      <w:bookmarkStart w:id="1" w:name="_Toc_2_2_0000000002"/>
      <w:r>
        <w:rPr>
          <w:rFonts w:ascii="仿宋" w:hAnsi="仿宋" w:eastAsia="仿宋"/>
          <w:sz w:val="32"/>
          <w:szCs w:val="32"/>
        </w:rPr>
        <w:t>二、分项绩效目标</w:t>
      </w:r>
      <w:bookmarkEnd w:id="1"/>
    </w:p>
    <w:p>
      <w:pPr>
        <w:spacing w:line="360" w:lineRule="auto"/>
        <w:ind w:firstLine="640" w:firstLineChars="200"/>
        <w:rPr>
          <w:rFonts w:ascii="仿宋" w:hAnsi="仿宋" w:eastAsia="仿宋"/>
          <w:sz w:val="32"/>
          <w:szCs w:val="32"/>
        </w:rPr>
      </w:pPr>
      <w:r>
        <w:rPr>
          <w:rFonts w:ascii="仿宋" w:hAnsi="仿宋" w:eastAsia="仿宋"/>
          <w:sz w:val="32"/>
          <w:szCs w:val="32"/>
        </w:rPr>
        <w:t>（一）困难群众基本生活保障</w:t>
      </w:r>
    </w:p>
    <w:p>
      <w:pPr>
        <w:spacing w:line="360" w:lineRule="auto"/>
        <w:ind w:firstLine="640" w:firstLineChars="200"/>
        <w:rPr>
          <w:rFonts w:ascii="仿宋" w:hAnsi="仿宋" w:eastAsia="仿宋"/>
          <w:sz w:val="32"/>
          <w:szCs w:val="32"/>
        </w:rPr>
      </w:pPr>
      <w:r>
        <w:rPr>
          <w:rFonts w:ascii="仿宋" w:hAnsi="仿宋" w:eastAsia="仿宋"/>
          <w:sz w:val="32"/>
          <w:szCs w:val="32"/>
        </w:rPr>
        <w:t>绩效目标：稳步推进城乡低保提标，精准落实农村困难群体特惠政策。落实特困人员供养制度，按标准发放基本生活费和护理费。发挥临时救助在解决“两不愁三保障”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pPr>
        <w:spacing w:line="360" w:lineRule="auto"/>
        <w:ind w:firstLine="640" w:firstLineChars="200"/>
        <w:rPr>
          <w:rFonts w:ascii="仿宋" w:hAnsi="仿宋" w:eastAsia="仿宋"/>
          <w:sz w:val="32"/>
          <w:szCs w:val="32"/>
        </w:rPr>
      </w:pPr>
      <w:r>
        <w:rPr>
          <w:rFonts w:ascii="仿宋" w:hAnsi="仿宋" w:eastAsia="仿宋"/>
          <w:sz w:val="32"/>
          <w:szCs w:val="32"/>
        </w:rPr>
        <w:t>绩效指标：对申请救助且符合救助条件的生活无着流浪乞讨人员100%实施救助，帮助查明身份的滞留流浪乞讨人员及时返乡，确保不发生非正常重大事件。补助资金直接支付到救助对象账户占全部补贴对象的比率达到95%以上，特困人员基本生活标准不低于当地低保标准的1.3倍。</w:t>
      </w:r>
    </w:p>
    <w:p>
      <w:pPr>
        <w:spacing w:line="360" w:lineRule="auto"/>
        <w:ind w:firstLine="640" w:firstLineChars="200"/>
        <w:rPr>
          <w:rFonts w:ascii="仿宋" w:hAnsi="仿宋" w:eastAsia="仿宋"/>
          <w:sz w:val="32"/>
          <w:szCs w:val="32"/>
        </w:rPr>
      </w:pPr>
      <w:r>
        <w:rPr>
          <w:rFonts w:ascii="仿宋" w:hAnsi="仿宋" w:eastAsia="仿宋"/>
          <w:sz w:val="32"/>
          <w:szCs w:val="32"/>
        </w:rPr>
        <w:t>（二）福利和慈善事业</w:t>
      </w:r>
    </w:p>
    <w:p>
      <w:pPr>
        <w:spacing w:line="360" w:lineRule="auto"/>
        <w:ind w:firstLine="640" w:firstLineChars="200"/>
        <w:rPr>
          <w:rFonts w:ascii="仿宋" w:hAnsi="仿宋" w:eastAsia="仿宋"/>
          <w:sz w:val="32"/>
          <w:szCs w:val="32"/>
        </w:rPr>
      </w:pPr>
      <w:r>
        <w:rPr>
          <w:rFonts w:ascii="仿宋" w:hAnsi="仿宋" w:eastAsia="仿宋"/>
          <w:sz w:val="32"/>
          <w:szCs w:val="32"/>
        </w:rPr>
        <w:t>绩效目标：加快推进居家社区机构相协调、医养相结合的养老服务体系建设。覆盖城乡的居家养老服务网络基本形成。养老机构床位供给结构更加合理。养老服务实现良性发展。</w:t>
      </w:r>
    </w:p>
    <w:p>
      <w:pPr>
        <w:spacing w:line="360" w:lineRule="auto"/>
        <w:ind w:firstLine="640" w:firstLineChars="200"/>
        <w:rPr>
          <w:rFonts w:ascii="仿宋" w:hAnsi="仿宋" w:eastAsia="仿宋"/>
          <w:sz w:val="32"/>
          <w:szCs w:val="32"/>
        </w:rPr>
      </w:pPr>
      <w:r>
        <w:rPr>
          <w:rFonts w:ascii="仿宋" w:hAnsi="仿宋" w:eastAsia="仿宋"/>
          <w:sz w:val="32"/>
          <w:szCs w:val="32"/>
        </w:rPr>
        <w:t>绩效指标：得到医疗救治并治愈的人员数量占得到救治人数的比例达到95%以上，抽样调查入住养老机构老年人的各项满意度，测评得分达到非常满意或满意标准的问卷占全部问卷的比例达到90%以上，有集中供养意愿的不能自理特困人员数量与实际参加集中供养人员数量的比例达到35%以上。</w:t>
      </w:r>
    </w:p>
    <w:p>
      <w:pPr>
        <w:spacing w:line="360" w:lineRule="auto"/>
        <w:ind w:firstLine="640" w:firstLineChars="200"/>
        <w:rPr>
          <w:rFonts w:ascii="仿宋" w:hAnsi="仿宋" w:eastAsia="仿宋"/>
          <w:sz w:val="32"/>
          <w:szCs w:val="32"/>
        </w:rPr>
      </w:pPr>
      <w:r>
        <w:rPr>
          <w:rFonts w:ascii="仿宋" w:hAnsi="仿宋" w:eastAsia="仿宋"/>
          <w:sz w:val="32"/>
          <w:szCs w:val="32"/>
        </w:rPr>
        <w:t>（三）殡葬服务</w:t>
      </w:r>
    </w:p>
    <w:p>
      <w:pPr>
        <w:spacing w:line="360" w:lineRule="auto"/>
        <w:ind w:firstLine="640" w:firstLineChars="200"/>
        <w:rPr>
          <w:rFonts w:ascii="仿宋" w:hAnsi="仿宋" w:eastAsia="仿宋"/>
          <w:sz w:val="32"/>
          <w:szCs w:val="32"/>
        </w:rPr>
      </w:pPr>
      <w:r>
        <w:rPr>
          <w:rFonts w:ascii="仿宋" w:hAnsi="仿宋" w:eastAsia="仿宋"/>
          <w:sz w:val="32"/>
          <w:szCs w:val="32"/>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pPr>
        <w:spacing w:line="360" w:lineRule="auto"/>
        <w:ind w:firstLine="640" w:firstLineChars="200"/>
        <w:rPr>
          <w:rFonts w:ascii="仿宋" w:hAnsi="仿宋" w:eastAsia="仿宋"/>
          <w:sz w:val="32"/>
          <w:szCs w:val="32"/>
        </w:rPr>
      </w:pPr>
      <w:r>
        <w:rPr>
          <w:rFonts w:ascii="仿宋" w:hAnsi="仿宋" w:eastAsia="仿宋"/>
          <w:sz w:val="32"/>
          <w:szCs w:val="32"/>
        </w:rPr>
        <w:t>绩效指标：殡葬设施设备年更新改造率达到95%以上，殡葬设备环保更新数量占已有殡葬设备数量的比例达到95%以上。</w:t>
      </w:r>
    </w:p>
    <w:p>
      <w:pPr>
        <w:spacing w:line="360" w:lineRule="auto"/>
        <w:ind w:firstLine="640" w:firstLineChars="200"/>
        <w:rPr>
          <w:rFonts w:ascii="仿宋" w:hAnsi="仿宋" w:eastAsia="仿宋"/>
          <w:sz w:val="32"/>
          <w:szCs w:val="32"/>
        </w:rPr>
      </w:pPr>
      <w:r>
        <w:rPr>
          <w:rFonts w:ascii="仿宋" w:hAnsi="仿宋" w:eastAsia="仿宋"/>
          <w:sz w:val="32"/>
          <w:szCs w:val="32"/>
        </w:rPr>
        <w:t>（四）基层政权和社区建设</w:t>
      </w:r>
    </w:p>
    <w:p>
      <w:pPr>
        <w:spacing w:line="360" w:lineRule="auto"/>
        <w:ind w:firstLine="640" w:firstLineChars="200"/>
        <w:rPr>
          <w:rFonts w:ascii="仿宋" w:hAnsi="仿宋" w:eastAsia="仿宋"/>
          <w:sz w:val="32"/>
          <w:szCs w:val="32"/>
        </w:rPr>
      </w:pPr>
      <w:r>
        <w:rPr>
          <w:rFonts w:ascii="仿宋" w:hAnsi="仿宋" w:eastAsia="仿宋"/>
          <w:sz w:val="32"/>
          <w:szCs w:val="32"/>
        </w:rPr>
        <w:t>绩效目标：规范社区建设补助资金项目工作程序。建立健全城乡基层群众自治组织，在村（居）民委员会实行“四个民主”；按照“四有一创”标准开展城市社区建设，按照农村社区建设实验全覆盖创建标准开展农村社区建设。</w:t>
      </w:r>
    </w:p>
    <w:p>
      <w:pPr>
        <w:spacing w:line="360" w:lineRule="auto"/>
        <w:ind w:firstLine="640" w:firstLineChars="200"/>
        <w:rPr>
          <w:rFonts w:ascii="仿宋" w:hAnsi="仿宋" w:eastAsia="仿宋"/>
          <w:sz w:val="32"/>
          <w:szCs w:val="32"/>
        </w:rPr>
      </w:pPr>
      <w:r>
        <w:rPr>
          <w:rFonts w:ascii="仿宋" w:hAnsi="仿宋" w:eastAsia="仿宋"/>
          <w:sz w:val="32"/>
          <w:szCs w:val="32"/>
        </w:rPr>
        <w:t>绩效指标：一年内项目建设完工率达到80%以上；农村社区建设试点单位完成试点工作任务比例达到95%以上，社区风貌得到明显提升；农村社区综合服务设施覆盖率达到50%以上。</w:t>
      </w:r>
    </w:p>
    <w:p>
      <w:pPr>
        <w:spacing w:line="360" w:lineRule="auto"/>
        <w:ind w:firstLine="640" w:firstLineChars="200"/>
        <w:rPr>
          <w:rFonts w:ascii="仿宋" w:hAnsi="仿宋" w:eastAsia="仿宋"/>
          <w:sz w:val="32"/>
          <w:szCs w:val="32"/>
        </w:rPr>
      </w:pPr>
      <w:bookmarkStart w:id="2" w:name="_Toc_2_2_0000000003"/>
      <w:r>
        <w:rPr>
          <w:rFonts w:ascii="仿宋" w:hAnsi="仿宋" w:eastAsia="仿宋"/>
          <w:sz w:val="32"/>
          <w:szCs w:val="32"/>
        </w:rPr>
        <w:t>三、工作保障措施</w:t>
      </w:r>
      <w:bookmarkEnd w:id="2"/>
    </w:p>
    <w:p>
      <w:pPr>
        <w:spacing w:line="360" w:lineRule="auto"/>
        <w:ind w:firstLine="640" w:firstLineChars="200"/>
        <w:rPr>
          <w:rFonts w:ascii="仿宋" w:hAnsi="仿宋" w:eastAsia="仿宋"/>
          <w:sz w:val="32"/>
          <w:szCs w:val="32"/>
        </w:rPr>
      </w:pPr>
      <w:r>
        <w:rPr>
          <w:rFonts w:ascii="仿宋" w:hAnsi="仿宋" w:eastAsia="仿宋"/>
          <w:sz w:val="32"/>
          <w:szCs w:val="32"/>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pPr>
        <w:spacing w:line="360" w:lineRule="auto"/>
        <w:ind w:firstLine="640" w:firstLineChars="200"/>
        <w:rPr>
          <w:rFonts w:ascii="仿宋" w:hAnsi="仿宋" w:eastAsia="仿宋"/>
          <w:sz w:val="32"/>
          <w:szCs w:val="32"/>
        </w:rPr>
      </w:pPr>
      <w:r>
        <w:rPr>
          <w:rFonts w:ascii="仿宋" w:hAnsi="仿宋" w:eastAsia="仿宋"/>
          <w:sz w:val="32"/>
          <w:szCs w:val="32"/>
        </w:rPr>
        <w:t>（二）注重实效，加强预算绩效管理。落实全面预算绩效管理要求。围绕部门职责和事业发展规划设定绩效目标，按要求开展部门预算绩效实时监控、绩效自评和重点评价工作，对评价中发现的问题及时整改，推动提高部门整体绩效管理水平。</w:t>
      </w:r>
    </w:p>
    <w:p>
      <w:pPr>
        <w:spacing w:line="360" w:lineRule="auto"/>
        <w:ind w:firstLine="640" w:firstLineChars="200"/>
        <w:rPr>
          <w:rFonts w:ascii="仿宋" w:hAnsi="仿宋" w:eastAsia="仿宋"/>
          <w:sz w:val="32"/>
          <w:szCs w:val="32"/>
        </w:rPr>
      </w:pPr>
      <w:r>
        <w:rPr>
          <w:rFonts w:ascii="仿宋" w:hAnsi="仿宋" w:eastAsia="仿宋"/>
          <w:sz w:val="32"/>
          <w:szCs w:val="32"/>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pPr>
        <w:spacing w:line="360" w:lineRule="auto"/>
        <w:ind w:firstLine="640" w:firstLineChars="200"/>
        <w:rPr>
          <w:rFonts w:ascii="仿宋" w:hAnsi="仿宋" w:eastAsia="仿宋"/>
          <w:sz w:val="32"/>
          <w:szCs w:val="32"/>
        </w:rPr>
      </w:pPr>
      <w:r>
        <w:rPr>
          <w:rFonts w:ascii="仿宋" w:hAnsi="仿宋" w:eastAsia="仿宋"/>
          <w:sz w:val="32"/>
          <w:szCs w:val="32"/>
        </w:rPr>
        <w:t>（四）丰富手段，提高信息化水平。通过社会救助信息管理平台（二期）建设，集成养老信息管理系统、基层政权和社区建设系统、互联网+民政服务平台、民政数据共享服务一体化信息管理平台，圆满完成各项任务目标。</w:t>
      </w:r>
    </w:p>
    <w:p>
      <w:pPr>
        <w:spacing w:line="360" w:lineRule="auto"/>
        <w:ind w:firstLine="640" w:firstLineChars="200"/>
        <w:rPr>
          <w:rFonts w:ascii="仿宋" w:hAnsi="仿宋" w:eastAsia="仿宋"/>
          <w:sz w:val="32"/>
          <w:szCs w:val="32"/>
        </w:rPr>
      </w:pPr>
      <w:r>
        <w:rPr>
          <w:rFonts w:ascii="仿宋" w:hAnsi="仿宋" w:eastAsia="仿宋"/>
          <w:sz w:val="32"/>
          <w:szCs w:val="32"/>
        </w:rPr>
        <w:t>（五）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ind w:firstLine="560"/>
        <w:outlineLvl w:val="3"/>
      </w:pPr>
      <w:bookmarkStart w:id="3" w:name="_Toc_4_4_0000000004"/>
      <w:r>
        <w:rPr>
          <w:rFonts w:ascii="方正仿宋_GBK" w:hAnsi="方正仿宋_GBK" w:eastAsia="方正仿宋_GBK" w:cs="方正仿宋_GBK"/>
          <w:color w:val="000000"/>
          <w:sz w:val="28"/>
        </w:rPr>
        <w:t>1.鹤园老年公寓服务费绩效目标表</w:t>
      </w:r>
      <w:bookmarkEnd w:id="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13062522P00456510097Y</w:t>
            </w:r>
          </w:p>
        </w:tc>
        <w:tc>
          <w:tcPr>
            <w:tcW w:w="1587" w:type="dxa"/>
            <w:vAlign w:val="center"/>
          </w:tcPr>
          <w:p>
            <w:pPr>
              <w:pStyle w:val="21"/>
            </w:pPr>
            <w:r>
              <w:t>项目名称</w:t>
            </w:r>
          </w:p>
        </w:tc>
        <w:tc>
          <w:tcPr>
            <w:tcW w:w="4422" w:type="dxa"/>
            <w:gridSpan w:val="3"/>
            <w:vAlign w:val="center"/>
          </w:tcPr>
          <w:p>
            <w:pPr>
              <w:pStyle w:val="20"/>
            </w:pPr>
            <w:r>
              <w:t>鹤园老年公寓服务费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180.00</w:t>
            </w:r>
          </w:p>
        </w:tc>
        <w:tc>
          <w:tcPr>
            <w:tcW w:w="1587" w:type="dxa"/>
            <w:vAlign w:val="center"/>
          </w:tcPr>
          <w:p>
            <w:pPr>
              <w:pStyle w:val="21"/>
            </w:pPr>
            <w:r>
              <w:t>其中：财政    资金</w:t>
            </w:r>
          </w:p>
        </w:tc>
        <w:tc>
          <w:tcPr>
            <w:tcW w:w="1304" w:type="dxa"/>
            <w:vAlign w:val="center"/>
          </w:tcPr>
          <w:p>
            <w:pPr>
              <w:pStyle w:val="20"/>
            </w:pPr>
            <w:r>
              <w:t>180.00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具体用于老年公寓护理服务费用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1.促进养老结构侧供给改革。</w:t>
            </w:r>
          </w:p>
          <w:p>
            <w:pPr>
              <w:pStyle w:val="20"/>
            </w:pPr>
            <w:r>
              <w:t>2.具体用于老年公寓老人护理服务费用</w:t>
            </w:r>
          </w:p>
          <w:p>
            <w:pPr>
              <w:pStyle w:val="20"/>
            </w:pPr>
            <w:r>
              <w:t>3.根据实际人数和标准核算，按月支出，每月预计支出15万，12月支出完毕。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护理服务对象数量</w:t>
            </w:r>
          </w:p>
        </w:tc>
        <w:tc>
          <w:tcPr>
            <w:tcW w:w="2891" w:type="dxa"/>
            <w:vAlign w:val="center"/>
          </w:tcPr>
          <w:p>
            <w:pPr>
              <w:pStyle w:val="20"/>
            </w:pPr>
            <w:r>
              <w:t>护理老人数量</w:t>
            </w:r>
          </w:p>
        </w:tc>
        <w:tc>
          <w:tcPr>
            <w:tcW w:w="1276" w:type="dxa"/>
            <w:vAlign w:val="center"/>
          </w:tcPr>
          <w:p>
            <w:pPr>
              <w:pStyle w:val="20"/>
            </w:pPr>
            <w:r>
              <w:t>≥180人</w:t>
            </w:r>
          </w:p>
        </w:tc>
        <w:tc>
          <w:tcPr>
            <w:tcW w:w="1843" w:type="dxa"/>
            <w:vAlign w:val="center"/>
          </w:tcPr>
          <w:p>
            <w:pPr>
              <w:pStyle w:val="20"/>
            </w:pPr>
            <w:r>
              <w:t>区政府对民政局关于敬老院出租床位及政府购买服务的请示的批复</w:t>
            </w:r>
          </w:p>
          <w:p>
            <w:pPr>
              <w:pStyle w:val="20"/>
            </w:pPr>
            <w:r>
              <w:t>区政府对民政局关于敬老院政府购买服务资金的请示的批示</w:t>
            </w:r>
          </w:p>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服务质量达标率</w:t>
            </w:r>
          </w:p>
        </w:tc>
        <w:tc>
          <w:tcPr>
            <w:tcW w:w="2891" w:type="dxa"/>
            <w:vAlign w:val="center"/>
          </w:tcPr>
          <w:p>
            <w:pPr>
              <w:pStyle w:val="20"/>
            </w:pPr>
            <w:r>
              <w:t>服务质量达标率</w:t>
            </w:r>
          </w:p>
        </w:tc>
        <w:tc>
          <w:tcPr>
            <w:tcW w:w="1276" w:type="dxa"/>
            <w:vAlign w:val="center"/>
          </w:tcPr>
          <w:p>
            <w:pPr>
              <w:pStyle w:val="20"/>
            </w:pPr>
            <w:r>
              <w:t>≥95百分比</w:t>
            </w:r>
          </w:p>
        </w:tc>
        <w:tc>
          <w:tcPr>
            <w:tcW w:w="1843" w:type="dxa"/>
            <w:vAlign w:val="center"/>
          </w:tcPr>
          <w:p>
            <w:pPr>
              <w:pStyle w:val="20"/>
            </w:pPr>
            <w:r>
              <w:t>区政府对民政局关于敬老院出租床位及政府购买服务的请示的批复</w:t>
            </w:r>
          </w:p>
          <w:p>
            <w:pPr>
              <w:pStyle w:val="20"/>
            </w:pPr>
            <w:r>
              <w:t>区政府对民政局关于敬老院政府购买服务资金的请示的批示</w:t>
            </w:r>
          </w:p>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服务及时率</w:t>
            </w:r>
          </w:p>
        </w:tc>
        <w:tc>
          <w:tcPr>
            <w:tcW w:w="2891" w:type="dxa"/>
            <w:vAlign w:val="center"/>
          </w:tcPr>
          <w:p>
            <w:pPr>
              <w:pStyle w:val="20"/>
            </w:pPr>
            <w:r>
              <w:t>服务及时率</w:t>
            </w:r>
          </w:p>
        </w:tc>
        <w:tc>
          <w:tcPr>
            <w:tcW w:w="1276" w:type="dxa"/>
            <w:vAlign w:val="center"/>
          </w:tcPr>
          <w:p>
            <w:pPr>
              <w:pStyle w:val="20"/>
            </w:pPr>
            <w:r>
              <w:t>≥95百分比</w:t>
            </w:r>
          </w:p>
        </w:tc>
        <w:tc>
          <w:tcPr>
            <w:tcW w:w="1843" w:type="dxa"/>
            <w:vAlign w:val="center"/>
          </w:tcPr>
          <w:p>
            <w:pPr>
              <w:pStyle w:val="20"/>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护理标准</w:t>
            </w:r>
          </w:p>
        </w:tc>
        <w:tc>
          <w:tcPr>
            <w:tcW w:w="2891" w:type="dxa"/>
            <w:vAlign w:val="center"/>
          </w:tcPr>
          <w:p>
            <w:pPr>
              <w:pStyle w:val="20"/>
            </w:pPr>
            <w:r>
              <w:t>护理标准</w:t>
            </w:r>
          </w:p>
        </w:tc>
        <w:tc>
          <w:tcPr>
            <w:tcW w:w="1276" w:type="dxa"/>
            <w:vAlign w:val="center"/>
          </w:tcPr>
          <w:p>
            <w:pPr>
              <w:pStyle w:val="20"/>
            </w:pPr>
            <w:r>
              <w:t>≥95自理者448元/人/月；半自理者748元/人/月；不能自理者1198元/人/月</w:t>
            </w:r>
          </w:p>
        </w:tc>
        <w:tc>
          <w:tcPr>
            <w:tcW w:w="1843" w:type="dxa"/>
            <w:vAlign w:val="center"/>
          </w:tcPr>
          <w:p>
            <w:pPr>
              <w:pStyle w:val="20"/>
            </w:pPr>
            <w:r>
              <w:t>区政府对民政局关于敬老院出租床位及政府购买服务的请示的批复</w:t>
            </w:r>
          </w:p>
          <w:p>
            <w:pPr>
              <w:pStyle w:val="20"/>
            </w:pPr>
            <w:r>
              <w:t>区政府对民政局关于敬老院政府购买服务资金的请示的批示</w:t>
            </w:r>
          </w:p>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促进养老机构改革</w:t>
            </w:r>
          </w:p>
        </w:tc>
        <w:tc>
          <w:tcPr>
            <w:tcW w:w="2891" w:type="dxa"/>
            <w:vAlign w:val="center"/>
          </w:tcPr>
          <w:p>
            <w:pPr>
              <w:pStyle w:val="20"/>
            </w:pPr>
            <w:r>
              <w:t>是否促进养老机构改革</w:t>
            </w:r>
          </w:p>
        </w:tc>
        <w:tc>
          <w:tcPr>
            <w:tcW w:w="1276" w:type="dxa"/>
            <w:vAlign w:val="center"/>
          </w:tcPr>
          <w:p>
            <w:pPr>
              <w:pStyle w:val="20"/>
            </w:pPr>
            <w:r>
              <w:t>≥95是</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 w:name="_Toc_4_4_0000000005"/>
      <w:r>
        <w:rPr>
          <w:rFonts w:ascii="方正仿宋_GBK" w:hAnsi="方正仿宋_GBK" w:eastAsia="方正仿宋_GBK" w:cs="方正仿宋_GBK"/>
          <w:color w:val="000000"/>
          <w:sz w:val="28"/>
        </w:rPr>
        <w:t>2.城乡低保工作经费（运转保障）绩效目标表</w:t>
      </w:r>
      <w:bookmarkEnd w:id="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13062522P00456610315A</w:t>
            </w:r>
          </w:p>
        </w:tc>
        <w:tc>
          <w:tcPr>
            <w:tcW w:w="1587" w:type="dxa"/>
            <w:vAlign w:val="center"/>
          </w:tcPr>
          <w:p>
            <w:pPr>
              <w:pStyle w:val="21"/>
            </w:pPr>
            <w:r>
              <w:t>项目名称</w:t>
            </w:r>
          </w:p>
        </w:tc>
        <w:tc>
          <w:tcPr>
            <w:tcW w:w="4422" w:type="dxa"/>
            <w:gridSpan w:val="3"/>
            <w:vAlign w:val="center"/>
          </w:tcPr>
          <w:p>
            <w:pPr>
              <w:pStyle w:val="20"/>
            </w:pPr>
            <w:r>
              <w:t>城乡低保工作经费（运转保障）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6.99</w:t>
            </w:r>
          </w:p>
        </w:tc>
        <w:tc>
          <w:tcPr>
            <w:tcW w:w="1587" w:type="dxa"/>
            <w:vAlign w:val="center"/>
          </w:tcPr>
          <w:p>
            <w:pPr>
              <w:pStyle w:val="21"/>
            </w:pPr>
            <w:r>
              <w:t>其中：财政    资金</w:t>
            </w:r>
          </w:p>
        </w:tc>
        <w:tc>
          <w:tcPr>
            <w:tcW w:w="1304" w:type="dxa"/>
            <w:vAlign w:val="center"/>
          </w:tcPr>
          <w:p>
            <w:pPr>
              <w:pStyle w:val="20"/>
            </w:pPr>
            <w:r>
              <w:t>6.99</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推动城乡低保工作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1.保障城乡低保工作顺利进行</w:t>
            </w:r>
          </w:p>
          <w:p>
            <w:pPr>
              <w:pStyle w:val="20"/>
            </w:pPr>
            <w:r>
              <w:t>2.具体用于城乡低保的工作经费，推动城乡低保工作</w:t>
            </w:r>
          </w:p>
          <w:p>
            <w:pPr>
              <w:pStyle w:val="20"/>
            </w:pPr>
            <w:r>
              <w:t>3.资金按季度支出，预计12月份支出完毕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低保工作覆盖乡镇数</w:t>
            </w:r>
          </w:p>
        </w:tc>
        <w:tc>
          <w:tcPr>
            <w:tcW w:w="2891" w:type="dxa"/>
            <w:vAlign w:val="center"/>
          </w:tcPr>
          <w:p>
            <w:pPr>
              <w:pStyle w:val="20"/>
            </w:pPr>
            <w:r>
              <w:t>低保工作覆盖乡镇率</w:t>
            </w:r>
          </w:p>
        </w:tc>
        <w:tc>
          <w:tcPr>
            <w:tcW w:w="1276" w:type="dxa"/>
            <w:vAlign w:val="center"/>
          </w:tcPr>
          <w:p>
            <w:pPr>
              <w:pStyle w:val="20"/>
            </w:pPr>
            <w:r>
              <w:t>14个</w:t>
            </w:r>
          </w:p>
        </w:tc>
        <w:tc>
          <w:tcPr>
            <w:tcW w:w="1843" w:type="dxa"/>
            <w:vAlign w:val="center"/>
          </w:tcPr>
          <w:p>
            <w:pPr>
              <w:pStyle w:val="20"/>
            </w:pPr>
            <w:r>
              <w:t>保定市徐水区人民政府办公室关于印发《保定市徐水区最低生活保障实施细则（试行）》的通知（[2019-11]）要求，“工作经费由区级财政部门按照辖区上年度低保对象每人不少于15元的标准专项列支”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低保审批合格率</w:t>
            </w:r>
          </w:p>
        </w:tc>
        <w:tc>
          <w:tcPr>
            <w:tcW w:w="2891" w:type="dxa"/>
            <w:vAlign w:val="center"/>
          </w:tcPr>
          <w:p>
            <w:pPr>
              <w:pStyle w:val="20"/>
            </w:pPr>
            <w:r>
              <w:t>低保审批是否合格</w:t>
            </w:r>
          </w:p>
        </w:tc>
        <w:tc>
          <w:tcPr>
            <w:tcW w:w="1276" w:type="dxa"/>
            <w:vAlign w:val="center"/>
          </w:tcPr>
          <w:p>
            <w:pPr>
              <w:pStyle w:val="20"/>
            </w:pPr>
            <w:r>
              <w:t>≥95百分比</w:t>
            </w:r>
          </w:p>
        </w:tc>
        <w:tc>
          <w:tcPr>
            <w:tcW w:w="1843" w:type="dxa"/>
            <w:vAlign w:val="center"/>
          </w:tcPr>
          <w:p>
            <w:pPr>
              <w:pStyle w:val="20"/>
            </w:pPr>
            <w:r>
              <w:t>保定市徐水区人民政府办公室关于印发《保定市徐水区最低生活保障实施细则（试行）》的通知（[2019-11]）要求，“工作经费由区级财政部门按照辖区上年度低保对象每人不少于15元的标准专项列支”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低保审批及时率</w:t>
            </w:r>
          </w:p>
        </w:tc>
        <w:tc>
          <w:tcPr>
            <w:tcW w:w="2891" w:type="dxa"/>
            <w:vAlign w:val="center"/>
          </w:tcPr>
          <w:p>
            <w:pPr>
              <w:pStyle w:val="20"/>
            </w:pPr>
            <w:r>
              <w:t>低保审批是否及时</w:t>
            </w:r>
          </w:p>
        </w:tc>
        <w:tc>
          <w:tcPr>
            <w:tcW w:w="1276" w:type="dxa"/>
            <w:vAlign w:val="center"/>
          </w:tcPr>
          <w:p>
            <w:pPr>
              <w:pStyle w:val="20"/>
            </w:pPr>
            <w:r>
              <w:t>≥95百分比</w:t>
            </w:r>
          </w:p>
        </w:tc>
        <w:tc>
          <w:tcPr>
            <w:tcW w:w="1843" w:type="dxa"/>
            <w:vAlign w:val="center"/>
          </w:tcPr>
          <w:p>
            <w:pPr>
              <w:pStyle w:val="20"/>
            </w:pPr>
            <w:r>
              <w:t>保定市徐水区人民政府办公室关于印发《保定市徐水区最低生活保障实施细则（试行）》的通知（[2019-11]）要求，“工作经费由区级财政部门按照辖区上年度低保对象每人不少于15元的标准专项列支”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预算执行率</w:t>
            </w:r>
          </w:p>
        </w:tc>
        <w:tc>
          <w:tcPr>
            <w:tcW w:w="2891" w:type="dxa"/>
            <w:vAlign w:val="center"/>
          </w:tcPr>
          <w:p>
            <w:pPr>
              <w:pStyle w:val="20"/>
            </w:pPr>
            <w:r>
              <w:t>预算执行情况</w:t>
            </w:r>
          </w:p>
        </w:tc>
        <w:tc>
          <w:tcPr>
            <w:tcW w:w="1276" w:type="dxa"/>
            <w:vAlign w:val="center"/>
          </w:tcPr>
          <w:p>
            <w:pPr>
              <w:pStyle w:val="20"/>
            </w:pPr>
            <w:r>
              <w:t>≥95百分比</w:t>
            </w:r>
          </w:p>
        </w:tc>
        <w:tc>
          <w:tcPr>
            <w:tcW w:w="1843" w:type="dxa"/>
            <w:vAlign w:val="center"/>
          </w:tcPr>
          <w:p>
            <w:pPr>
              <w:pStyle w:val="20"/>
            </w:pPr>
            <w:r>
              <w:t>资金支出情况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保障全区低保工作</w:t>
            </w:r>
          </w:p>
        </w:tc>
        <w:tc>
          <w:tcPr>
            <w:tcW w:w="2891" w:type="dxa"/>
            <w:vAlign w:val="center"/>
          </w:tcPr>
          <w:p>
            <w:pPr>
              <w:pStyle w:val="20"/>
            </w:pPr>
            <w:r>
              <w:t>能否保障全区低保人群的基本生活</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5" w:name="_Toc_4_4_0000000006"/>
      <w:r>
        <w:rPr>
          <w:rFonts w:ascii="方正仿宋_GBK" w:hAnsi="方正仿宋_GBK" w:eastAsia="方正仿宋_GBK" w:cs="方正仿宋_GBK"/>
          <w:color w:val="000000"/>
          <w:sz w:val="28"/>
        </w:rPr>
        <w:t>3.地下骨灰堂土场临时占地所需资金绩效目标表</w:t>
      </w:r>
      <w:bookmarkEnd w:id="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13062522P004567104712</w:t>
            </w:r>
          </w:p>
        </w:tc>
        <w:tc>
          <w:tcPr>
            <w:tcW w:w="1587" w:type="dxa"/>
            <w:vAlign w:val="center"/>
          </w:tcPr>
          <w:p>
            <w:pPr>
              <w:pStyle w:val="21"/>
            </w:pPr>
            <w:r>
              <w:t>项目名称</w:t>
            </w:r>
          </w:p>
        </w:tc>
        <w:tc>
          <w:tcPr>
            <w:tcW w:w="4422" w:type="dxa"/>
            <w:gridSpan w:val="3"/>
            <w:vAlign w:val="center"/>
          </w:tcPr>
          <w:p>
            <w:pPr>
              <w:pStyle w:val="20"/>
            </w:pPr>
            <w:r>
              <w:t>地下骨灰堂土场临时占地所需资金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9.80</w:t>
            </w:r>
          </w:p>
        </w:tc>
        <w:tc>
          <w:tcPr>
            <w:tcW w:w="1587" w:type="dxa"/>
            <w:vAlign w:val="center"/>
          </w:tcPr>
          <w:p>
            <w:pPr>
              <w:pStyle w:val="21"/>
            </w:pPr>
            <w:r>
              <w:t>其中：财政    资金</w:t>
            </w:r>
          </w:p>
        </w:tc>
        <w:tc>
          <w:tcPr>
            <w:tcW w:w="1304" w:type="dxa"/>
            <w:vAlign w:val="center"/>
          </w:tcPr>
          <w:p>
            <w:pPr>
              <w:pStyle w:val="20"/>
            </w:pPr>
            <w:r>
              <w:t>9.80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具体用于临时占地租金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100%</w:t>
            </w:r>
          </w:p>
        </w:tc>
        <w:tc>
          <w:tcPr>
            <w:tcW w:w="1587" w:type="dxa"/>
            <w:vAlign w:val="center"/>
          </w:tcPr>
          <w:p>
            <w:pPr>
              <w:pStyle w:val="22"/>
            </w:pPr>
            <w:r>
              <w:t>100%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1.保障地下骨灰堂工程顺利进行。</w:t>
            </w:r>
          </w:p>
          <w:p>
            <w:pPr>
              <w:pStyle w:val="20"/>
            </w:pPr>
            <w:r>
              <w:t>2.具体用于临时占地租金</w:t>
            </w:r>
          </w:p>
          <w:p>
            <w:pPr>
              <w:pStyle w:val="20"/>
            </w:pPr>
            <w:r>
              <w:t>3.预计3月份一次性支出。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临时占地面积</w:t>
            </w:r>
          </w:p>
        </w:tc>
        <w:tc>
          <w:tcPr>
            <w:tcW w:w="2891" w:type="dxa"/>
            <w:vAlign w:val="center"/>
          </w:tcPr>
          <w:p>
            <w:pPr>
              <w:pStyle w:val="20"/>
            </w:pPr>
            <w:r>
              <w:t>临时占地面积</w:t>
            </w:r>
          </w:p>
        </w:tc>
        <w:tc>
          <w:tcPr>
            <w:tcW w:w="1276" w:type="dxa"/>
            <w:vAlign w:val="center"/>
          </w:tcPr>
          <w:p>
            <w:pPr>
              <w:pStyle w:val="20"/>
            </w:pPr>
            <w:r>
              <w:t>24.6亩</w:t>
            </w:r>
          </w:p>
        </w:tc>
        <w:tc>
          <w:tcPr>
            <w:tcW w:w="1843" w:type="dxa"/>
            <w:vAlign w:val="center"/>
          </w:tcPr>
          <w:p>
            <w:pPr>
              <w:pStyle w:val="20"/>
            </w:pPr>
            <w:r>
              <w:t>政府批示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工程完工合格率</w:t>
            </w:r>
          </w:p>
        </w:tc>
        <w:tc>
          <w:tcPr>
            <w:tcW w:w="2891" w:type="dxa"/>
            <w:vAlign w:val="center"/>
          </w:tcPr>
          <w:p>
            <w:pPr>
              <w:pStyle w:val="20"/>
            </w:pPr>
            <w:r>
              <w:t>资金是否支出及时</w:t>
            </w:r>
          </w:p>
        </w:tc>
        <w:tc>
          <w:tcPr>
            <w:tcW w:w="1276" w:type="dxa"/>
            <w:vAlign w:val="center"/>
          </w:tcPr>
          <w:p>
            <w:pPr>
              <w:pStyle w:val="20"/>
            </w:pPr>
            <w:r>
              <w:t>≥90百分比</w:t>
            </w:r>
          </w:p>
        </w:tc>
        <w:tc>
          <w:tcPr>
            <w:tcW w:w="1843" w:type="dxa"/>
            <w:vAlign w:val="center"/>
          </w:tcPr>
          <w:p>
            <w:pPr>
              <w:pStyle w:val="20"/>
            </w:pPr>
            <w:r>
              <w:t>合同要求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≥95百分比</w:t>
            </w:r>
          </w:p>
        </w:tc>
        <w:tc>
          <w:tcPr>
            <w:tcW w:w="1843" w:type="dxa"/>
            <w:vAlign w:val="center"/>
          </w:tcPr>
          <w:p>
            <w:pPr>
              <w:pStyle w:val="20"/>
            </w:pPr>
            <w:r>
              <w:t>政府批示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每亩土地租金</w:t>
            </w:r>
          </w:p>
        </w:tc>
        <w:tc>
          <w:tcPr>
            <w:tcW w:w="2891" w:type="dxa"/>
            <w:vAlign w:val="center"/>
          </w:tcPr>
          <w:p>
            <w:pPr>
              <w:pStyle w:val="20"/>
            </w:pPr>
            <w:r>
              <w:t>每亩土地租金</w:t>
            </w:r>
          </w:p>
        </w:tc>
        <w:tc>
          <w:tcPr>
            <w:tcW w:w="1276" w:type="dxa"/>
            <w:vAlign w:val="center"/>
          </w:tcPr>
          <w:p>
            <w:pPr>
              <w:pStyle w:val="20"/>
            </w:pPr>
            <w:r>
              <w:t>3250元</w:t>
            </w:r>
          </w:p>
        </w:tc>
        <w:tc>
          <w:tcPr>
            <w:tcW w:w="1843" w:type="dxa"/>
            <w:vAlign w:val="center"/>
          </w:tcPr>
          <w:p>
            <w:pPr>
              <w:pStyle w:val="20"/>
            </w:pPr>
            <w:r>
              <w:t>政府批示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保障地下骨灰堂顺利进行</w:t>
            </w:r>
          </w:p>
        </w:tc>
        <w:tc>
          <w:tcPr>
            <w:tcW w:w="2891" w:type="dxa"/>
            <w:vAlign w:val="center"/>
          </w:tcPr>
          <w:p>
            <w:pPr>
              <w:pStyle w:val="20"/>
            </w:pPr>
            <w:r>
              <w:t>是否能顺利进行</w:t>
            </w:r>
          </w:p>
        </w:tc>
        <w:tc>
          <w:tcPr>
            <w:tcW w:w="1276" w:type="dxa"/>
            <w:vAlign w:val="center"/>
          </w:tcPr>
          <w:p>
            <w:pPr>
              <w:pStyle w:val="20"/>
            </w:pPr>
            <w:r>
              <w:t>≥95百分比</w:t>
            </w:r>
          </w:p>
        </w:tc>
        <w:tc>
          <w:tcPr>
            <w:tcW w:w="1843" w:type="dxa"/>
            <w:vAlign w:val="center"/>
          </w:tcPr>
          <w:p>
            <w:pPr>
              <w:pStyle w:val="20"/>
            </w:pPr>
            <w:r>
              <w:t>顺利开展</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6" w:name="_Toc_4_4_0000000007"/>
      <w:r>
        <w:rPr>
          <w:rFonts w:ascii="方正仿宋_GBK" w:hAnsi="方正仿宋_GBK" w:eastAsia="方正仿宋_GBK" w:cs="方正仿宋_GBK"/>
          <w:color w:val="000000"/>
          <w:sz w:val="28"/>
        </w:rPr>
        <w:t>4.儿童收养评估经费绩效目标表</w:t>
      </w:r>
      <w:bookmarkEnd w:id="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13062522P00456610216L</w:t>
            </w:r>
          </w:p>
        </w:tc>
        <w:tc>
          <w:tcPr>
            <w:tcW w:w="1587" w:type="dxa"/>
            <w:vAlign w:val="center"/>
          </w:tcPr>
          <w:p>
            <w:pPr>
              <w:pStyle w:val="21"/>
            </w:pPr>
            <w:r>
              <w:t>项目名称</w:t>
            </w:r>
          </w:p>
        </w:tc>
        <w:tc>
          <w:tcPr>
            <w:tcW w:w="4422" w:type="dxa"/>
            <w:gridSpan w:val="3"/>
            <w:vAlign w:val="center"/>
          </w:tcPr>
          <w:p>
            <w:pPr>
              <w:pStyle w:val="20"/>
            </w:pPr>
            <w:r>
              <w:t>儿童收养评估经费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8.58</w:t>
            </w:r>
          </w:p>
        </w:tc>
        <w:tc>
          <w:tcPr>
            <w:tcW w:w="1587" w:type="dxa"/>
            <w:vAlign w:val="center"/>
          </w:tcPr>
          <w:p>
            <w:pPr>
              <w:pStyle w:val="21"/>
            </w:pPr>
            <w:r>
              <w:t>其中：财政    资金</w:t>
            </w:r>
          </w:p>
        </w:tc>
        <w:tc>
          <w:tcPr>
            <w:tcW w:w="1304" w:type="dxa"/>
            <w:vAlign w:val="center"/>
          </w:tcPr>
          <w:p>
            <w:pPr>
              <w:pStyle w:val="20"/>
            </w:pPr>
            <w:r>
              <w:t>8.58</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促进儿童收养工作。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39%</w:t>
            </w:r>
          </w:p>
        </w:tc>
        <w:tc>
          <w:tcPr>
            <w:tcW w:w="1587" w:type="dxa"/>
            <w:vAlign w:val="center"/>
          </w:tcPr>
          <w:p>
            <w:pPr>
              <w:pStyle w:val="22"/>
            </w:pPr>
            <w:r>
              <w:t>70%</w:t>
            </w:r>
          </w:p>
        </w:tc>
        <w:tc>
          <w:tcPr>
            <w:tcW w:w="1304" w:type="dxa"/>
            <w:vAlign w:val="center"/>
          </w:tcPr>
          <w:p>
            <w:pPr>
              <w:pStyle w:val="22"/>
            </w:pPr>
            <w:r>
              <w:t>70%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1.项目需资金8.58万元。预计2022年2月份支出3.38万元，2022年6月份支出2.6万元，2022年12月份支出2.6万元。</w:t>
            </w:r>
          </w:p>
          <w:p>
            <w:pPr>
              <w:pStyle w:val="20"/>
            </w:pPr>
            <w:r>
              <w:t>2.促进儿童收养工作。</w:t>
            </w:r>
          </w:p>
          <w:p>
            <w:pPr>
              <w:pStyle w:val="20"/>
            </w:pPr>
            <w:r>
              <w:t>3.具体用于儿童收养评估。</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儿童收养人数</w:t>
            </w:r>
          </w:p>
        </w:tc>
        <w:tc>
          <w:tcPr>
            <w:tcW w:w="2891" w:type="dxa"/>
            <w:vAlign w:val="center"/>
          </w:tcPr>
          <w:p>
            <w:pPr>
              <w:pStyle w:val="20"/>
            </w:pPr>
            <w:r>
              <w:t>儿童收养人数</w:t>
            </w:r>
          </w:p>
        </w:tc>
        <w:tc>
          <w:tcPr>
            <w:tcW w:w="1276" w:type="dxa"/>
            <w:vAlign w:val="center"/>
          </w:tcPr>
          <w:p>
            <w:pPr>
              <w:pStyle w:val="20"/>
            </w:pPr>
            <w:r>
              <w:t>≥10人</w:t>
            </w:r>
          </w:p>
        </w:tc>
        <w:tc>
          <w:tcPr>
            <w:tcW w:w="1843" w:type="dxa"/>
            <w:vAlign w:val="center"/>
          </w:tcPr>
          <w:p>
            <w:pPr>
              <w:pStyle w:val="20"/>
            </w:pPr>
            <w:r>
              <w:t>河北省民政厅关于印发《河北省收养评估实施细则（试行）》的通知（冀民规[2021]1号）文件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收养评估达标率</w:t>
            </w:r>
          </w:p>
        </w:tc>
        <w:tc>
          <w:tcPr>
            <w:tcW w:w="2891" w:type="dxa"/>
            <w:vAlign w:val="center"/>
          </w:tcPr>
          <w:p>
            <w:pPr>
              <w:pStyle w:val="20"/>
            </w:pPr>
            <w:r>
              <w:t>收养评估达标率</w:t>
            </w:r>
          </w:p>
        </w:tc>
        <w:tc>
          <w:tcPr>
            <w:tcW w:w="1276" w:type="dxa"/>
            <w:vAlign w:val="center"/>
          </w:tcPr>
          <w:p>
            <w:pPr>
              <w:pStyle w:val="20"/>
            </w:pPr>
            <w:r>
              <w:t>≥95百分比</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评估及时性</w:t>
            </w:r>
          </w:p>
        </w:tc>
        <w:tc>
          <w:tcPr>
            <w:tcW w:w="2891" w:type="dxa"/>
            <w:vAlign w:val="center"/>
          </w:tcPr>
          <w:p>
            <w:pPr>
              <w:pStyle w:val="20"/>
            </w:pPr>
            <w:r>
              <w:t>评估及时性</w:t>
            </w:r>
          </w:p>
        </w:tc>
        <w:tc>
          <w:tcPr>
            <w:tcW w:w="1276" w:type="dxa"/>
            <w:vAlign w:val="center"/>
          </w:tcPr>
          <w:p>
            <w:pPr>
              <w:pStyle w:val="20"/>
            </w:pPr>
            <w:r>
              <w:t>≥95百分比</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≥95百分比</w:t>
            </w:r>
          </w:p>
        </w:tc>
        <w:tc>
          <w:tcPr>
            <w:tcW w:w="1843" w:type="dxa"/>
            <w:vAlign w:val="center"/>
          </w:tcPr>
          <w:p>
            <w:pPr>
              <w:pStyle w:val="20"/>
            </w:pPr>
            <w:r>
              <w:t>支出明细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促进儿童收养工作</w:t>
            </w:r>
          </w:p>
        </w:tc>
        <w:tc>
          <w:tcPr>
            <w:tcW w:w="2891" w:type="dxa"/>
            <w:vAlign w:val="center"/>
          </w:tcPr>
          <w:p>
            <w:pPr>
              <w:pStyle w:val="20"/>
            </w:pPr>
            <w:r>
              <w:t>是否促进儿童收养工作</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7" w:name="_Toc_4_4_0000000008"/>
      <w:r>
        <w:rPr>
          <w:rFonts w:ascii="方正仿宋_GBK" w:hAnsi="方正仿宋_GBK" w:eastAsia="方正仿宋_GBK" w:cs="方正仿宋_GBK"/>
          <w:color w:val="000000"/>
          <w:sz w:val="28"/>
        </w:rPr>
        <w:t>5.福彩公益金用于经济困难失能老年人能力评估费用绩效目标表</w:t>
      </w:r>
      <w:bookmarkEnd w:id="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13062522P004579100047</w:t>
            </w:r>
          </w:p>
        </w:tc>
        <w:tc>
          <w:tcPr>
            <w:tcW w:w="1587" w:type="dxa"/>
            <w:vAlign w:val="center"/>
          </w:tcPr>
          <w:p>
            <w:pPr>
              <w:pStyle w:val="21"/>
            </w:pPr>
            <w:r>
              <w:t>项目名称</w:t>
            </w:r>
          </w:p>
        </w:tc>
        <w:tc>
          <w:tcPr>
            <w:tcW w:w="4422" w:type="dxa"/>
            <w:gridSpan w:val="3"/>
            <w:vAlign w:val="center"/>
          </w:tcPr>
          <w:p>
            <w:pPr>
              <w:pStyle w:val="20"/>
            </w:pPr>
            <w:r>
              <w:t>福彩公益金用于经济困难失能老年人能力评估费用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16.00</w:t>
            </w:r>
          </w:p>
        </w:tc>
        <w:tc>
          <w:tcPr>
            <w:tcW w:w="1587" w:type="dxa"/>
            <w:vAlign w:val="center"/>
          </w:tcPr>
          <w:p>
            <w:pPr>
              <w:pStyle w:val="21"/>
            </w:pPr>
            <w:r>
              <w:t>其中：财政    资金</w:t>
            </w:r>
          </w:p>
        </w:tc>
        <w:tc>
          <w:tcPr>
            <w:tcW w:w="1304" w:type="dxa"/>
            <w:vAlign w:val="center"/>
          </w:tcPr>
          <w:p>
            <w:pPr>
              <w:pStyle w:val="20"/>
            </w:pPr>
            <w:r>
              <w:t>16.00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具体用于经济困难失能老人的评估</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50%</w:t>
            </w:r>
          </w:p>
        </w:tc>
        <w:tc>
          <w:tcPr>
            <w:tcW w:w="1587" w:type="dxa"/>
            <w:vAlign w:val="center"/>
          </w:tcPr>
          <w:p>
            <w:pPr>
              <w:pStyle w:val="22"/>
            </w:pPr>
            <w:r>
              <w:t>50%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1.为保障经济困难老年人合法权益，及时对其进行能力评估。</w:t>
            </w:r>
          </w:p>
          <w:p>
            <w:pPr>
              <w:pStyle w:val="20"/>
            </w:pPr>
            <w:r>
              <w:t>2.具体用于经济困难失能老人的评估</w:t>
            </w:r>
          </w:p>
          <w:p>
            <w:pPr>
              <w:pStyle w:val="20"/>
            </w:pPr>
            <w:r>
              <w:t>3.评估费用共需16万元。预计2022年7月份支出完毕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评估经济困难老年人人数</w:t>
            </w:r>
          </w:p>
        </w:tc>
        <w:tc>
          <w:tcPr>
            <w:tcW w:w="2891" w:type="dxa"/>
            <w:vAlign w:val="center"/>
          </w:tcPr>
          <w:p>
            <w:pPr>
              <w:pStyle w:val="20"/>
            </w:pPr>
            <w:r>
              <w:t>评估经济困难老年人人数</w:t>
            </w:r>
          </w:p>
        </w:tc>
        <w:tc>
          <w:tcPr>
            <w:tcW w:w="1276" w:type="dxa"/>
            <w:vAlign w:val="center"/>
          </w:tcPr>
          <w:p>
            <w:pPr>
              <w:pStyle w:val="20"/>
            </w:pPr>
            <w:r>
              <w:t>≥800人</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评估人群覆盖率</w:t>
            </w:r>
          </w:p>
        </w:tc>
        <w:tc>
          <w:tcPr>
            <w:tcW w:w="2891" w:type="dxa"/>
            <w:vAlign w:val="center"/>
          </w:tcPr>
          <w:p>
            <w:pPr>
              <w:pStyle w:val="20"/>
            </w:pPr>
            <w:r>
              <w:t>实际评估人数占应评估人数的比率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评估资料及时性</w:t>
            </w:r>
          </w:p>
        </w:tc>
        <w:tc>
          <w:tcPr>
            <w:tcW w:w="2891" w:type="dxa"/>
            <w:vAlign w:val="center"/>
          </w:tcPr>
          <w:p>
            <w:pPr>
              <w:pStyle w:val="20"/>
            </w:pPr>
            <w:r>
              <w:t>评估资料及时性</w:t>
            </w:r>
          </w:p>
        </w:tc>
        <w:tc>
          <w:tcPr>
            <w:tcW w:w="1276" w:type="dxa"/>
            <w:vAlign w:val="center"/>
          </w:tcPr>
          <w:p>
            <w:pPr>
              <w:pStyle w:val="20"/>
            </w:pPr>
            <w:r>
              <w:t>≥95百分比</w:t>
            </w:r>
          </w:p>
        </w:tc>
        <w:tc>
          <w:tcPr>
            <w:tcW w:w="1843" w:type="dxa"/>
            <w:vAlign w:val="center"/>
          </w:tcPr>
          <w:p>
            <w:pPr>
              <w:pStyle w:val="20"/>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评估费用单价</w:t>
            </w:r>
          </w:p>
        </w:tc>
        <w:tc>
          <w:tcPr>
            <w:tcW w:w="2891" w:type="dxa"/>
            <w:vAlign w:val="center"/>
          </w:tcPr>
          <w:p>
            <w:pPr>
              <w:pStyle w:val="20"/>
            </w:pPr>
            <w:r>
              <w:t>评估费用单价</w:t>
            </w:r>
          </w:p>
        </w:tc>
        <w:tc>
          <w:tcPr>
            <w:tcW w:w="1276" w:type="dxa"/>
            <w:vAlign w:val="center"/>
          </w:tcPr>
          <w:p>
            <w:pPr>
              <w:pStyle w:val="20"/>
            </w:pPr>
            <w:r>
              <w:t>≤180元</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保障经济困难老年人合法权益</w:t>
            </w:r>
          </w:p>
        </w:tc>
        <w:tc>
          <w:tcPr>
            <w:tcW w:w="2891" w:type="dxa"/>
            <w:vAlign w:val="center"/>
          </w:tcPr>
          <w:p>
            <w:pPr>
              <w:pStyle w:val="20"/>
            </w:pPr>
            <w:r>
              <w:t>保障经济困难老年人合法权益</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8" w:name="_Toc_4_4_0000000009"/>
      <w:r>
        <w:rPr>
          <w:rFonts w:ascii="方正仿宋_GBK" w:hAnsi="方正仿宋_GBK" w:eastAsia="方正仿宋_GBK" w:cs="方正仿宋_GBK"/>
          <w:color w:val="000000"/>
          <w:sz w:val="28"/>
        </w:rPr>
        <w:t>6.高龄老人补贴项目经费绩效目标表</w:t>
      </w:r>
      <w:bookmarkEnd w:id="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13062522P00B4Q210033L</w:t>
            </w:r>
          </w:p>
        </w:tc>
        <w:tc>
          <w:tcPr>
            <w:tcW w:w="1587" w:type="dxa"/>
            <w:vAlign w:val="center"/>
          </w:tcPr>
          <w:p>
            <w:pPr>
              <w:pStyle w:val="21"/>
            </w:pPr>
            <w:r>
              <w:t>项目名称</w:t>
            </w:r>
          </w:p>
        </w:tc>
        <w:tc>
          <w:tcPr>
            <w:tcW w:w="4422" w:type="dxa"/>
            <w:gridSpan w:val="3"/>
            <w:vAlign w:val="center"/>
          </w:tcPr>
          <w:p>
            <w:pPr>
              <w:pStyle w:val="20"/>
            </w:pPr>
            <w:r>
              <w:t>高龄老人补贴项目经费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690.00</w:t>
            </w:r>
          </w:p>
        </w:tc>
        <w:tc>
          <w:tcPr>
            <w:tcW w:w="1587" w:type="dxa"/>
            <w:vAlign w:val="center"/>
          </w:tcPr>
          <w:p>
            <w:pPr>
              <w:pStyle w:val="21"/>
            </w:pPr>
            <w:r>
              <w:t>其中：财政    资金</w:t>
            </w:r>
          </w:p>
        </w:tc>
        <w:tc>
          <w:tcPr>
            <w:tcW w:w="1304" w:type="dxa"/>
            <w:vAlign w:val="center"/>
          </w:tcPr>
          <w:p>
            <w:pPr>
              <w:pStyle w:val="20"/>
            </w:pPr>
            <w:r>
              <w:t>690.00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保障全区高龄老人补贴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1.80-99周岁高龄老人补贴按季度发放，百岁老人高龄津贴按月发放。预计每月发放57.5万元，12月份支出完毕。</w:t>
            </w:r>
          </w:p>
          <w:p>
            <w:pPr>
              <w:pStyle w:val="20"/>
            </w:pPr>
            <w:r>
              <w:t>2.保障全区高龄老人补贴</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全区高龄老人保障人数</w:t>
            </w:r>
          </w:p>
        </w:tc>
        <w:tc>
          <w:tcPr>
            <w:tcW w:w="2891" w:type="dxa"/>
            <w:vAlign w:val="center"/>
          </w:tcPr>
          <w:p>
            <w:pPr>
              <w:pStyle w:val="20"/>
            </w:pPr>
            <w:r>
              <w:t>实际保障人数</w:t>
            </w:r>
          </w:p>
        </w:tc>
        <w:tc>
          <w:tcPr>
            <w:tcW w:w="1276" w:type="dxa"/>
            <w:vAlign w:val="center"/>
          </w:tcPr>
          <w:p>
            <w:pPr>
              <w:pStyle w:val="20"/>
            </w:pPr>
            <w:r>
              <w:t>≥10000人</w:t>
            </w:r>
          </w:p>
        </w:tc>
        <w:tc>
          <w:tcPr>
            <w:tcW w:w="1843" w:type="dxa"/>
            <w:vAlign w:val="center"/>
          </w:tcPr>
          <w:p>
            <w:pPr>
              <w:pStyle w:val="20"/>
            </w:pPr>
            <w:r>
              <w:t>徐水县人民政府关于印发《徐水县关于建立高龄老人生活补贴制度的实施意见》的通知（徐政通[2014]18号）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资金足额发放率</w:t>
            </w:r>
          </w:p>
        </w:tc>
        <w:tc>
          <w:tcPr>
            <w:tcW w:w="2891" w:type="dxa"/>
            <w:vAlign w:val="center"/>
          </w:tcPr>
          <w:p>
            <w:pPr>
              <w:pStyle w:val="20"/>
            </w:pPr>
            <w:r>
              <w:t>实际发放资金占应发资金的比率</w:t>
            </w:r>
          </w:p>
        </w:tc>
        <w:tc>
          <w:tcPr>
            <w:tcW w:w="1276" w:type="dxa"/>
            <w:vAlign w:val="center"/>
          </w:tcPr>
          <w:p>
            <w:pPr>
              <w:pStyle w:val="20"/>
            </w:pPr>
            <w:r>
              <w:t>≥95百分比</w:t>
            </w:r>
          </w:p>
        </w:tc>
        <w:tc>
          <w:tcPr>
            <w:tcW w:w="1843" w:type="dxa"/>
            <w:vAlign w:val="center"/>
          </w:tcPr>
          <w:p>
            <w:pPr>
              <w:pStyle w:val="20"/>
            </w:pPr>
            <w:r>
              <w:t>徐水县人民政府关于印发《徐水县关于建立高龄老人生活补贴制度的实施意见》的通知（徐政通[2014]18号）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资金支付及时率</w:t>
            </w:r>
          </w:p>
        </w:tc>
        <w:tc>
          <w:tcPr>
            <w:tcW w:w="2891" w:type="dxa"/>
            <w:vAlign w:val="center"/>
          </w:tcPr>
          <w:p>
            <w:pPr>
              <w:pStyle w:val="20"/>
            </w:pPr>
            <w:r>
              <w:t>资金支付及时率</w:t>
            </w:r>
          </w:p>
        </w:tc>
        <w:tc>
          <w:tcPr>
            <w:tcW w:w="1276" w:type="dxa"/>
            <w:vAlign w:val="center"/>
          </w:tcPr>
          <w:p>
            <w:pPr>
              <w:pStyle w:val="20"/>
            </w:pPr>
            <w:r>
              <w:t>≥95百分比</w:t>
            </w:r>
          </w:p>
        </w:tc>
        <w:tc>
          <w:tcPr>
            <w:tcW w:w="1843" w:type="dxa"/>
            <w:vAlign w:val="center"/>
          </w:tcPr>
          <w:p>
            <w:pPr>
              <w:pStyle w:val="20"/>
            </w:pPr>
            <w:r>
              <w:t>每月发放表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保障标准</w:t>
            </w:r>
          </w:p>
        </w:tc>
        <w:tc>
          <w:tcPr>
            <w:tcW w:w="2891" w:type="dxa"/>
            <w:vAlign w:val="center"/>
          </w:tcPr>
          <w:p>
            <w:pPr>
              <w:pStyle w:val="20"/>
            </w:pPr>
            <w:r>
              <w:t>80周岁以上高龄老人保障标准</w:t>
            </w:r>
          </w:p>
        </w:tc>
        <w:tc>
          <w:tcPr>
            <w:tcW w:w="1276" w:type="dxa"/>
            <w:vAlign w:val="center"/>
          </w:tcPr>
          <w:p>
            <w:pPr>
              <w:pStyle w:val="20"/>
            </w:pPr>
            <w:r>
              <w:t>50元/月</w:t>
            </w:r>
          </w:p>
        </w:tc>
        <w:tc>
          <w:tcPr>
            <w:tcW w:w="1843" w:type="dxa"/>
            <w:vAlign w:val="center"/>
          </w:tcPr>
          <w:p>
            <w:pPr>
              <w:pStyle w:val="20"/>
            </w:pPr>
            <w:r>
              <w:t>徐水县人民政府关于印发《徐水县关于建立高龄老人生活补贴制度的实施意见》的通知（徐政通[2014]18号）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提高高龄老人生活</w:t>
            </w:r>
          </w:p>
        </w:tc>
        <w:tc>
          <w:tcPr>
            <w:tcW w:w="2891" w:type="dxa"/>
            <w:vAlign w:val="center"/>
          </w:tcPr>
          <w:p>
            <w:pPr>
              <w:pStyle w:val="20"/>
            </w:pPr>
            <w:r>
              <w:t>是否提高高龄老人生活</w:t>
            </w:r>
          </w:p>
        </w:tc>
        <w:tc>
          <w:tcPr>
            <w:tcW w:w="1276" w:type="dxa"/>
            <w:vAlign w:val="center"/>
          </w:tcPr>
          <w:p>
            <w:pPr>
              <w:pStyle w:val="20"/>
            </w:pPr>
            <w:r>
              <w:t>是否提高高龄老人生活</w:t>
            </w:r>
          </w:p>
        </w:tc>
        <w:tc>
          <w:tcPr>
            <w:tcW w:w="1843" w:type="dxa"/>
            <w:vAlign w:val="center"/>
          </w:tcPr>
          <w:p>
            <w:pPr>
              <w:pStyle w:val="20"/>
            </w:pPr>
            <w:r>
              <w:t>是否提高高龄老人生活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高龄老人满意度</w:t>
            </w:r>
          </w:p>
        </w:tc>
        <w:tc>
          <w:tcPr>
            <w:tcW w:w="2891" w:type="dxa"/>
            <w:vAlign w:val="center"/>
          </w:tcPr>
          <w:p>
            <w:pPr>
              <w:pStyle w:val="20"/>
            </w:pPr>
            <w:r>
              <w:t>高龄老人满意度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9" w:name="_Toc_4_4_0000000010"/>
      <w:r>
        <w:rPr>
          <w:rFonts w:ascii="方正仿宋_GBK" w:hAnsi="方正仿宋_GBK" w:eastAsia="方正仿宋_GBK" w:cs="方正仿宋_GBK"/>
          <w:color w:val="000000"/>
          <w:sz w:val="28"/>
        </w:rPr>
        <w:t>7.精简退职专项经费绩效目标表</w:t>
      </w:r>
      <w:bookmarkEnd w:id="9"/>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13062522P00456610209K</w:t>
            </w:r>
          </w:p>
        </w:tc>
        <w:tc>
          <w:tcPr>
            <w:tcW w:w="1587" w:type="dxa"/>
            <w:vAlign w:val="center"/>
          </w:tcPr>
          <w:p>
            <w:pPr>
              <w:pStyle w:val="21"/>
            </w:pPr>
            <w:r>
              <w:t>项目名称</w:t>
            </w:r>
          </w:p>
        </w:tc>
        <w:tc>
          <w:tcPr>
            <w:tcW w:w="4422" w:type="dxa"/>
            <w:gridSpan w:val="3"/>
            <w:vAlign w:val="center"/>
          </w:tcPr>
          <w:p>
            <w:pPr>
              <w:pStyle w:val="20"/>
            </w:pPr>
            <w:r>
              <w:t>精简退职专项经费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0.51</w:t>
            </w:r>
          </w:p>
        </w:tc>
        <w:tc>
          <w:tcPr>
            <w:tcW w:w="1587" w:type="dxa"/>
            <w:vAlign w:val="center"/>
          </w:tcPr>
          <w:p>
            <w:pPr>
              <w:pStyle w:val="21"/>
            </w:pPr>
            <w:r>
              <w:t>其中：财政    资金</w:t>
            </w:r>
          </w:p>
        </w:tc>
        <w:tc>
          <w:tcPr>
            <w:tcW w:w="1304" w:type="dxa"/>
            <w:vAlign w:val="center"/>
          </w:tcPr>
          <w:p>
            <w:pPr>
              <w:pStyle w:val="20"/>
            </w:pPr>
            <w:r>
              <w:t>0.51</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用于精简退职人员的生活保障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1.保障精简退职人员生活水平。</w:t>
            </w:r>
          </w:p>
          <w:p>
            <w:pPr>
              <w:pStyle w:val="20"/>
            </w:pPr>
            <w:r>
              <w:t>2.具体用于精简退职人员的生活补助</w:t>
            </w:r>
          </w:p>
          <w:p>
            <w:pPr>
              <w:pStyle w:val="20"/>
            </w:pPr>
            <w:r>
              <w:t>3.全年预计补助人数6人，补助为210-215元/季度/人，其中210/季度/人4人次；211元/季度/人1人次；215元/季度/人1人次，全年共需5064元，全部由区级财政保障，资金支出计划为按季度支出，12月份支出完毕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精简退职人员数量</w:t>
            </w:r>
          </w:p>
        </w:tc>
        <w:tc>
          <w:tcPr>
            <w:tcW w:w="2891" w:type="dxa"/>
            <w:vAlign w:val="center"/>
          </w:tcPr>
          <w:p>
            <w:pPr>
              <w:pStyle w:val="20"/>
            </w:pPr>
            <w:r>
              <w:t>受保障精简退职人员数量</w:t>
            </w:r>
          </w:p>
        </w:tc>
        <w:tc>
          <w:tcPr>
            <w:tcW w:w="1276" w:type="dxa"/>
            <w:vAlign w:val="center"/>
          </w:tcPr>
          <w:p>
            <w:pPr>
              <w:pStyle w:val="20"/>
            </w:pPr>
            <w:r>
              <w:t>≤6人</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资金足额发放率</w:t>
            </w:r>
          </w:p>
        </w:tc>
        <w:tc>
          <w:tcPr>
            <w:tcW w:w="2891" w:type="dxa"/>
            <w:vAlign w:val="center"/>
          </w:tcPr>
          <w:p>
            <w:pPr>
              <w:pStyle w:val="20"/>
            </w:pPr>
            <w:r>
              <w:t>实际发放资金占应发放资金的比率</w:t>
            </w:r>
          </w:p>
        </w:tc>
        <w:tc>
          <w:tcPr>
            <w:tcW w:w="1276" w:type="dxa"/>
            <w:vAlign w:val="center"/>
          </w:tcPr>
          <w:p>
            <w:pPr>
              <w:pStyle w:val="20"/>
            </w:pPr>
            <w:r>
              <w:t>≥95百分比</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救济人员标准</w:t>
            </w:r>
          </w:p>
        </w:tc>
        <w:tc>
          <w:tcPr>
            <w:tcW w:w="2891" w:type="dxa"/>
            <w:vAlign w:val="center"/>
          </w:tcPr>
          <w:p>
            <w:pPr>
              <w:pStyle w:val="20"/>
            </w:pPr>
            <w:r>
              <w:t>救济人员标准为210-215元/季度/人</w:t>
            </w:r>
          </w:p>
        </w:tc>
        <w:tc>
          <w:tcPr>
            <w:tcW w:w="1276" w:type="dxa"/>
            <w:vAlign w:val="center"/>
          </w:tcPr>
          <w:p>
            <w:pPr>
              <w:pStyle w:val="20"/>
            </w:pPr>
            <w:r>
              <w:t>≥95百分比</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保障救济人生活</w:t>
            </w:r>
          </w:p>
        </w:tc>
        <w:tc>
          <w:tcPr>
            <w:tcW w:w="2891" w:type="dxa"/>
            <w:vAlign w:val="center"/>
          </w:tcPr>
          <w:p>
            <w:pPr>
              <w:pStyle w:val="20"/>
            </w:pPr>
            <w:r>
              <w:t>是否保障救济人员生活水平</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0" w:name="_Toc_4_4_0000000011"/>
      <w:r>
        <w:rPr>
          <w:rFonts w:ascii="方正仿宋_GBK" w:hAnsi="方正仿宋_GBK" w:eastAsia="方正仿宋_GBK" w:cs="方正仿宋_GBK"/>
          <w:color w:val="000000"/>
          <w:sz w:val="28"/>
        </w:rPr>
        <w:t>8.经济困难高龄失能老人服务（护理）补贴绩效目标表</w:t>
      </w:r>
      <w:bookmarkEnd w:id="10"/>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13062522P00B4Q2100348</w:t>
            </w:r>
          </w:p>
        </w:tc>
        <w:tc>
          <w:tcPr>
            <w:tcW w:w="1587" w:type="dxa"/>
            <w:vAlign w:val="center"/>
          </w:tcPr>
          <w:p>
            <w:pPr>
              <w:pStyle w:val="21"/>
            </w:pPr>
            <w:r>
              <w:t>项目名称</w:t>
            </w:r>
          </w:p>
        </w:tc>
        <w:tc>
          <w:tcPr>
            <w:tcW w:w="4422" w:type="dxa"/>
            <w:gridSpan w:val="3"/>
            <w:vAlign w:val="center"/>
          </w:tcPr>
          <w:p>
            <w:pPr>
              <w:pStyle w:val="20"/>
            </w:pPr>
            <w:r>
              <w:t>经济困难高龄失能老人服务（护理）补贴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3.72</w:t>
            </w:r>
          </w:p>
        </w:tc>
        <w:tc>
          <w:tcPr>
            <w:tcW w:w="1587" w:type="dxa"/>
            <w:vAlign w:val="center"/>
          </w:tcPr>
          <w:p>
            <w:pPr>
              <w:pStyle w:val="21"/>
            </w:pPr>
            <w:r>
              <w:t>其中：财政    资金</w:t>
            </w:r>
          </w:p>
        </w:tc>
        <w:tc>
          <w:tcPr>
            <w:tcW w:w="1304" w:type="dxa"/>
            <w:vAlign w:val="center"/>
          </w:tcPr>
          <w:p>
            <w:pPr>
              <w:pStyle w:val="20"/>
            </w:pPr>
            <w:r>
              <w:t>3.72</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主要用于经济困难高龄失能老人的生活补助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1.保障全区经济困难高龄失能老人生活。</w:t>
            </w:r>
          </w:p>
          <w:p>
            <w:pPr>
              <w:pStyle w:val="20"/>
            </w:pPr>
            <w:r>
              <w:t>2.主要用于经济困难高龄失能老人的生活补助</w:t>
            </w:r>
          </w:p>
          <w:p>
            <w:pPr>
              <w:pStyle w:val="20"/>
            </w:pPr>
            <w:r>
              <w:t>3.按配套比例，按月支付。预计12月份支出完毕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成本指标</w:t>
            </w:r>
          </w:p>
        </w:tc>
        <w:tc>
          <w:tcPr>
            <w:tcW w:w="1332" w:type="dxa"/>
            <w:vAlign w:val="center"/>
          </w:tcPr>
          <w:p>
            <w:pPr>
              <w:pStyle w:val="20"/>
            </w:pPr>
            <w:r>
              <w:t>补贴标准</w:t>
            </w:r>
          </w:p>
        </w:tc>
        <w:tc>
          <w:tcPr>
            <w:tcW w:w="2891" w:type="dxa"/>
            <w:vAlign w:val="center"/>
          </w:tcPr>
          <w:p>
            <w:pPr>
              <w:pStyle w:val="20"/>
            </w:pPr>
            <w:r>
              <w:t>补贴标准</w:t>
            </w:r>
          </w:p>
        </w:tc>
        <w:tc>
          <w:tcPr>
            <w:tcW w:w="1276" w:type="dxa"/>
            <w:vAlign w:val="center"/>
          </w:tcPr>
          <w:p>
            <w:pPr>
              <w:pStyle w:val="20"/>
            </w:pPr>
            <w:r>
              <w:t>100元/月</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数量指标</w:t>
            </w:r>
          </w:p>
        </w:tc>
        <w:tc>
          <w:tcPr>
            <w:tcW w:w="1332" w:type="dxa"/>
            <w:vAlign w:val="center"/>
          </w:tcPr>
          <w:p>
            <w:pPr>
              <w:pStyle w:val="20"/>
            </w:pPr>
            <w:r>
              <w:t>人员保障数</w:t>
            </w:r>
          </w:p>
        </w:tc>
        <w:tc>
          <w:tcPr>
            <w:tcW w:w="2891" w:type="dxa"/>
            <w:vAlign w:val="center"/>
          </w:tcPr>
          <w:p>
            <w:pPr>
              <w:pStyle w:val="20"/>
            </w:pPr>
            <w:r>
              <w:t>人员保障数</w:t>
            </w:r>
          </w:p>
        </w:tc>
        <w:tc>
          <w:tcPr>
            <w:tcW w:w="1276" w:type="dxa"/>
            <w:vAlign w:val="center"/>
          </w:tcPr>
          <w:p>
            <w:pPr>
              <w:pStyle w:val="20"/>
            </w:pPr>
            <w:r>
              <w:t>≥40人</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资金拨付及时率</w:t>
            </w:r>
          </w:p>
        </w:tc>
        <w:tc>
          <w:tcPr>
            <w:tcW w:w="2891" w:type="dxa"/>
            <w:vAlign w:val="center"/>
          </w:tcPr>
          <w:p>
            <w:pPr>
              <w:pStyle w:val="20"/>
            </w:pPr>
            <w:r>
              <w:t>资金拨付及时率</w:t>
            </w:r>
          </w:p>
        </w:tc>
        <w:tc>
          <w:tcPr>
            <w:tcW w:w="1276" w:type="dxa"/>
            <w:vAlign w:val="center"/>
          </w:tcPr>
          <w:p>
            <w:pPr>
              <w:pStyle w:val="20"/>
            </w:pPr>
            <w:r>
              <w:t>≥95百分比</w:t>
            </w:r>
          </w:p>
        </w:tc>
        <w:tc>
          <w:tcPr>
            <w:tcW w:w="1843" w:type="dxa"/>
            <w:vAlign w:val="center"/>
          </w:tcPr>
          <w:p>
            <w:pPr>
              <w:pStyle w:val="20"/>
            </w:pPr>
            <w:r>
              <w:t>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足额发放率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保障困难老年人基本生活</w:t>
            </w:r>
          </w:p>
        </w:tc>
        <w:tc>
          <w:tcPr>
            <w:tcW w:w="2891" w:type="dxa"/>
            <w:vAlign w:val="center"/>
          </w:tcPr>
          <w:p>
            <w:pPr>
              <w:pStyle w:val="20"/>
            </w:pPr>
            <w:r>
              <w:t>保障困难老年人基本生活</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1" w:name="_Toc_4_4_0000000012"/>
      <w:r>
        <w:rPr>
          <w:rFonts w:ascii="方正仿宋_GBK" w:hAnsi="方正仿宋_GBK" w:eastAsia="方正仿宋_GBK" w:cs="方正仿宋_GBK"/>
          <w:color w:val="000000"/>
          <w:sz w:val="28"/>
        </w:rPr>
        <w:t>9.困难群众基本生活救助补助资金绩效目标表</w:t>
      </w:r>
      <w:bookmarkEnd w:id="11"/>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13062522P00456610449M</w:t>
            </w:r>
          </w:p>
        </w:tc>
        <w:tc>
          <w:tcPr>
            <w:tcW w:w="1587" w:type="dxa"/>
            <w:vAlign w:val="center"/>
          </w:tcPr>
          <w:p>
            <w:pPr>
              <w:pStyle w:val="21"/>
            </w:pPr>
            <w:r>
              <w:t>项目名称</w:t>
            </w:r>
          </w:p>
        </w:tc>
        <w:tc>
          <w:tcPr>
            <w:tcW w:w="4422" w:type="dxa"/>
            <w:gridSpan w:val="3"/>
            <w:vAlign w:val="center"/>
          </w:tcPr>
          <w:p>
            <w:pPr>
              <w:pStyle w:val="20"/>
            </w:pPr>
            <w:r>
              <w:t>困难群众基本生活救助补助资金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1981.00</w:t>
            </w:r>
          </w:p>
        </w:tc>
        <w:tc>
          <w:tcPr>
            <w:tcW w:w="1587" w:type="dxa"/>
            <w:vAlign w:val="center"/>
          </w:tcPr>
          <w:p>
            <w:pPr>
              <w:pStyle w:val="21"/>
            </w:pPr>
            <w:r>
              <w:t>其中：财政    资金</w:t>
            </w:r>
          </w:p>
        </w:tc>
        <w:tc>
          <w:tcPr>
            <w:tcW w:w="1304" w:type="dxa"/>
            <w:vAlign w:val="center"/>
          </w:tcPr>
          <w:p>
            <w:pPr>
              <w:pStyle w:val="20"/>
            </w:pPr>
            <w:r>
              <w:t>1981.00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用于保障困难群众基本生活</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1.保障全区困难群众基本生活.</w:t>
            </w:r>
          </w:p>
          <w:p>
            <w:pPr>
              <w:pStyle w:val="20"/>
            </w:pPr>
            <w:r>
              <w:t>2.具体用于困难群众基本生活救助补助的发放</w:t>
            </w:r>
          </w:p>
          <w:p>
            <w:pPr>
              <w:pStyle w:val="20"/>
            </w:pPr>
            <w:r>
              <w:t>3.预计每月支出890万，12月底全部支出。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预计保障困难群众人数</w:t>
            </w:r>
          </w:p>
        </w:tc>
        <w:tc>
          <w:tcPr>
            <w:tcW w:w="2891" w:type="dxa"/>
            <w:vAlign w:val="center"/>
          </w:tcPr>
          <w:p>
            <w:pPr>
              <w:pStyle w:val="20"/>
            </w:pPr>
            <w:r>
              <w:t>预计保障困难群众人数</w:t>
            </w:r>
          </w:p>
        </w:tc>
        <w:tc>
          <w:tcPr>
            <w:tcW w:w="1276" w:type="dxa"/>
            <w:vAlign w:val="center"/>
          </w:tcPr>
          <w:p>
            <w:pPr>
              <w:pStyle w:val="20"/>
            </w:pPr>
            <w:r>
              <w:t>≥10000人</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资金发放到位率</w:t>
            </w:r>
          </w:p>
        </w:tc>
        <w:tc>
          <w:tcPr>
            <w:tcW w:w="2891" w:type="dxa"/>
            <w:vAlign w:val="center"/>
          </w:tcPr>
          <w:p>
            <w:pPr>
              <w:pStyle w:val="20"/>
            </w:pPr>
            <w:r>
              <w:t>资金发放到位率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农村低保保障标准</w:t>
            </w:r>
          </w:p>
        </w:tc>
        <w:tc>
          <w:tcPr>
            <w:tcW w:w="2891" w:type="dxa"/>
            <w:vAlign w:val="center"/>
          </w:tcPr>
          <w:p>
            <w:pPr>
              <w:pStyle w:val="20"/>
            </w:pPr>
            <w:r>
              <w:t>农村低保保障标准</w:t>
            </w:r>
          </w:p>
        </w:tc>
        <w:tc>
          <w:tcPr>
            <w:tcW w:w="1276" w:type="dxa"/>
            <w:vAlign w:val="center"/>
          </w:tcPr>
          <w:p>
            <w:pPr>
              <w:pStyle w:val="20"/>
            </w:pPr>
            <w:r>
              <w:t>4800元/年</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效益指标</w:t>
            </w:r>
          </w:p>
        </w:tc>
        <w:tc>
          <w:tcPr>
            <w:tcW w:w="1276" w:type="dxa"/>
            <w:vAlign w:val="center"/>
          </w:tcPr>
          <w:p>
            <w:pPr>
              <w:pStyle w:val="20"/>
            </w:pPr>
            <w:r>
              <w:t>经济效益指标</w:t>
            </w:r>
          </w:p>
        </w:tc>
        <w:tc>
          <w:tcPr>
            <w:tcW w:w="1332" w:type="dxa"/>
            <w:vAlign w:val="center"/>
          </w:tcPr>
          <w:p>
            <w:pPr>
              <w:pStyle w:val="20"/>
            </w:pPr>
            <w:r>
              <w:t>提高困难群众的经济水平</w:t>
            </w:r>
          </w:p>
        </w:tc>
        <w:tc>
          <w:tcPr>
            <w:tcW w:w="2891" w:type="dxa"/>
            <w:vAlign w:val="center"/>
          </w:tcPr>
          <w:p>
            <w:pPr>
              <w:pStyle w:val="20"/>
            </w:pPr>
            <w:r>
              <w:t>提高困难群众的经济水平</w:t>
            </w:r>
          </w:p>
        </w:tc>
        <w:tc>
          <w:tcPr>
            <w:tcW w:w="1276" w:type="dxa"/>
            <w:vAlign w:val="center"/>
          </w:tcPr>
          <w:p>
            <w:pPr>
              <w:pStyle w:val="20"/>
            </w:pPr>
            <w:r>
              <w:t>≥95百分比</w:t>
            </w:r>
          </w:p>
        </w:tc>
        <w:tc>
          <w:tcPr>
            <w:tcW w:w="1843" w:type="dxa"/>
            <w:vAlign w:val="center"/>
          </w:tcPr>
          <w:p>
            <w:pPr>
              <w:pStyle w:val="20"/>
            </w:pPr>
            <w: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社会效益指标</w:t>
            </w:r>
          </w:p>
        </w:tc>
        <w:tc>
          <w:tcPr>
            <w:tcW w:w="1332" w:type="dxa"/>
            <w:vAlign w:val="center"/>
          </w:tcPr>
          <w:p>
            <w:pPr>
              <w:pStyle w:val="20"/>
            </w:pPr>
            <w:r>
              <w:t>保障困难群群众基本生活</w:t>
            </w:r>
          </w:p>
        </w:tc>
        <w:tc>
          <w:tcPr>
            <w:tcW w:w="2891" w:type="dxa"/>
            <w:vAlign w:val="center"/>
          </w:tcPr>
          <w:p>
            <w:pPr>
              <w:pStyle w:val="20"/>
            </w:pPr>
            <w:r>
              <w:t>保障困难群群众基本生活</w:t>
            </w:r>
          </w:p>
        </w:tc>
        <w:tc>
          <w:tcPr>
            <w:tcW w:w="1276" w:type="dxa"/>
            <w:vAlign w:val="center"/>
          </w:tcPr>
          <w:p>
            <w:pPr>
              <w:pStyle w:val="20"/>
            </w:pPr>
            <w:r>
              <w:t>≥95百分比</w:t>
            </w:r>
          </w:p>
        </w:tc>
        <w:tc>
          <w:tcPr>
            <w:tcW w:w="1843" w:type="dxa"/>
            <w:vAlign w:val="center"/>
          </w:tcPr>
          <w:p>
            <w:pPr>
              <w:pStyle w:val="20"/>
            </w:pPr>
            <w: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困难群众满意度</w:t>
            </w:r>
          </w:p>
        </w:tc>
        <w:tc>
          <w:tcPr>
            <w:tcW w:w="2891" w:type="dxa"/>
            <w:vAlign w:val="center"/>
          </w:tcPr>
          <w:p>
            <w:pPr>
              <w:pStyle w:val="20"/>
            </w:pPr>
            <w:r>
              <w:t>受助对象满意度</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2" w:name="_Toc_4_4_0000000013"/>
      <w:r>
        <w:rPr>
          <w:rFonts w:ascii="方正仿宋_GBK" w:hAnsi="方正仿宋_GBK" w:eastAsia="方正仿宋_GBK" w:cs="方正仿宋_GBK"/>
          <w:color w:val="000000"/>
          <w:sz w:val="28"/>
        </w:rPr>
        <w:t>10.农村留守儿童和困境儿童关爱保护政府购买服务资金绩效目标表</w:t>
      </w:r>
      <w:bookmarkEnd w:id="12"/>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13062522P00456710029E</w:t>
            </w:r>
          </w:p>
        </w:tc>
        <w:tc>
          <w:tcPr>
            <w:tcW w:w="1587" w:type="dxa"/>
            <w:vAlign w:val="center"/>
          </w:tcPr>
          <w:p>
            <w:pPr>
              <w:pStyle w:val="21"/>
            </w:pPr>
            <w:r>
              <w:t>项目名称</w:t>
            </w:r>
          </w:p>
        </w:tc>
        <w:tc>
          <w:tcPr>
            <w:tcW w:w="4422" w:type="dxa"/>
            <w:gridSpan w:val="3"/>
            <w:vAlign w:val="center"/>
          </w:tcPr>
          <w:p>
            <w:pPr>
              <w:pStyle w:val="20"/>
            </w:pPr>
            <w:r>
              <w:t>农村留守儿童和困境儿童关爱保护政府购买服务资金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3.98</w:t>
            </w:r>
          </w:p>
        </w:tc>
        <w:tc>
          <w:tcPr>
            <w:tcW w:w="1587" w:type="dxa"/>
            <w:vAlign w:val="center"/>
          </w:tcPr>
          <w:p>
            <w:pPr>
              <w:pStyle w:val="21"/>
            </w:pPr>
            <w:r>
              <w:t>其中：财政    资金</w:t>
            </w:r>
          </w:p>
        </w:tc>
        <w:tc>
          <w:tcPr>
            <w:tcW w:w="1304" w:type="dxa"/>
            <w:vAlign w:val="center"/>
          </w:tcPr>
          <w:p>
            <w:pPr>
              <w:pStyle w:val="20"/>
            </w:pPr>
            <w:r>
              <w:t>3.98</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推进农村留守儿童与困境儿童的保护</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1.促进对农村留守儿童与困境儿童的关爱。</w:t>
            </w:r>
          </w:p>
          <w:p>
            <w:pPr>
              <w:pStyle w:val="20"/>
            </w:pPr>
            <w:r>
              <w:t>2.具体用于农村留守儿童与困境儿童政府购买</w:t>
            </w:r>
          </w:p>
          <w:p>
            <w:pPr>
              <w:pStyle w:val="20"/>
            </w:pPr>
            <w:r>
              <w:t>3.2022年7月份服务期满，预计2022年8月份支出完毕。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服务周期</w:t>
            </w:r>
          </w:p>
        </w:tc>
        <w:tc>
          <w:tcPr>
            <w:tcW w:w="2891" w:type="dxa"/>
            <w:vAlign w:val="center"/>
          </w:tcPr>
          <w:p>
            <w:pPr>
              <w:pStyle w:val="20"/>
            </w:pPr>
            <w:r>
              <w:t>服务周期</w:t>
            </w:r>
          </w:p>
        </w:tc>
        <w:tc>
          <w:tcPr>
            <w:tcW w:w="1276" w:type="dxa"/>
            <w:vAlign w:val="center"/>
          </w:tcPr>
          <w:p>
            <w:pPr>
              <w:pStyle w:val="20"/>
            </w:pPr>
            <w:r>
              <w:t>1年</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服务质量达标率</w:t>
            </w:r>
          </w:p>
        </w:tc>
        <w:tc>
          <w:tcPr>
            <w:tcW w:w="2891" w:type="dxa"/>
            <w:vAlign w:val="center"/>
          </w:tcPr>
          <w:p>
            <w:pPr>
              <w:pStyle w:val="20"/>
            </w:pPr>
            <w:r>
              <w:t>服务质量达标率</w:t>
            </w:r>
          </w:p>
        </w:tc>
        <w:tc>
          <w:tcPr>
            <w:tcW w:w="1276" w:type="dxa"/>
            <w:vAlign w:val="center"/>
          </w:tcPr>
          <w:p>
            <w:pPr>
              <w:pStyle w:val="20"/>
            </w:pPr>
            <w:r>
              <w:t>≥95百分比</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购买服务及时率</w:t>
            </w:r>
          </w:p>
        </w:tc>
        <w:tc>
          <w:tcPr>
            <w:tcW w:w="2891" w:type="dxa"/>
            <w:vAlign w:val="center"/>
          </w:tcPr>
          <w:p>
            <w:pPr>
              <w:pStyle w:val="20"/>
            </w:pPr>
            <w:r>
              <w:t>购买服务及时率</w:t>
            </w:r>
          </w:p>
        </w:tc>
        <w:tc>
          <w:tcPr>
            <w:tcW w:w="1276" w:type="dxa"/>
            <w:vAlign w:val="center"/>
          </w:tcPr>
          <w:p>
            <w:pPr>
              <w:pStyle w:val="20"/>
            </w:pPr>
            <w:r>
              <w:t>≥95百分比</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儿童救助标准</w:t>
            </w:r>
          </w:p>
        </w:tc>
        <w:tc>
          <w:tcPr>
            <w:tcW w:w="2891" w:type="dxa"/>
            <w:vAlign w:val="center"/>
          </w:tcPr>
          <w:p>
            <w:pPr>
              <w:pStyle w:val="20"/>
            </w:pPr>
            <w:r>
              <w:t>是否按标准救助</w:t>
            </w:r>
          </w:p>
        </w:tc>
        <w:tc>
          <w:tcPr>
            <w:tcW w:w="1276" w:type="dxa"/>
            <w:vAlign w:val="center"/>
          </w:tcPr>
          <w:p>
            <w:pPr>
              <w:pStyle w:val="20"/>
            </w:pPr>
            <w:r>
              <w:t>≥95百分比</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保护留守与困境儿童</w:t>
            </w:r>
          </w:p>
        </w:tc>
        <w:tc>
          <w:tcPr>
            <w:tcW w:w="2891" w:type="dxa"/>
            <w:vAlign w:val="center"/>
          </w:tcPr>
          <w:p>
            <w:pPr>
              <w:pStyle w:val="20"/>
            </w:pPr>
            <w:r>
              <w:t>是否保护留守与困境儿童</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3" w:name="_Toc_4_4_0000000014"/>
      <w:r>
        <w:rPr>
          <w:rFonts w:ascii="方正仿宋_GBK" w:hAnsi="方正仿宋_GBK" w:eastAsia="方正仿宋_GBK" w:cs="方正仿宋_GBK"/>
          <w:color w:val="000000"/>
          <w:sz w:val="28"/>
        </w:rPr>
        <w:t>11.其他农村社会救济专项经费绩效目标表</w:t>
      </w:r>
      <w:bookmarkEnd w:id="1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13062522P00456610193F</w:t>
            </w:r>
          </w:p>
        </w:tc>
        <w:tc>
          <w:tcPr>
            <w:tcW w:w="1587" w:type="dxa"/>
            <w:vAlign w:val="center"/>
          </w:tcPr>
          <w:p>
            <w:pPr>
              <w:pStyle w:val="21"/>
            </w:pPr>
            <w:r>
              <w:t>项目名称</w:t>
            </w:r>
          </w:p>
        </w:tc>
        <w:tc>
          <w:tcPr>
            <w:tcW w:w="4422" w:type="dxa"/>
            <w:gridSpan w:val="3"/>
            <w:vAlign w:val="center"/>
          </w:tcPr>
          <w:p>
            <w:pPr>
              <w:pStyle w:val="20"/>
            </w:pPr>
            <w:r>
              <w:t>其他农村社会救济专项经费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0.05</w:t>
            </w:r>
          </w:p>
        </w:tc>
        <w:tc>
          <w:tcPr>
            <w:tcW w:w="1587" w:type="dxa"/>
            <w:vAlign w:val="center"/>
          </w:tcPr>
          <w:p>
            <w:pPr>
              <w:pStyle w:val="21"/>
            </w:pPr>
            <w:r>
              <w:t>其中：财政    资金</w:t>
            </w:r>
          </w:p>
        </w:tc>
        <w:tc>
          <w:tcPr>
            <w:tcW w:w="1304" w:type="dxa"/>
            <w:vAlign w:val="center"/>
          </w:tcPr>
          <w:p>
            <w:pPr>
              <w:pStyle w:val="20"/>
            </w:pPr>
            <w:r>
              <w:t>0.05</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保障其他农村社会救济人员权益。</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1.该项资金全年预计补助人数1人，标准为135元/人/季度，全年需资金540元，全部由区级资金保障。资金支出计划为按季度发放，12月份支出完毕。</w:t>
            </w:r>
          </w:p>
          <w:p>
            <w:pPr>
              <w:pStyle w:val="20"/>
            </w:pPr>
            <w:r>
              <w:t>2.保障其他农村社会救济人员权益。</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保障其他农村社会救济人员数量</w:t>
            </w:r>
          </w:p>
        </w:tc>
        <w:tc>
          <w:tcPr>
            <w:tcW w:w="2891" w:type="dxa"/>
            <w:vAlign w:val="center"/>
          </w:tcPr>
          <w:p>
            <w:pPr>
              <w:pStyle w:val="20"/>
            </w:pPr>
            <w:r>
              <w:t>保障其他农村社会救济人员数量</w:t>
            </w:r>
          </w:p>
        </w:tc>
        <w:tc>
          <w:tcPr>
            <w:tcW w:w="1276" w:type="dxa"/>
            <w:vAlign w:val="center"/>
          </w:tcPr>
          <w:p>
            <w:pPr>
              <w:pStyle w:val="20"/>
            </w:pPr>
            <w:r>
              <w:t>≤1人</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资金足额发放率</w:t>
            </w:r>
          </w:p>
        </w:tc>
        <w:tc>
          <w:tcPr>
            <w:tcW w:w="2891" w:type="dxa"/>
            <w:vAlign w:val="center"/>
          </w:tcPr>
          <w:p>
            <w:pPr>
              <w:pStyle w:val="20"/>
            </w:pPr>
            <w:r>
              <w:t>资金足额发放率</w:t>
            </w:r>
          </w:p>
        </w:tc>
        <w:tc>
          <w:tcPr>
            <w:tcW w:w="1276" w:type="dxa"/>
            <w:vAlign w:val="center"/>
          </w:tcPr>
          <w:p>
            <w:pPr>
              <w:pStyle w:val="20"/>
            </w:pPr>
            <w:r>
              <w:t>≥95百分比</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救济人员救济标准</w:t>
            </w:r>
          </w:p>
        </w:tc>
        <w:tc>
          <w:tcPr>
            <w:tcW w:w="2891" w:type="dxa"/>
            <w:vAlign w:val="center"/>
          </w:tcPr>
          <w:p>
            <w:pPr>
              <w:pStyle w:val="20"/>
            </w:pPr>
            <w:r>
              <w:t>救济标准为135元/人/季度</w:t>
            </w:r>
          </w:p>
        </w:tc>
        <w:tc>
          <w:tcPr>
            <w:tcW w:w="1276" w:type="dxa"/>
            <w:vAlign w:val="center"/>
          </w:tcPr>
          <w:p>
            <w:pPr>
              <w:pStyle w:val="20"/>
            </w:pPr>
            <w:r>
              <w:t>≥95百分比</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救济人员生活质量是否提高</w:t>
            </w:r>
          </w:p>
        </w:tc>
        <w:tc>
          <w:tcPr>
            <w:tcW w:w="2891" w:type="dxa"/>
            <w:vAlign w:val="center"/>
          </w:tcPr>
          <w:p>
            <w:pPr>
              <w:pStyle w:val="20"/>
            </w:pPr>
            <w:r>
              <w:t>救济人员生活质量是否提高</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4" w:name="_Toc_4_4_0000000015"/>
      <w:r>
        <w:rPr>
          <w:rFonts w:ascii="方正仿宋_GBK" w:hAnsi="方正仿宋_GBK" w:eastAsia="方正仿宋_GBK" w:cs="方正仿宋_GBK"/>
          <w:color w:val="000000"/>
          <w:sz w:val="28"/>
        </w:rPr>
        <w:t>12.社会组织党委工作经费（运转保障）绩效目标表</w:t>
      </w:r>
      <w:bookmarkEnd w:id="1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13062522P004567105289</w:t>
            </w:r>
          </w:p>
        </w:tc>
        <w:tc>
          <w:tcPr>
            <w:tcW w:w="1587" w:type="dxa"/>
            <w:vAlign w:val="center"/>
          </w:tcPr>
          <w:p>
            <w:pPr>
              <w:pStyle w:val="21"/>
            </w:pPr>
            <w:r>
              <w:t>项目名称</w:t>
            </w:r>
          </w:p>
        </w:tc>
        <w:tc>
          <w:tcPr>
            <w:tcW w:w="4422" w:type="dxa"/>
            <w:gridSpan w:val="3"/>
            <w:vAlign w:val="center"/>
          </w:tcPr>
          <w:p>
            <w:pPr>
              <w:pStyle w:val="20"/>
            </w:pPr>
            <w:r>
              <w:t>社会组织党委工作经费（运转保障）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1.80</w:t>
            </w:r>
          </w:p>
        </w:tc>
        <w:tc>
          <w:tcPr>
            <w:tcW w:w="1587" w:type="dxa"/>
            <w:vAlign w:val="center"/>
          </w:tcPr>
          <w:p>
            <w:pPr>
              <w:pStyle w:val="21"/>
            </w:pPr>
            <w:r>
              <w:t>其中：财政    资金</w:t>
            </w:r>
          </w:p>
        </w:tc>
        <w:tc>
          <w:tcPr>
            <w:tcW w:w="1304" w:type="dxa"/>
            <w:vAlign w:val="center"/>
          </w:tcPr>
          <w:p>
            <w:pPr>
              <w:pStyle w:val="20"/>
            </w:pPr>
            <w:r>
              <w:t>1.80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具体用于社会组织党委活动场所的建设</w:t>
            </w:r>
            <w:r>
              <w:tab/>
            </w:r>
            <w:r>
              <w:tab/>
            </w:r>
            <w:r>
              <w:tab/>
            </w:r>
            <w:r>
              <w:tab/>
            </w:r>
            <w:r>
              <w:tab/>
            </w:r>
            <w:r>
              <w:tab/>
            </w:r>
          </w:p>
          <w:p>
            <w:pPr>
              <w:pStyle w:val="20"/>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50%</w:t>
            </w:r>
          </w:p>
        </w:tc>
        <w:tc>
          <w:tcPr>
            <w:tcW w:w="1304" w:type="dxa"/>
            <w:vAlign w:val="center"/>
          </w:tcPr>
          <w:p>
            <w:pPr>
              <w:pStyle w:val="22"/>
            </w:pPr>
            <w:r>
              <w:t>50%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1.促进社会组织党委工作建设。</w:t>
            </w:r>
            <w:r>
              <w:tab/>
            </w:r>
            <w:r>
              <w:tab/>
            </w:r>
            <w:r>
              <w:tab/>
            </w:r>
            <w:r>
              <w:tab/>
            </w:r>
            <w:r>
              <w:tab/>
            </w:r>
            <w:r>
              <w:tab/>
            </w:r>
          </w:p>
          <w:p>
            <w:pPr>
              <w:pStyle w:val="20"/>
            </w:pPr>
          </w:p>
          <w:p>
            <w:pPr>
              <w:pStyle w:val="20"/>
            </w:pPr>
            <w:r>
              <w:t>2.具体用于社会组织党委活动场所的建设</w:t>
            </w:r>
            <w:r>
              <w:tab/>
            </w:r>
            <w:r>
              <w:tab/>
            </w:r>
            <w:r>
              <w:tab/>
            </w:r>
            <w:r>
              <w:tab/>
            </w:r>
            <w:r>
              <w:tab/>
            </w:r>
            <w:r>
              <w:tab/>
            </w:r>
          </w:p>
          <w:p>
            <w:pPr>
              <w:pStyle w:val="20"/>
            </w:pPr>
          </w:p>
          <w:p>
            <w:pPr>
              <w:pStyle w:val="20"/>
            </w:pPr>
            <w:r>
              <w:t>3.预计6月支出0.9万元，12月支出0.9万元，全年支出完毕。</w:t>
            </w:r>
            <w:r>
              <w:tab/>
            </w:r>
            <w:r>
              <w:tab/>
            </w:r>
            <w:r>
              <w:tab/>
            </w:r>
            <w:r>
              <w:tab/>
            </w:r>
            <w:r>
              <w:tab/>
            </w:r>
            <w:r>
              <w:tab/>
            </w:r>
          </w:p>
          <w:p>
            <w:pPr>
              <w:pStyle w:val="20"/>
            </w:pP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党组织活动场所建设</w:t>
            </w:r>
          </w:p>
        </w:tc>
        <w:tc>
          <w:tcPr>
            <w:tcW w:w="2891" w:type="dxa"/>
            <w:vAlign w:val="center"/>
          </w:tcPr>
          <w:p>
            <w:pPr>
              <w:pStyle w:val="20"/>
            </w:pPr>
            <w:r>
              <w:t>党组织活动场所建设</w:t>
            </w:r>
          </w:p>
        </w:tc>
        <w:tc>
          <w:tcPr>
            <w:tcW w:w="1276" w:type="dxa"/>
            <w:vAlign w:val="center"/>
          </w:tcPr>
          <w:p>
            <w:pPr>
              <w:pStyle w:val="20"/>
            </w:pPr>
            <w:r>
              <w:t>≥1个</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建设合格率</w:t>
            </w:r>
          </w:p>
        </w:tc>
        <w:tc>
          <w:tcPr>
            <w:tcW w:w="2891" w:type="dxa"/>
            <w:vAlign w:val="center"/>
          </w:tcPr>
          <w:p>
            <w:pPr>
              <w:pStyle w:val="20"/>
            </w:pPr>
            <w:r>
              <w:t>建设合格率</w:t>
            </w:r>
          </w:p>
        </w:tc>
        <w:tc>
          <w:tcPr>
            <w:tcW w:w="1276" w:type="dxa"/>
            <w:vAlign w:val="center"/>
          </w:tcPr>
          <w:p>
            <w:pPr>
              <w:pStyle w:val="20"/>
            </w:pPr>
            <w:r>
              <w:t>≥95百分比</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建设及时率</w:t>
            </w:r>
          </w:p>
        </w:tc>
        <w:tc>
          <w:tcPr>
            <w:tcW w:w="2891" w:type="dxa"/>
            <w:vAlign w:val="center"/>
          </w:tcPr>
          <w:p>
            <w:pPr>
              <w:pStyle w:val="20"/>
            </w:pPr>
            <w:r>
              <w:t>场所建设及时情况</w:t>
            </w:r>
          </w:p>
        </w:tc>
        <w:tc>
          <w:tcPr>
            <w:tcW w:w="1276" w:type="dxa"/>
            <w:vAlign w:val="center"/>
          </w:tcPr>
          <w:p>
            <w:pPr>
              <w:pStyle w:val="20"/>
            </w:pPr>
            <w:r>
              <w:t>≥95百分比</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场所建设成本</w:t>
            </w:r>
          </w:p>
        </w:tc>
        <w:tc>
          <w:tcPr>
            <w:tcW w:w="2891" w:type="dxa"/>
            <w:vAlign w:val="center"/>
          </w:tcPr>
          <w:p>
            <w:pPr>
              <w:pStyle w:val="20"/>
            </w:pPr>
            <w:r>
              <w:t>城所建设成本</w:t>
            </w:r>
          </w:p>
        </w:tc>
        <w:tc>
          <w:tcPr>
            <w:tcW w:w="1276" w:type="dxa"/>
            <w:vAlign w:val="center"/>
          </w:tcPr>
          <w:p>
            <w:pPr>
              <w:pStyle w:val="20"/>
            </w:pPr>
            <w:r>
              <w:t>≤2万元</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促进党委组织建设</w:t>
            </w:r>
          </w:p>
        </w:tc>
        <w:tc>
          <w:tcPr>
            <w:tcW w:w="2891" w:type="dxa"/>
            <w:vAlign w:val="center"/>
          </w:tcPr>
          <w:p>
            <w:pPr>
              <w:pStyle w:val="20"/>
            </w:pPr>
            <w:r>
              <w:t>是否促进党委组织建设</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5" w:name="_Toc_4_4_0000000016"/>
      <w:r>
        <w:rPr>
          <w:rFonts w:ascii="方正仿宋_GBK" w:hAnsi="方正仿宋_GBK" w:eastAsia="方正仿宋_GBK" w:cs="方正仿宋_GBK"/>
          <w:color w:val="000000"/>
          <w:sz w:val="28"/>
        </w:rPr>
        <w:t>13.台属特赦人员专项经费绩效目标表</w:t>
      </w:r>
      <w:bookmarkEnd w:id="1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13062522P00456610210Y</w:t>
            </w:r>
          </w:p>
        </w:tc>
        <w:tc>
          <w:tcPr>
            <w:tcW w:w="1587" w:type="dxa"/>
            <w:vAlign w:val="center"/>
          </w:tcPr>
          <w:p>
            <w:pPr>
              <w:pStyle w:val="21"/>
            </w:pPr>
            <w:r>
              <w:t>项目名称</w:t>
            </w:r>
          </w:p>
        </w:tc>
        <w:tc>
          <w:tcPr>
            <w:tcW w:w="4422" w:type="dxa"/>
            <w:gridSpan w:val="3"/>
            <w:vAlign w:val="center"/>
          </w:tcPr>
          <w:p>
            <w:pPr>
              <w:pStyle w:val="20"/>
            </w:pPr>
            <w:r>
              <w:t>台属特赦人员专项经费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0.89</w:t>
            </w:r>
          </w:p>
        </w:tc>
        <w:tc>
          <w:tcPr>
            <w:tcW w:w="1587" w:type="dxa"/>
            <w:vAlign w:val="center"/>
          </w:tcPr>
          <w:p>
            <w:pPr>
              <w:pStyle w:val="21"/>
            </w:pPr>
            <w:r>
              <w:t>其中：财政    资金</w:t>
            </w:r>
          </w:p>
        </w:tc>
        <w:tc>
          <w:tcPr>
            <w:tcW w:w="1304" w:type="dxa"/>
            <w:vAlign w:val="center"/>
          </w:tcPr>
          <w:p>
            <w:pPr>
              <w:pStyle w:val="20"/>
            </w:pPr>
            <w:r>
              <w:t>0.89</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保障台属特赦人员</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1.该项目资金全年预计补助人数有6人，救济标准为372/季度/人，全年共需8928元，全部由区级财政保障。支出计划为按季度发放，12月份支出完毕。</w:t>
            </w:r>
          </w:p>
          <w:p>
            <w:pPr>
              <w:pStyle w:val="20"/>
            </w:pPr>
            <w:r>
              <w:t>2.保障台属特赦人员，促进两岸和谐发展。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台属特赦人员数量</w:t>
            </w:r>
          </w:p>
        </w:tc>
        <w:tc>
          <w:tcPr>
            <w:tcW w:w="2891" w:type="dxa"/>
            <w:vAlign w:val="center"/>
          </w:tcPr>
          <w:p>
            <w:pPr>
              <w:pStyle w:val="20"/>
            </w:pPr>
            <w:r>
              <w:t>受保障台属特赦人员数量</w:t>
            </w:r>
          </w:p>
        </w:tc>
        <w:tc>
          <w:tcPr>
            <w:tcW w:w="1276" w:type="dxa"/>
            <w:vAlign w:val="center"/>
          </w:tcPr>
          <w:p>
            <w:pPr>
              <w:pStyle w:val="20"/>
            </w:pPr>
            <w:r>
              <w:t>≤6人</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资金足额支付率</w:t>
            </w:r>
          </w:p>
        </w:tc>
        <w:tc>
          <w:tcPr>
            <w:tcW w:w="2891" w:type="dxa"/>
            <w:vAlign w:val="center"/>
          </w:tcPr>
          <w:p>
            <w:pPr>
              <w:pStyle w:val="20"/>
            </w:pPr>
            <w:r>
              <w:t>实际发放资金占应发资金的比率</w:t>
            </w:r>
          </w:p>
        </w:tc>
        <w:tc>
          <w:tcPr>
            <w:tcW w:w="1276" w:type="dxa"/>
            <w:vAlign w:val="center"/>
          </w:tcPr>
          <w:p>
            <w:pPr>
              <w:pStyle w:val="20"/>
            </w:pPr>
            <w:r>
              <w:t>≥95百分比</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救济人员标准</w:t>
            </w:r>
          </w:p>
        </w:tc>
        <w:tc>
          <w:tcPr>
            <w:tcW w:w="2891" w:type="dxa"/>
            <w:vAlign w:val="center"/>
          </w:tcPr>
          <w:p>
            <w:pPr>
              <w:pStyle w:val="20"/>
            </w:pPr>
            <w:r>
              <w:t>救济标准为372/季度/人</w:t>
            </w:r>
          </w:p>
        </w:tc>
        <w:tc>
          <w:tcPr>
            <w:tcW w:w="1276" w:type="dxa"/>
            <w:vAlign w:val="center"/>
          </w:tcPr>
          <w:p>
            <w:pPr>
              <w:pStyle w:val="20"/>
            </w:pPr>
            <w:r>
              <w:t>≥100百分比</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经济效益指标</w:t>
            </w:r>
          </w:p>
        </w:tc>
        <w:tc>
          <w:tcPr>
            <w:tcW w:w="1332" w:type="dxa"/>
            <w:vAlign w:val="center"/>
          </w:tcPr>
          <w:p>
            <w:pPr>
              <w:pStyle w:val="20"/>
            </w:pPr>
            <w:r>
              <w:t>救济人员生活水平</w:t>
            </w:r>
          </w:p>
        </w:tc>
        <w:tc>
          <w:tcPr>
            <w:tcW w:w="2891" w:type="dxa"/>
            <w:vAlign w:val="center"/>
          </w:tcPr>
          <w:p>
            <w:pPr>
              <w:pStyle w:val="20"/>
            </w:pPr>
            <w:r>
              <w:t>救济人员生活质量是否提高</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6" w:name="_Toc_4_4_0000000017"/>
      <w:r>
        <w:rPr>
          <w:rFonts w:ascii="方正仿宋_GBK" w:hAnsi="方正仿宋_GBK" w:eastAsia="方正仿宋_GBK" w:cs="方正仿宋_GBK"/>
          <w:color w:val="000000"/>
          <w:sz w:val="28"/>
        </w:rPr>
        <w:t>14.提前下达2021年中央集中彩票公益金支持社会福利事业专项资金预算（孤儿助学）绩效目标表</w:t>
      </w:r>
      <w:bookmarkEnd w:id="1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13062521HWNQ5LPSV8BVS</w:t>
            </w:r>
          </w:p>
        </w:tc>
        <w:tc>
          <w:tcPr>
            <w:tcW w:w="1587" w:type="dxa"/>
            <w:vAlign w:val="center"/>
          </w:tcPr>
          <w:p>
            <w:pPr>
              <w:pStyle w:val="21"/>
            </w:pPr>
            <w:r>
              <w:t>项目名称</w:t>
            </w:r>
          </w:p>
        </w:tc>
        <w:tc>
          <w:tcPr>
            <w:tcW w:w="4422" w:type="dxa"/>
            <w:gridSpan w:val="3"/>
            <w:vAlign w:val="center"/>
          </w:tcPr>
          <w:p>
            <w:pPr>
              <w:pStyle w:val="20"/>
            </w:pPr>
            <w:r>
              <w:t>提前下达2021年中央集中彩票公益金支持社会福利事业专项资金预算（孤儿助学）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5.50</w:t>
            </w:r>
          </w:p>
        </w:tc>
        <w:tc>
          <w:tcPr>
            <w:tcW w:w="1587" w:type="dxa"/>
            <w:vAlign w:val="center"/>
          </w:tcPr>
          <w:p>
            <w:pPr>
              <w:pStyle w:val="21"/>
            </w:pPr>
            <w:r>
              <w:t>其中：财政    资金</w:t>
            </w:r>
          </w:p>
        </w:tc>
        <w:tc>
          <w:tcPr>
            <w:tcW w:w="1304" w:type="dxa"/>
            <w:vAlign w:val="center"/>
          </w:tcPr>
          <w:p>
            <w:pPr>
              <w:pStyle w:val="20"/>
            </w:pPr>
            <w:r>
              <w:t>5.50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用于孤儿保障，促进孤儿助学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1.保障孤儿福利，促进孤儿生活。</w:t>
            </w:r>
          </w:p>
          <w:p>
            <w:pPr>
              <w:pStyle w:val="20"/>
            </w:pPr>
            <w:r>
              <w:t>2.按季度支出，预计12月全部支出。</w:t>
            </w:r>
          </w:p>
          <w:p>
            <w:pPr>
              <w:pStyle w:val="20"/>
            </w:pPr>
            <w:r>
              <w:t>3.主要用于孤儿助学，保障孤儿学习。</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儿童助学数量</w:t>
            </w:r>
          </w:p>
        </w:tc>
        <w:tc>
          <w:tcPr>
            <w:tcW w:w="2891" w:type="dxa"/>
            <w:vAlign w:val="center"/>
          </w:tcPr>
          <w:p>
            <w:pPr>
              <w:pStyle w:val="20"/>
            </w:pPr>
            <w:r>
              <w:t>儿童助学的数量</w:t>
            </w:r>
          </w:p>
        </w:tc>
        <w:tc>
          <w:tcPr>
            <w:tcW w:w="1276" w:type="dxa"/>
            <w:vAlign w:val="center"/>
          </w:tcPr>
          <w:p>
            <w:pPr>
              <w:pStyle w:val="20"/>
            </w:pPr>
            <w:r>
              <w:t>≥10个</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孤儿助学达标率</w:t>
            </w:r>
          </w:p>
        </w:tc>
        <w:tc>
          <w:tcPr>
            <w:tcW w:w="2891" w:type="dxa"/>
            <w:vAlign w:val="center"/>
          </w:tcPr>
          <w:p>
            <w:pPr>
              <w:pStyle w:val="20"/>
            </w:pPr>
            <w:r>
              <w:t>孤儿助学达标率</w:t>
            </w:r>
          </w:p>
        </w:tc>
        <w:tc>
          <w:tcPr>
            <w:tcW w:w="1276" w:type="dxa"/>
            <w:vAlign w:val="center"/>
          </w:tcPr>
          <w:p>
            <w:pPr>
              <w:pStyle w:val="20"/>
            </w:pPr>
            <w:r>
              <w:t>≥95%</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助学及时性</w:t>
            </w:r>
          </w:p>
        </w:tc>
        <w:tc>
          <w:tcPr>
            <w:tcW w:w="2891" w:type="dxa"/>
            <w:vAlign w:val="center"/>
          </w:tcPr>
          <w:p>
            <w:pPr>
              <w:pStyle w:val="20"/>
            </w:pPr>
            <w:r>
              <w:t>助学及时性</w:t>
            </w:r>
          </w:p>
        </w:tc>
        <w:tc>
          <w:tcPr>
            <w:tcW w:w="1276" w:type="dxa"/>
            <w:vAlign w:val="center"/>
          </w:tcPr>
          <w:p>
            <w:pPr>
              <w:pStyle w:val="20"/>
            </w:pPr>
            <w:r>
              <w:t>≥95%</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w:t>
            </w:r>
          </w:p>
        </w:tc>
        <w:tc>
          <w:tcPr>
            <w:tcW w:w="1843" w:type="dxa"/>
            <w:vAlign w:val="center"/>
          </w:tcPr>
          <w:p>
            <w:pPr>
              <w:pStyle w:val="20"/>
            </w:pPr>
            <w:r>
              <w:t>评估资料</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7" w:name="_Toc_4_4_0000000018"/>
      <w:r>
        <w:rPr>
          <w:rFonts w:ascii="方正仿宋_GBK" w:hAnsi="方正仿宋_GBK" w:eastAsia="方正仿宋_GBK" w:cs="方正仿宋_GBK"/>
          <w:color w:val="000000"/>
          <w:sz w:val="28"/>
        </w:rPr>
        <w:t>15.推进”跨省通办“集中办理辖区内补办婚姻登记证所需费用绩效目标表</w:t>
      </w:r>
      <w:bookmarkEnd w:id="1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13062522P004567100348</w:t>
            </w:r>
          </w:p>
        </w:tc>
        <w:tc>
          <w:tcPr>
            <w:tcW w:w="1587" w:type="dxa"/>
            <w:vAlign w:val="center"/>
          </w:tcPr>
          <w:p>
            <w:pPr>
              <w:pStyle w:val="21"/>
            </w:pPr>
            <w:r>
              <w:t>项目名称</w:t>
            </w:r>
          </w:p>
        </w:tc>
        <w:tc>
          <w:tcPr>
            <w:tcW w:w="4422" w:type="dxa"/>
            <w:gridSpan w:val="3"/>
            <w:vAlign w:val="center"/>
          </w:tcPr>
          <w:p>
            <w:pPr>
              <w:pStyle w:val="20"/>
            </w:pPr>
            <w:r>
              <w:t>推进”跨省通办“集中办理辖区内补办婚姻登记证所需费用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26.00</w:t>
            </w:r>
          </w:p>
        </w:tc>
        <w:tc>
          <w:tcPr>
            <w:tcW w:w="1587" w:type="dxa"/>
            <w:vAlign w:val="center"/>
          </w:tcPr>
          <w:p>
            <w:pPr>
              <w:pStyle w:val="21"/>
            </w:pPr>
            <w:r>
              <w:t>其中：财政    资金</w:t>
            </w:r>
          </w:p>
        </w:tc>
        <w:tc>
          <w:tcPr>
            <w:tcW w:w="1304" w:type="dxa"/>
            <w:vAlign w:val="center"/>
          </w:tcPr>
          <w:p>
            <w:pPr>
              <w:pStyle w:val="20"/>
            </w:pPr>
            <w:r>
              <w:t>26.00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具体用于补办婚姻登记证日常消耗品</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1.推进婚姻登记证工作，促进婚姻登记证的补办</w:t>
            </w:r>
          </w:p>
          <w:p>
            <w:pPr>
              <w:pStyle w:val="20"/>
            </w:pPr>
            <w:r>
              <w:t>2.具体用于补办婚姻登记证日常消耗品</w:t>
            </w:r>
          </w:p>
          <w:p>
            <w:pPr>
              <w:pStyle w:val="20"/>
            </w:pPr>
            <w:r>
              <w:t>3.共需资金28万，其中劳务派遣人员工资18万元，按月支出。电脑耗材及照相耗材等8万元，按季度支出，预计12月份全部支出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补办数量</w:t>
            </w:r>
          </w:p>
        </w:tc>
        <w:tc>
          <w:tcPr>
            <w:tcW w:w="2891" w:type="dxa"/>
            <w:vAlign w:val="center"/>
          </w:tcPr>
          <w:p>
            <w:pPr>
              <w:pStyle w:val="20"/>
            </w:pPr>
            <w:r>
              <w:t>补办婚姻登记证的数量</w:t>
            </w:r>
          </w:p>
        </w:tc>
        <w:tc>
          <w:tcPr>
            <w:tcW w:w="1276" w:type="dxa"/>
            <w:vAlign w:val="center"/>
          </w:tcPr>
          <w:p>
            <w:pPr>
              <w:pStyle w:val="20"/>
            </w:pPr>
            <w:r>
              <w:t>≥8000个</w:t>
            </w:r>
          </w:p>
        </w:tc>
        <w:tc>
          <w:tcPr>
            <w:tcW w:w="1843" w:type="dxa"/>
            <w:vAlign w:val="center"/>
          </w:tcPr>
          <w:p>
            <w:pPr>
              <w:pStyle w:val="20"/>
            </w:pPr>
            <w:r>
              <w:t>实际补办数量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办证手续合格率</w:t>
            </w:r>
          </w:p>
        </w:tc>
        <w:tc>
          <w:tcPr>
            <w:tcW w:w="2891" w:type="dxa"/>
            <w:vAlign w:val="center"/>
          </w:tcPr>
          <w:p>
            <w:pPr>
              <w:pStyle w:val="20"/>
            </w:pPr>
            <w:r>
              <w:t>办证手续合格率</w:t>
            </w:r>
          </w:p>
        </w:tc>
        <w:tc>
          <w:tcPr>
            <w:tcW w:w="1276" w:type="dxa"/>
            <w:vAlign w:val="center"/>
          </w:tcPr>
          <w:p>
            <w:pPr>
              <w:pStyle w:val="20"/>
            </w:pPr>
            <w:r>
              <w:t>≥95百分比</w:t>
            </w:r>
          </w:p>
        </w:tc>
        <w:tc>
          <w:tcPr>
            <w:tcW w:w="1843" w:type="dxa"/>
            <w:vAlign w:val="center"/>
          </w:tcPr>
          <w:p>
            <w:pPr>
              <w:pStyle w:val="20"/>
            </w:pPr>
            <w:r>
              <w:t>《保定市徐水区人民政府关于印发〈保定市徐水区推进政务服务“跨省通办”工作实施方案〉的通知》（[2020]-17）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办证及时率</w:t>
            </w:r>
          </w:p>
        </w:tc>
        <w:tc>
          <w:tcPr>
            <w:tcW w:w="2891" w:type="dxa"/>
            <w:vAlign w:val="center"/>
          </w:tcPr>
          <w:p>
            <w:pPr>
              <w:pStyle w:val="20"/>
            </w:pPr>
            <w:r>
              <w:t>办证及时情况</w:t>
            </w:r>
          </w:p>
        </w:tc>
        <w:tc>
          <w:tcPr>
            <w:tcW w:w="1276" w:type="dxa"/>
            <w:vAlign w:val="center"/>
          </w:tcPr>
          <w:p>
            <w:pPr>
              <w:pStyle w:val="20"/>
            </w:pPr>
            <w:r>
              <w:t>≥95百分比</w:t>
            </w:r>
          </w:p>
        </w:tc>
        <w:tc>
          <w:tcPr>
            <w:tcW w:w="1843" w:type="dxa"/>
            <w:vAlign w:val="center"/>
          </w:tcPr>
          <w:p>
            <w:pPr>
              <w:pStyle w:val="20"/>
            </w:pPr>
            <w:r>
              <w:t>《保定市徐水区人民政府关于印发〈保定市徐水区推进政务服务“跨省通办”工作实施方案〉的通知》（[2020]-17）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资金成本</w:t>
            </w:r>
          </w:p>
        </w:tc>
        <w:tc>
          <w:tcPr>
            <w:tcW w:w="2891" w:type="dxa"/>
            <w:vAlign w:val="center"/>
          </w:tcPr>
          <w:p>
            <w:pPr>
              <w:pStyle w:val="20"/>
            </w:pPr>
            <w:r>
              <w:t>补办婚姻登记证成本</w:t>
            </w:r>
          </w:p>
        </w:tc>
        <w:tc>
          <w:tcPr>
            <w:tcW w:w="1276" w:type="dxa"/>
            <w:vAlign w:val="center"/>
          </w:tcPr>
          <w:p>
            <w:pPr>
              <w:pStyle w:val="20"/>
            </w:pPr>
            <w:r>
              <w:t>≤2.8元</w:t>
            </w:r>
          </w:p>
        </w:tc>
        <w:tc>
          <w:tcPr>
            <w:tcW w:w="1843" w:type="dxa"/>
            <w:vAlign w:val="center"/>
          </w:tcPr>
          <w:p>
            <w:pPr>
              <w:pStyle w:val="20"/>
            </w:pPr>
            <w:r>
              <w:t>《保定市徐水区人民政府关于印发〈保定市徐水区推进政务服务“跨省通办”工作实施方案〉的通知》（[2020]-17）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促进婚姻登记证补办</w:t>
            </w:r>
          </w:p>
        </w:tc>
        <w:tc>
          <w:tcPr>
            <w:tcW w:w="2891" w:type="dxa"/>
            <w:vAlign w:val="center"/>
          </w:tcPr>
          <w:p>
            <w:pPr>
              <w:pStyle w:val="20"/>
            </w:pPr>
            <w:r>
              <w:t>是否促进婚姻登记证补办</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8" w:name="_Toc_4_4_0000000019"/>
      <w:r>
        <w:rPr>
          <w:rFonts w:ascii="方正仿宋_GBK" w:hAnsi="方正仿宋_GBK" w:eastAsia="方正仿宋_GBK" w:cs="方正仿宋_GBK"/>
          <w:color w:val="000000"/>
          <w:sz w:val="28"/>
        </w:rPr>
        <w:t>16.未成年人救助保护中心资金（运转保障）绩效目标表</w:t>
      </w:r>
      <w:bookmarkEnd w:id="1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13062522P004566101899</w:t>
            </w:r>
          </w:p>
        </w:tc>
        <w:tc>
          <w:tcPr>
            <w:tcW w:w="1587" w:type="dxa"/>
            <w:vAlign w:val="center"/>
          </w:tcPr>
          <w:p>
            <w:pPr>
              <w:pStyle w:val="21"/>
            </w:pPr>
            <w:r>
              <w:t>项目名称</w:t>
            </w:r>
          </w:p>
        </w:tc>
        <w:tc>
          <w:tcPr>
            <w:tcW w:w="4422" w:type="dxa"/>
            <w:gridSpan w:val="3"/>
            <w:vAlign w:val="center"/>
          </w:tcPr>
          <w:p>
            <w:pPr>
              <w:pStyle w:val="20"/>
            </w:pPr>
            <w:r>
              <w:t>未成年人救助保护中心资金（运转保障）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w:t>
            </w:r>
          </w:p>
        </w:tc>
        <w:tc>
          <w:tcPr>
            <w:tcW w:w="1587" w:type="dxa"/>
            <w:vAlign w:val="center"/>
          </w:tcPr>
          <w:p>
            <w:pPr>
              <w:pStyle w:val="21"/>
            </w:pPr>
            <w:r>
              <w:t>其中：财政    资金</w:t>
            </w:r>
          </w:p>
        </w:tc>
        <w:tc>
          <w:tcPr>
            <w:tcW w:w="1304" w:type="dxa"/>
            <w:vAlign w:val="center"/>
          </w:tcPr>
          <w:p>
            <w:pPr>
              <w:pStyle w:val="20"/>
            </w:pPr>
            <w:r>
              <w:t>1.00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推进未成年救助保护中心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1.保障未成年人救助保护中心工作顺利进行。</w:t>
            </w:r>
          </w:p>
          <w:p>
            <w:pPr>
              <w:pStyle w:val="20"/>
            </w:pPr>
            <w:r>
              <w:t>2.具体用于未成年救助保护中心的建设</w:t>
            </w:r>
          </w:p>
          <w:p>
            <w:pPr>
              <w:pStyle w:val="20"/>
            </w:pPr>
            <w:r>
              <w:t>3.需资金5万元。按季度支付，预计12月份支出完毕。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配置电脑数量</w:t>
            </w:r>
          </w:p>
        </w:tc>
        <w:tc>
          <w:tcPr>
            <w:tcW w:w="2891" w:type="dxa"/>
            <w:vAlign w:val="center"/>
          </w:tcPr>
          <w:p>
            <w:pPr>
              <w:pStyle w:val="20"/>
            </w:pPr>
            <w:r>
              <w:t>配置电脑数量</w:t>
            </w:r>
          </w:p>
        </w:tc>
        <w:tc>
          <w:tcPr>
            <w:tcW w:w="1276" w:type="dxa"/>
            <w:vAlign w:val="center"/>
          </w:tcPr>
          <w:p>
            <w:pPr>
              <w:pStyle w:val="20"/>
            </w:pPr>
            <w:r>
              <w:t>≤2台</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资金支付及时率</w:t>
            </w:r>
          </w:p>
        </w:tc>
        <w:tc>
          <w:tcPr>
            <w:tcW w:w="2891" w:type="dxa"/>
            <w:vAlign w:val="center"/>
          </w:tcPr>
          <w:p>
            <w:pPr>
              <w:pStyle w:val="20"/>
            </w:pPr>
            <w:r>
              <w:t>资金支付及时率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项目成本</w:t>
            </w:r>
          </w:p>
        </w:tc>
        <w:tc>
          <w:tcPr>
            <w:tcW w:w="2891" w:type="dxa"/>
            <w:vAlign w:val="center"/>
          </w:tcPr>
          <w:p>
            <w:pPr>
              <w:pStyle w:val="20"/>
            </w:pPr>
            <w:r>
              <w:t>项目成本</w:t>
            </w:r>
          </w:p>
        </w:tc>
        <w:tc>
          <w:tcPr>
            <w:tcW w:w="1276" w:type="dxa"/>
            <w:vAlign w:val="center"/>
          </w:tcPr>
          <w:p>
            <w:pPr>
              <w:pStyle w:val="20"/>
            </w:pPr>
            <w:r>
              <w:t>≤5万元</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保障未成年人救助保护工作顺利进行</w:t>
            </w:r>
          </w:p>
        </w:tc>
        <w:tc>
          <w:tcPr>
            <w:tcW w:w="2891" w:type="dxa"/>
            <w:vAlign w:val="center"/>
          </w:tcPr>
          <w:p>
            <w:pPr>
              <w:pStyle w:val="20"/>
            </w:pPr>
            <w:r>
              <w:t>保障未成年人救助保护工作顺利进行</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9" w:name="_Toc_4_4_0000000020"/>
      <w:r>
        <w:rPr>
          <w:rFonts w:ascii="方正仿宋_GBK" w:hAnsi="方正仿宋_GBK" w:eastAsia="方正仿宋_GBK" w:cs="方正仿宋_GBK"/>
          <w:color w:val="000000"/>
          <w:sz w:val="28"/>
        </w:rPr>
        <w:t>17.下达2021年政府购买社会工作服务资金绩效目标表</w:t>
      </w:r>
      <w:bookmarkEnd w:id="19"/>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13062521RZMPP2K6BNV6V</w:t>
            </w:r>
          </w:p>
        </w:tc>
        <w:tc>
          <w:tcPr>
            <w:tcW w:w="1587" w:type="dxa"/>
            <w:vAlign w:val="center"/>
          </w:tcPr>
          <w:p>
            <w:pPr>
              <w:pStyle w:val="21"/>
            </w:pPr>
            <w:r>
              <w:t>项目名称</w:t>
            </w:r>
          </w:p>
        </w:tc>
        <w:tc>
          <w:tcPr>
            <w:tcW w:w="4422" w:type="dxa"/>
            <w:gridSpan w:val="3"/>
            <w:vAlign w:val="center"/>
          </w:tcPr>
          <w:p>
            <w:pPr>
              <w:pStyle w:val="20"/>
            </w:pPr>
            <w:r>
              <w:t>下达2021年政府购买社会工作服务资金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12.00</w:t>
            </w:r>
          </w:p>
        </w:tc>
        <w:tc>
          <w:tcPr>
            <w:tcW w:w="1587" w:type="dxa"/>
            <w:vAlign w:val="center"/>
          </w:tcPr>
          <w:p>
            <w:pPr>
              <w:pStyle w:val="21"/>
            </w:pPr>
            <w:r>
              <w:t>其中：财政    资金</w:t>
            </w:r>
          </w:p>
        </w:tc>
        <w:tc>
          <w:tcPr>
            <w:tcW w:w="1304" w:type="dxa"/>
            <w:vAlign w:val="center"/>
          </w:tcPr>
          <w:p>
            <w:pPr>
              <w:pStyle w:val="20"/>
            </w:pPr>
            <w:r>
              <w:t>12.00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用于社会购买服务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1.推进政府购买社会工作服务</w:t>
            </w:r>
          </w:p>
          <w:p>
            <w:pPr>
              <w:pStyle w:val="20"/>
            </w:pPr>
            <w:r>
              <w:t>2.具体用于政府购买社会工作服务</w:t>
            </w:r>
          </w:p>
          <w:p>
            <w:pPr>
              <w:pStyle w:val="20"/>
            </w:pPr>
            <w:r>
              <w:t>3.预计十二月支出完毕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服务周期</w:t>
            </w:r>
          </w:p>
        </w:tc>
        <w:tc>
          <w:tcPr>
            <w:tcW w:w="2891" w:type="dxa"/>
            <w:vAlign w:val="center"/>
          </w:tcPr>
          <w:p>
            <w:pPr>
              <w:pStyle w:val="20"/>
            </w:pPr>
            <w:r>
              <w:t>服务周期</w:t>
            </w:r>
          </w:p>
        </w:tc>
        <w:tc>
          <w:tcPr>
            <w:tcW w:w="1276" w:type="dxa"/>
            <w:vAlign w:val="center"/>
          </w:tcPr>
          <w:p>
            <w:pPr>
              <w:pStyle w:val="20"/>
            </w:pPr>
            <w:r>
              <w:t>1年</w:t>
            </w:r>
          </w:p>
        </w:tc>
        <w:tc>
          <w:tcPr>
            <w:tcW w:w="1843" w:type="dxa"/>
            <w:vAlign w:val="center"/>
          </w:tcPr>
          <w:p>
            <w:pPr>
              <w:pStyle w:val="20"/>
            </w:pPr>
            <w:r>
              <w:t>指标文件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服务质量达标率</w:t>
            </w:r>
          </w:p>
        </w:tc>
        <w:tc>
          <w:tcPr>
            <w:tcW w:w="2891" w:type="dxa"/>
            <w:vAlign w:val="center"/>
          </w:tcPr>
          <w:p>
            <w:pPr>
              <w:pStyle w:val="20"/>
            </w:pPr>
            <w:r>
              <w:t>服务质量达标率</w:t>
            </w:r>
          </w:p>
        </w:tc>
        <w:tc>
          <w:tcPr>
            <w:tcW w:w="1276" w:type="dxa"/>
            <w:vAlign w:val="center"/>
          </w:tcPr>
          <w:p>
            <w:pPr>
              <w:pStyle w:val="20"/>
            </w:pPr>
            <w:r>
              <w:t>≥95百分比</w:t>
            </w:r>
          </w:p>
        </w:tc>
        <w:tc>
          <w:tcPr>
            <w:tcW w:w="1843" w:type="dxa"/>
            <w:vAlign w:val="center"/>
          </w:tcPr>
          <w:p>
            <w:pPr>
              <w:pStyle w:val="20"/>
            </w:pPr>
            <w:r>
              <w:t>指标文件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购买服务及时率</w:t>
            </w:r>
          </w:p>
        </w:tc>
        <w:tc>
          <w:tcPr>
            <w:tcW w:w="2891" w:type="dxa"/>
            <w:vAlign w:val="center"/>
          </w:tcPr>
          <w:p>
            <w:pPr>
              <w:pStyle w:val="20"/>
            </w:pPr>
            <w:r>
              <w:t>购买服务及时率</w:t>
            </w:r>
          </w:p>
        </w:tc>
        <w:tc>
          <w:tcPr>
            <w:tcW w:w="1276" w:type="dxa"/>
            <w:vAlign w:val="center"/>
          </w:tcPr>
          <w:p>
            <w:pPr>
              <w:pStyle w:val="20"/>
            </w:pPr>
            <w:r>
              <w:t>≥95百分比</w:t>
            </w:r>
          </w:p>
        </w:tc>
        <w:tc>
          <w:tcPr>
            <w:tcW w:w="1843" w:type="dxa"/>
            <w:vAlign w:val="center"/>
          </w:tcPr>
          <w:p>
            <w:pPr>
              <w:pStyle w:val="20"/>
            </w:pPr>
            <w:r>
              <w:t>指标文件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购买服务成本</w:t>
            </w:r>
          </w:p>
        </w:tc>
        <w:tc>
          <w:tcPr>
            <w:tcW w:w="2891" w:type="dxa"/>
            <w:vAlign w:val="center"/>
          </w:tcPr>
          <w:p>
            <w:pPr>
              <w:pStyle w:val="20"/>
            </w:pPr>
            <w:r>
              <w:t>购买服务成本</w:t>
            </w:r>
          </w:p>
        </w:tc>
        <w:tc>
          <w:tcPr>
            <w:tcW w:w="1276" w:type="dxa"/>
            <w:vAlign w:val="center"/>
          </w:tcPr>
          <w:p>
            <w:pPr>
              <w:pStyle w:val="20"/>
            </w:pPr>
            <w:r>
              <w:t>≤12万元</w:t>
            </w:r>
          </w:p>
        </w:tc>
        <w:tc>
          <w:tcPr>
            <w:tcW w:w="1843" w:type="dxa"/>
            <w:vAlign w:val="center"/>
          </w:tcPr>
          <w:p>
            <w:pPr>
              <w:pStyle w:val="20"/>
            </w:pPr>
            <w:r>
              <w:t>实际支出</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0" w:name="_Toc_4_4_0000000021"/>
      <w:r>
        <w:rPr>
          <w:rFonts w:ascii="方正仿宋_GBK" w:hAnsi="方正仿宋_GBK" w:eastAsia="方正仿宋_GBK" w:cs="方正仿宋_GBK"/>
          <w:color w:val="000000"/>
          <w:sz w:val="28"/>
        </w:rPr>
        <w:t>18.保定市徐水区殡葬管理所惠民专项经费（运转保障）绩效目标表</w:t>
      </w:r>
      <w:bookmarkEnd w:id="20"/>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13062522P007NTE101274</w:t>
            </w:r>
          </w:p>
        </w:tc>
        <w:tc>
          <w:tcPr>
            <w:tcW w:w="1587" w:type="dxa"/>
            <w:vAlign w:val="center"/>
          </w:tcPr>
          <w:p>
            <w:pPr>
              <w:pStyle w:val="21"/>
            </w:pPr>
            <w:r>
              <w:t>项目名称</w:t>
            </w:r>
          </w:p>
        </w:tc>
        <w:tc>
          <w:tcPr>
            <w:tcW w:w="4422" w:type="dxa"/>
            <w:gridSpan w:val="3"/>
            <w:vAlign w:val="center"/>
          </w:tcPr>
          <w:p>
            <w:pPr>
              <w:pStyle w:val="20"/>
            </w:pPr>
            <w:r>
              <w:t>保定市徐水区殡葬管理所惠民专项经费（运转保障）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10.00</w:t>
            </w:r>
          </w:p>
        </w:tc>
        <w:tc>
          <w:tcPr>
            <w:tcW w:w="1587" w:type="dxa"/>
            <w:vAlign w:val="center"/>
          </w:tcPr>
          <w:p>
            <w:pPr>
              <w:pStyle w:val="21"/>
            </w:pPr>
            <w:r>
              <w:t>其中：财政    资金</w:t>
            </w:r>
          </w:p>
        </w:tc>
        <w:tc>
          <w:tcPr>
            <w:tcW w:w="1304" w:type="dxa"/>
            <w:vAlign w:val="center"/>
          </w:tcPr>
          <w:p>
            <w:pPr>
              <w:pStyle w:val="20"/>
            </w:pPr>
            <w:r>
              <w:t>10.00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为全区惠民范围内减免殡葬服务项目服务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70%</w:t>
            </w:r>
          </w:p>
        </w:tc>
        <w:tc>
          <w:tcPr>
            <w:tcW w:w="1304" w:type="dxa"/>
            <w:vAlign w:val="center"/>
          </w:tcPr>
          <w:p>
            <w:pPr>
              <w:pStyle w:val="22"/>
            </w:pPr>
            <w:r>
              <w:t>90%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1.提高殡葬服务水平，提高殡葬惠民服务水准</w:t>
            </w:r>
          </w:p>
          <w:p>
            <w:pPr>
              <w:pStyle w:val="20"/>
            </w:pPr>
            <w:r>
              <w:t>2.具体用于殡葬惠民政策，避免城乡低收入群众基本殡葬费用</w:t>
            </w:r>
          </w:p>
          <w:p>
            <w:pPr>
              <w:pStyle w:val="20"/>
            </w:pPr>
            <w:r>
              <w:t>3.平均到各月支付，4月份支付40000元，6月份支付30000元，9月支付30000元。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享受惠民补贴人群</w:t>
            </w:r>
          </w:p>
        </w:tc>
        <w:tc>
          <w:tcPr>
            <w:tcW w:w="2891" w:type="dxa"/>
            <w:vAlign w:val="center"/>
          </w:tcPr>
          <w:p>
            <w:pPr>
              <w:pStyle w:val="20"/>
            </w:pPr>
            <w:r>
              <w:t>大约每年享受人群2500人</w:t>
            </w:r>
          </w:p>
        </w:tc>
        <w:tc>
          <w:tcPr>
            <w:tcW w:w="1276" w:type="dxa"/>
            <w:vAlign w:val="center"/>
          </w:tcPr>
          <w:p>
            <w:pPr>
              <w:pStyle w:val="20"/>
            </w:pPr>
            <w:r>
              <w:t>≤2500人</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惠民资金使用率</w:t>
            </w:r>
          </w:p>
        </w:tc>
        <w:tc>
          <w:tcPr>
            <w:tcW w:w="2891" w:type="dxa"/>
            <w:vAlign w:val="center"/>
          </w:tcPr>
          <w:p>
            <w:pPr>
              <w:pStyle w:val="20"/>
            </w:pPr>
            <w:r>
              <w:t>惠民资金使用率</w:t>
            </w:r>
          </w:p>
        </w:tc>
        <w:tc>
          <w:tcPr>
            <w:tcW w:w="1276" w:type="dxa"/>
            <w:vAlign w:val="center"/>
          </w:tcPr>
          <w:p>
            <w:pPr>
              <w:pStyle w:val="20"/>
            </w:pPr>
            <w:r>
              <w:t>≥95%</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惠民资金</w:t>
            </w:r>
          </w:p>
        </w:tc>
        <w:tc>
          <w:tcPr>
            <w:tcW w:w="2891" w:type="dxa"/>
            <w:vAlign w:val="center"/>
          </w:tcPr>
          <w:p>
            <w:pPr>
              <w:pStyle w:val="20"/>
            </w:pPr>
            <w:r>
              <w:t>百分百</w:t>
            </w:r>
          </w:p>
        </w:tc>
        <w:tc>
          <w:tcPr>
            <w:tcW w:w="1276" w:type="dxa"/>
            <w:vAlign w:val="center"/>
          </w:tcPr>
          <w:p>
            <w:pPr>
              <w:pStyle w:val="20"/>
            </w:pPr>
            <w:r>
              <w:t>≥95%</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根据实际需要测算经费数</w:t>
            </w:r>
          </w:p>
        </w:tc>
        <w:tc>
          <w:tcPr>
            <w:tcW w:w="1276" w:type="dxa"/>
            <w:vAlign w:val="center"/>
          </w:tcPr>
          <w:p>
            <w:pPr>
              <w:pStyle w:val="20"/>
            </w:pPr>
            <w:r>
              <w:t>≥96%</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缓解居民办理殡葬压力</w:t>
            </w:r>
          </w:p>
        </w:tc>
        <w:tc>
          <w:tcPr>
            <w:tcW w:w="2891" w:type="dxa"/>
            <w:vAlign w:val="center"/>
          </w:tcPr>
          <w:p>
            <w:pPr>
              <w:pStyle w:val="20"/>
            </w:pPr>
            <w:r>
              <w:t>缓解居民办理殡葬压力人数占比</w:t>
            </w:r>
          </w:p>
        </w:tc>
        <w:tc>
          <w:tcPr>
            <w:tcW w:w="1276" w:type="dxa"/>
            <w:vAlign w:val="center"/>
          </w:tcPr>
          <w:p>
            <w:pPr>
              <w:pStyle w:val="20"/>
            </w:pPr>
            <w:r>
              <w:t>≥95%</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1" w:name="_Toc_4_4_0000000022"/>
      <w:r>
        <w:rPr>
          <w:rFonts w:ascii="方正仿宋_GBK" w:hAnsi="方正仿宋_GBK" w:eastAsia="方正仿宋_GBK" w:cs="方正仿宋_GBK"/>
          <w:color w:val="000000"/>
          <w:sz w:val="28"/>
        </w:rPr>
        <w:t>19.福彩公益金用于殡仪馆改扩建项目绩效目标表</w:t>
      </w:r>
      <w:bookmarkEnd w:id="21"/>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13062522P00457910001C</w:t>
            </w:r>
          </w:p>
        </w:tc>
        <w:tc>
          <w:tcPr>
            <w:tcW w:w="1587" w:type="dxa"/>
            <w:vAlign w:val="center"/>
          </w:tcPr>
          <w:p>
            <w:pPr>
              <w:pStyle w:val="21"/>
            </w:pPr>
            <w:r>
              <w:t>项目名称</w:t>
            </w:r>
          </w:p>
        </w:tc>
        <w:tc>
          <w:tcPr>
            <w:tcW w:w="4422" w:type="dxa"/>
            <w:gridSpan w:val="3"/>
            <w:vAlign w:val="center"/>
          </w:tcPr>
          <w:p>
            <w:pPr>
              <w:pStyle w:val="20"/>
            </w:pPr>
            <w:r>
              <w:t>福彩公益金用于殡仪馆改扩建项目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25.20</w:t>
            </w:r>
          </w:p>
        </w:tc>
        <w:tc>
          <w:tcPr>
            <w:tcW w:w="1587" w:type="dxa"/>
            <w:vAlign w:val="center"/>
          </w:tcPr>
          <w:p>
            <w:pPr>
              <w:pStyle w:val="21"/>
            </w:pPr>
            <w:r>
              <w:t>其中：财政    资金</w:t>
            </w:r>
          </w:p>
        </w:tc>
        <w:tc>
          <w:tcPr>
            <w:tcW w:w="1304" w:type="dxa"/>
            <w:vAlign w:val="center"/>
          </w:tcPr>
          <w:p>
            <w:pPr>
              <w:pStyle w:val="20"/>
            </w:pPr>
            <w:r>
              <w:t>25.20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用于殡仪馆改扩建项目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1.推进徐水区殡葬服务，提高殡葬服务水平</w:t>
            </w:r>
          </w:p>
          <w:p>
            <w:pPr>
              <w:pStyle w:val="20"/>
            </w:pPr>
            <w:r>
              <w:t>2.具体用于殡仪馆的改扩建</w:t>
            </w:r>
          </w:p>
          <w:p>
            <w:pPr>
              <w:pStyle w:val="20"/>
            </w:pPr>
            <w:r>
              <w:t>3.3月份支付12000元，5-6月份支付60000元，9月份支付180000元。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 xml:space="preserve">支出项目数 </w:t>
            </w:r>
          </w:p>
        </w:tc>
        <w:tc>
          <w:tcPr>
            <w:tcW w:w="2891" w:type="dxa"/>
            <w:vAlign w:val="center"/>
          </w:tcPr>
          <w:p>
            <w:pPr>
              <w:pStyle w:val="20"/>
            </w:pPr>
            <w:r>
              <w:t>改扩建后期的四个相关项目</w:t>
            </w:r>
          </w:p>
        </w:tc>
        <w:tc>
          <w:tcPr>
            <w:tcW w:w="1276" w:type="dxa"/>
            <w:vAlign w:val="center"/>
          </w:tcPr>
          <w:p>
            <w:pPr>
              <w:pStyle w:val="20"/>
            </w:pPr>
            <w:r>
              <w:t>4个</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 xml:space="preserve">资金到位支出率 </w:t>
            </w:r>
          </w:p>
        </w:tc>
        <w:tc>
          <w:tcPr>
            <w:tcW w:w="2891" w:type="dxa"/>
            <w:vAlign w:val="center"/>
          </w:tcPr>
          <w:p>
            <w:pPr>
              <w:pStyle w:val="20"/>
            </w:pPr>
            <w:r>
              <w:t>及时足额的完成支付</w:t>
            </w:r>
          </w:p>
        </w:tc>
        <w:tc>
          <w:tcPr>
            <w:tcW w:w="1276" w:type="dxa"/>
            <w:vAlign w:val="center"/>
          </w:tcPr>
          <w:p>
            <w:pPr>
              <w:pStyle w:val="20"/>
            </w:pPr>
            <w:r>
              <w:t>≥95百分百</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改扩建及时率</w:t>
            </w:r>
          </w:p>
        </w:tc>
        <w:tc>
          <w:tcPr>
            <w:tcW w:w="2891" w:type="dxa"/>
            <w:vAlign w:val="center"/>
          </w:tcPr>
          <w:p>
            <w:pPr>
              <w:pStyle w:val="20"/>
            </w:pPr>
            <w:r>
              <w:t>改扩建及时情况</w:t>
            </w:r>
          </w:p>
        </w:tc>
        <w:tc>
          <w:tcPr>
            <w:tcW w:w="1276" w:type="dxa"/>
            <w:vAlign w:val="center"/>
          </w:tcPr>
          <w:p>
            <w:pPr>
              <w:pStyle w:val="20"/>
            </w:pPr>
            <w:r>
              <w:t>≥96百分百</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改扩建所需资金</w:t>
            </w:r>
          </w:p>
        </w:tc>
        <w:tc>
          <w:tcPr>
            <w:tcW w:w="2891" w:type="dxa"/>
            <w:vAlign w:val="center"/>
          </w:tcPr>
          <w:p>
            <w:pPr>
              <w:pStyle w:val="20"/>
            </w:pPr>
            <w:r>
              <w:t>改扩建所需资金</w:t>
            </w:r>
          </w:p>
        </w:tc>
        <w:tc>
          <w:tcPr>
            <w:tcW w:w="1276" w:type="dxa"/>
            <w:vAlign w:val="center"/>
          </w:tcPr>
          <w:p>
            <w:pPr>
              <w:pStyle w:val="20"/>
            </w:pPr>
            <w:r>
              <w:t>≤25.2万</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优化殡葬服务事业</w:t>
            </w:r>
          </w:p>
        </w:tc>
        <w:tc>
          <w:tcPr>
            <w:tcW w:w="2891" w:type="dxa"/>
            <w:vAlign w:val="center"/>
          </w:tcPr>
          <w:p>
            <w:pPr>
              <w:pStyle w:val="20"/>
            </w:pPr>
            <w:r>
              <w:t>殡仪馆改扩建各项工作是否优化殡葬服务事业</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2" w:name="_Toc_4_4_0000000023"/>
      <w:r>
        <w:rPr>
          <w:rFonts w:ascii="方正仿宋_GBK" w:hAnsi="方正仿宋_GBK" w:eastAsia="方正仿宋_GBK" w:cs="方正仿宋_GBK"/>
          <w:color w:val="000000"/>
          <w:sz w:val="28"/>
        </w:rPr>
        <w:t>20.退役军人公益岗人员工资 绩效目标表</w:t>
      </w:r>
      <w:bookmarkEnd w:id="22"/>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13062522P00456610374X</w:t>
            </w:r>
          </w:p>
        </w:tc>
        <w:tc>
          <w:tcPr>
            <w:tcW w:w="1587" w:type="dxa"/>
            <w:vAlign w:val="center"/>
          </w:tcPr>
          <w:p>
            <w:pPr>
              <w:pStyle w:val="21"/>
            </w:pPr>
            <w:r>
              <w:t>项目名称</w:t>
            </w:r>
          </w:p>
        </w:tc>
        <w:tc>
          <w:tcPr>
            <w:tcW w:w="4422" w:type="dxa"/>
            <w:gridSpan w:val="3"/>
            <w:vAlign w:val="center"/>
          </w:tcPr>
          <w:p>
            <w:pPr>
              <w:pStyle w:val="20"/>
            </w:pPr>
            <w:r>
              <w:t xml:space="preserve">退役军人公益岗人员工资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81.48</w:t>
            </w:r>
          </w:p>
        </w:tc>
        <w:tc>
          <w:tcPr>
            <w:tcW w:w="1587" w:type="dxa"/>
            <w:vAlign w:val="center"/>
          </w:tcPr>
          <w:p>
            <w:pPr>
              <w:pStyle w:val="21"/>
            </w:pPr>
            <w:r>
              <w:t>其中：财政    资金</w:t>
            </w:r>
          </w:p>
        </w:tc>
        <w:tc>
          <w:tcPr>
            <w:tcW w:w="1304" w:type="dxa"/>
            <w:vAlign w:val="center"/>
          </w:tcPr>
          <w:p>
            <w:pPr>
              <w:pStyle w:val="20"/>
            </w:pPr>
            <w:r>
              <w:t>81.48</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保障公益岗人员工资及时发放到位</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29%</w:t>
            </w:r>
          </w:p>
        </w:tc>
        <w:tc>
          <w:tcPr>
            <w:tcW w:w="1587" w:type="dxa"/>
            <w:vAlign w:val="center"/>
          </w:tcPr>
          <w:p>
            <w:pPr>
              <w:pStyle w:val="22"/>
            </w:pPr>
            <w:r>
              <w:t>58%</w:t>
            </w:r>
          </w:p>
        </w:tc>
        <w:tc>
          <w:tcPr>
            <w:tcW w:w="1304" w:type="dxa"/>
            <w:vAlign w:val="center"/>
          </w:tcPr>
          <w:p>
            <w:pPr>
              <w:pStyle w:val="22"/>
            </w:pPr>
            <w:r>
              <w:t>88%</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1.确保全区稳定，保障退役军人专岗人员更好发挥作用。</w:t>
            </w:r>
          </w:p>
          <w:p>
            <w:pPr>
              <w:pStyle w:val="20"/>
            </w:pPr>
            <w:r>
              <w:t>2.第一季度支出203700元，第二季度支出407400元，第三季度支出611100元，第四季度支出814800元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公益岗人数</w:t>
            </w:r>
          </w:p>
        </w:tc>
        <w:tc>
          <w:tcPr>
            <w:tcW w:w="2891" w:type="dxa"/>
            <w:vAlign w:val="center"/>
          </w:tcPr>
          <w:p>
            <w:pPr>
              <w:pStyle w:val="20"/>
            </w:pPr>
            <w:r>
              <w:t>公益岗人数</w:t>
            </w:r>
          </w:p>
        </w:tc>
        <w:tc>
          <w:tcPr>
            <w:tcW w:w="1276" w:type="dxa"/>
            <w:vAlign w:val="center"/>
          </w:tcPr>
          <w:p>
            <w:pPr>
              <w:pStyle w:val="20"/>
            </w:pPr>
            <w:r>
              <w:t>32人</w:t>
            </w:r>
          </w:p>
        </w:tc>
        <w:tc>
          <w:tcPr>
            <w:tcW w:w="1843" w:type="dxa"/>
            <w:vAlign w:val="center"/>
          </w:tcPr>
          <w:p>
            <w:pPr>
              <w:pStyle w:val="20"/>
            </w:pPr>
            <w:r>
              <w:t>2021年11月份人数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公益岗工资发放足额率</w:t>
            </w:r>
          </w:p>
        </w:tc>
        <w:tc>
          <w:tcPr>
            <w:tcW w:w="2891" w:type="dxa"/>
            <w:vAlign w:val="center"/>
          </w:tcPr>
          <w:p>
            <w:pPr>
              <w:pStyle w:val="20"/>
            </w:pPr>
            <w:r>
              <w:t>足额发放工资人数占全部人数比例</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资金及时发放率</w:t>
            </w:r>
          </w:p>
        </w:tc>
        <w:tc>
          <w:tcPr>
            <w:tcW w:w="2891" w:type="dxa"/>
            <w:vAlign w:val="center"/>
          </w:tcPr>
          <w:p>
            <w:pPr>
              <w:pStyle w:val="20"/>
            </w:pPr>
            <w:r>
              <w:t>该笔资金投入后是否能够按照规定时间发放</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项目支出金额</w:t>
            </w:r>
          </w:p>
        </w:tc>
        <w:tc>
          <w:tcPr>
            <w:tcW w:w="2891" w:type="dxa"/>
            <w:vAlign w:val="center"/>
          </w:tcPr>
          <w:p>
            <w:pPr>
              <w:pStyle w:val="20"/>
            </w:pPr>
            <w:r>
              <w:t>在预算金额内支付</w:t>
            </w:r>
          </w:p>
        </w:tc>
        <w:tc>
          <w:tcPr>
            <w:tcW w:w="1276" w:type="dxa"/>
            <w:vAlign w:val="center"/>
          </w:tcPr>
          <w:p>
            <w:pPr>
              <w:pStyle w:val="20"/>
            </w:pPr>
            <w:r>
              <w:t>≤81.48万元</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拥军优属保障率</w:t>
            </w:r>
          </w:p>
        </w:tc>
        <w:tc>
          <w:tcPr>
            <w:tcW w:w="2891" w:type="dxa"/>
            <w:vAlign w:val="center"/>
          </w:tcPr>
          <w:p>
            <w:pPr>
              <w:pStyle w:val="20"/>
            </w:pPr>
            <w:r>
              <w:t>未发生相关上访的比率</w:t>
            </w:r>
          </w:p>
        </w:tc>
        <w:tc>
          <w:tcPr>
            <w:tcW w:w="1276" w:type="dxa"/>
            <w:vAlign w:val="center"/>
          </w:tcPr>
          <w:p>
            <w:pPr>
              <w:pStyle w:val="20"/>
            </w:pPr>
            <w:r>
              <w:t>100%</w:t>
            </w:r>
          </w:p>
        </w:tc>
        <w:tc>
          <w:tcPr>
            <w:tcW w:w="1843" w:type="dxa"/>
            <w:vAlign w:val="center"/>
          </w:tcPr>
          <w:p>
            <w:pPr>
              <w:pStyle w:val="20"/>
            </w:pPr>
            <w:r>
              <w:t>计划标准</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3" w:name="_Toc_4_4_0000000024"/>
      <w:r>
        <w:rPr>
          <w:rFonts w:ascii="方正仿宋_GBK" w:hAnsi="方正仿宋_GBK" w:eastAsia="方正仿宋_GBK" w:cs="方正仿宋_GBK"/>
          <w:color w:val="000000"/>
          <w:sz w:val="28"/>
        </w:rPr>
        <w:t>21.殡葬管理所再就业人员专项经费绩效目标表</w:t>
      </w:r>
      <w:bookmarkEnd w:id="2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13062522P00456610277F</w:t>
            </w:r>
          </w:p>
        </w:tc>
        <w:tc>
          <w:tcPr>
            <w:tcW w:w="1587" w:type="dxa"/>
            <w:vAlign w:val="center"/>
          </w:tcPr>
          <w:p>
            <w:pPr>
              <w:pStyle w:val="21"/>
            </w:pPr>
            <w:r>
              <w:t>项目名称</w:t>
            </w:r>
          </w:p>
        </w:tc>
        <w:tc>
          <w:tcPr>
            <w:tcW w:w="4422" w:type="dxa"/>
            <w:gridSpan w:val="3"/>
            <w:vAlign w:val="center"/>
          </w:tcPr>
          <w:p>
            <w:pPr>
              <w:pStyle w:val="20"/>
            </w:pPr>
            <w:r>
              <w:t>殡葬管理所再就业人员专项经费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18.67</w:t>
            </w:r>
          </w:p>
        </w:tc>
        <w:tc>
          <w:tcPr>
            <w:tcW w:w="1587" w:type="dxa"/>
            <w:vAlign w:val="center"/>
          </w:tcPr>
          <w:p>
            <w:pPr>
              <w:pStyle w:val="21"/>
            </w:pPr>
            <w:r>
              <w:t>其中：财政    资金</w:t>
            </w:r>
          </w:p>
        </w:tc>
        <w:tc>
          <w:tcPr>
            <w:tcW w:w="1304" w:type="dxa"/>
            <w:vAlign w:val="center"/>
          </w:tcPr>
          <w:p>
            <w:pPr>
              <w:pStyle w:val="20"/>
            </w:pPr>
            <w:r>
              <w:t>18.67</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保障再就业人员及时发放工资及保险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20%</w:t>
            </w:r>
          </w:p>
        </w:tc>
        <w:tc>
          <w:tcPr>
            <w:tcW w:w="1587" w:type="dxa"/>
            <w:vAlign w:val="center"/>
          </w:tcPr>
          <w:p>
            <w:pPr>
              <w:pStyle w:val="22"/>
            </w:pPr>
            <w:r>
              <w:t>51%</w:t>
            </w:r>
          </w:p>
        </w:tc>
        <w:tc>
          <w:tcPr>
            <w:tcW w:w="1304" w:type="dxa"/>
            <w:vAlign w:val="center"/>
          </w:tcPr>
          <w:p>
            <w:pPr>
              <w:pStyle w:val="22"/>
            </w:pPr>
            <w:r>
              <w:t>72%</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1.保障殡葬管理所再就业人员</w:t>
            </w:r>
          </w:p>
          <w:p>
            <w:pPr>
              <w:pStyle w:val="20"/>
            </w:pPr>
            <w:r>
              <w:t>2.具体用于殡葬管理所再就业人员资金福利保障</w:t>
            </w:r>
          </w:p>
          <w:p>
            <w:pPr>
              <w:pStyle w:val="20"/>
            </w:pPr>
            <w:r>
              <w:t>3.第一季度支出46673.85元，第二季度支出93347.7元，第三季度支140021.55元，第四季度支出186695.4元。.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从业人数</w:t>
            </w:r>
          </w:p>
        </w:tc>
        <w:tc>
          <w:tcPr>
            <w:tcW w:w="2891" w:type="dxa"/>
            <w:vAlign w:val="center"/>
          </w:tcPr>
          <w:p>
            <w:pPr>
              <w:pStyle w:val="20"/>
            </w:pPr>
            <w:r>
              <w:t>现有发放人数</w:t>
            </w:r>
          </w:p>
        </w:tc>
        <w:tc>
          <w:tcPr>
            <w:tcW w:w="1276" w:type="dxa"/>
            <w:vAlign w:val="center"/>
          </w:tcPr>
          <w:p>
            <w:pPr>
              <w:pStyle w:val="20"/>
            </w:pPr>
            <w:r>
              <w:t>2人</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实际发放资金占应发放资金的比率</w:t>
            </w:r>
          </w:p>
        </w:tc>
        <w:tc>
          <w:tcPr>
            <w:tcW w:w="1276" w:type="dxa"/>
            <w:vAlign w:val="center"/>
          </w:tcPr>
          <w:p>
            <w:pPr>
              <w:pStyle w:val="20"/>
            </w:pPr>
            <w:r>
              <w:t>≥95%</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资金支出及时率</w:t>
            </w:r>
          </w:p>
        </w:tc>
        <w:tc>
          <w:tcPr>
            <w:tcW w:w="2891" w:type="dxa"/>
            <w:vAlign w:val="center"/>
          </w:tcPr>
          <w:p>
            <w:pPr>
              <w:pStyle w:val="20"/>
            </w:pPr>
            <w:r>
              <w:t>按月足额及时的发放到位</w:t>
            </w:r>
          </w:p>
        </w:tc>
        <w:tc>
          <w:tcPr>
            <w:tcW w:w="1276" w:type="dxa"/>
            <w:vAlign w:val="center"/>
          </w:tcPr>
          <w:p>
            <w:pPr>
              <w:pStyle w:val="20"/>
            </w:pPr>
            <w:r>
              <w:t>≥90%</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根据实际需要测算经费数</w:t>
            </w:r>
          </w:p>
        </w:tc>
        <w:tc>
          <w:tcPr>
            <w:tcW w:w="1276" w:type="dxa"/>
            <w:vAlign w:val="center"/>
          </w:tcPr>
          <w:p>
            <w:pPr>
              <w:pStyle w:val="20"/>
            </w:pPr>
            <w:r>
              <w:t>≥96%</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解决退役士兵的工作安置问题</w:t>
            </w:r>
          </w:p>
        </w:tc>
        <w:tc>
          <w:tcPr>
            <w:tcW w:w="2891" w:type="dxa"/>
            <w:vAlign w:val="center"/>
          </w:tcPr>
          <w:p>
            <w:pPr>
              <w:pStyle w:val="20"/>
            </w:pPr>
            <w:r>
              <w:t>是否解决退役士兵的工作安置问题</w:t>
            </w:r>
          </w:p>
        </w:tc>
        <w:tc>
          <w:tcPr>
            <w:tcW w:w="1276" w:type="dxa"/>
            <w:vAlign w:val="center"/>
          </w:tcPr>
          <w:p>
            <w:pPr>
              <w:pStyle w:val="20"/>
            </w:pPr>
            <w:r>
              <w:t>≥96%</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4" w:name="_Toc_4_4_0000000025"/>
      <w:r>
        <w:rPr>
          <w:rFonts w:ascii="方正仿宋_GBK" w:hAnsi="方正仿宋_GBK" w:eastAsia="方正仿宋_GBK" w:cs="方正仿宋_GBK"/>
          <w:color w:val="000000"/>
          <w:sz w:val="28"/>
        </w:rPr>
        <w:t>22.福彩公益金用于特困老人药费绩效目标表</w:t>
      </w:r>
      <w:bookmarkEnd w:id="2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13062522P004579100020</w:t>
            </w:r>
          </w:p>
        </w:tc>
        <w:tc>
          <w:tcPr>
            <w:tcW w:w="1587" w:type="dxa"/>
            <w:vAlign w:val="center"/>
          </w:tcPr>
          <w:p>
            <w:pPr>
              <w:pStyle w:val="21"/>
            </w:pPr>
            <w:r>
              <w:t>项目名称</w:t>
            </w:r>
          </w:p>
        </w:tc>
        <w:tc>
          <w:tcPr>
            <w:tcW w:w="4422" w:type="dxa"/>
            <w:gridSpan w:val="3"/>
            <w:vAlign w:val="center"/>
          </w:tcPr>
          <w:p>
            <w:pPr>
              <w:pStyle w:val="20"/>
            </w:pPr>
            <w:r>
              <w:t>福彩公益金用于特困老人药费</w:t>
            </w:r>
          </w:p>
        </w:tc>
      </w:tr>
      <w:tr>
        <w:tblPrEx>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40.00</w:t>
            </w:r>
          </w:p>
        </w:tc>
        <w:tc>
          <w:tcPr>
            <w:tcW w:w="1587" w:type="dxa"/>
            <w:vAlign w:val="center"/>
          </w:tcPr>
          <w:p>
            <w:pPr>
              <w:pStyle w:val="21"/>
            </w:pPr>
            <w:r>
              <w:t>其中：财政    资金</w:t>
            </w:r>
          </w:p>
        </w:tc>
        <w:tc>
          <w:tcPr>
            <w:tcW w:w="1304" w:type="dxa"/>
            <w:vAlign w:val="center"/>
          </w:tcPr>
          <w:p>
            <w:pPr>
              <w:pStyle w:val="20"/>
            </w:pPr>
            <w:r>
              <w:t>40.00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用于对区敬老院集中供养特困老人提供药费补助。</w:t>
            </w:r>
          </w:p>
        </w:tc>
      </w:tr>
      <w:tr>
        <w:tblPrEx>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40%</w:t>
            </w:r>
          </w:p>
        </w:tc>
        <w:tc>
          <w:tcPr>
            <w:tcW w:w="1304" w:type="dxa"/>
            <w:vAlign w:val="center"/>
          </w:tcPr>
          <w:p>
            <w:pPr>
              <w:pStyle w:val="22"/>
            </w:pPr>
            <w:r>
              <w:t>60%</w:t>
            </w:r>
          </w:p>
        </w:tc>
        <w:tc>
          <w:tcPr>
            <w:tcW w:w="3118" w:type="dxa"/>
            <w:gridSpan w:val="2"/>
            <w:vAlign w:val="center"/>
          </w:tcPr>
          <w:p>
            <w:pPr>
              <w:pStyle w:val="22"/>
            </w:pPr>
            <w:r>
              <w:t>100%</w:t>
            </w:r>
          </w:p>
        </w:tc>
      </w:tr>
      <w:tr>
        <w:tblPrEx>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w:t>
            </w:r>
          </w:p>
          <w:p>
            <w:pPr>
              <w:pStyle w:val="20"/>
            </w:pPr>
            <w:r>
              <w:t>2.具体用于特困老人医药费</w:t>
            </w:r>
          </w:p>
          <w:p>
            <w:pPr>
              <w:pStyle w:val="20"/>
            </w:pPr>
            <w:r>
              <w:t>3.第二季度支付100000元，第三季度支付100000元，第四季度支付200000元。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享受该项政策老人人数</w:t>
            </w:r>
          </w:p>
        </w:tc>
        <w:tc>
          <w:tcPr>
            <w:tcW w:w="2891" w:type="dxa"/>
            <w:vAlign w:val="center"/>
          </w:tcPr>
          <w:p>
            <w:pPr>
              <w:pStyle w:val="20"/>
            </w:pPr>
            <w:r>
              <w:t>享受该项政策老人人数</w:t>
            </w:r>
          </w:p>
        </w:tc>
        <w:tc>
          <w:tcPr>
            <w:tcW w:w="1276" w:type="dxa"/>
            <w:vAlign w:val="center"/>
          </w:tcPr>
          <w:p>
            <w:pPr>
              <w:pStyle w:val="20"/>
            </w:pPr>
            <w:r>
              <w:t>≥140人</w:t>
            </w:r>
          </w:p>
        </w:tc>
        <w:tc>
          <w:tcPr>
            <w:tcW w:w="1843" w:type="dxa"/>
            <w:vAlign w:val="center"/>
          </w:tcPr>
          <w:p>
            <w:pPr>
              <w:pStyle w:val="20"/>
            </w:pPr>
            <w:r>
              <w:t>冀财综《河北省财政厅关于印发河北省彩票公益金管理实施办法的通知》</w:t>
            </w:r>
          </w:p>
        </w:tc>
      </w:tr>
      <w:tr>
        <w:tblPrEx>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患病老人救助率</w:t>
            </w:r>
          </w:p>
        </w:tc>
        <w:tc>
          <w:tcPr>
            <w:tcW w:w="2891" w:type="dxa"/>
            <w:vAlign w:val="center"/>
          </w:tcPr>
          <w:p>
            <w:pPr>
              <w:pStyle w:val="20"/>
            </w:pPr>
            <w:r>
              <w:t>患病老人救助率</w:t>
            </w:r>
          </w:p>
        </w:tc>
        <w:tc>
          <w:tcPr>
            <w:tcW w:w="1276" w:type="dxa"/>
            <w:vAlign w:val="center"/>
          </w:tcPr>
          <w:p>
            <w:pPr>
              <w:pStyle w:val="20"/>
            </w:pPr>
            <w:r>
              <w:t>≥98百分比</w:t>
            </w:r>
          </w:p>
        </w:tc>
        <w:tc>
          <w:tcPr>
            <w:tcW w:w="1843" w:type="dxa"/>
            <w:vAlign w:val="center"/>
          </w:tcPr>
          <w:p>
            <w:pPr>
              <w:pStyle w:val="20"/>
            </w:pPr>
            <w:r>
              <w:t>冀财综《河北省财政厅关于印发河北省彩票公益金管理实施办法的通知》</w:t>
            </w:r>
          </w:p>
        </w:tc>
      </w:tr>
      <w:tr>
        <w:tblPrEx>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资金支出及时率</w:t>
            </w:r>
          </w:p>
        </w:tc>
        <w:tc>
          <w:tcPr>
            <w:tcW w:w="2891" w:type="dxa"/>
            <w:vAlign w:val="center"/>
          </w:tcPr>
          <w:p>
            <w:pPr>
              <w:pStyle w:val="20"/>
            </w:pPr>
            <w:r>
              <w:t>资金支出及时率</w:t>
            </w:r>
          </w:p>
        </w:tc>
        <w:tc>
          <w:tcPr>
            <w:tcW w:w="1276" w:type="dxa"/>
            <w:vAlign w:val="center"/>
          </w:tcPr>
          <w:p>
            <w:pPr>
              <w:pStyle w:val="20"/>
            </w:pPr>
            <w:r>
              <w:t>≥90百分比</w:t>
            </w:r>
          </w:p>
        </w:tc>
        <w:tc>
          <w:tcPr>
            <w:tcW w:w="1843" w:type="dxa"/>
            <w:vAlign w:val="center"/>
          </w:tcPr>
          <w:p>
            <w:pPr>
              <w:pStyle w:val="20"/>
            </w:pPr>
            <w:r>
              <w:t>冀财综《河北省财政厅关于印发河北省彩票公益金管理实施办法的通知》</w:t>
            </w:r>
          </w:p>
        </w:tc>
      </w:tr>
      <w:tr>
        <w:tblPrEx>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预算控制数</w:t>
            </w:r>
          </w:p>
        </w:tc>
        <w:tc>
          <w:tcPr>
            <w:tcW w:w="1276" w:type="dxa"/>
            <w:vAlign w:val="center"/>
          </w:tcPr>
          <w:p>
            <w:pPr>
              <w:pStyle w:val="20"/>
            </w:pPr>
            <w:r>
              <w:t>≤40万元</w:t>
            </w:r>
          </w:p>
        </w:tc>
        <w:tc>
          <w:tcPr>
            <w:tcW w:w="1843" w:type="dxa"/>
            <w:vAlign w:val="center"/>
          </w:tcPr>
          <w:p>
            <w:pPr>
              <w:pStyle w:val="20"/>
            </w:pPr>
            <w:r>
              <w:t>冀财综《河北省财政厅关于印发河北省彩票公益金管理实施办法的通知》</w:t>
            </w:r>
          </w:p>
        </w:tc>
      </w:tr>
      <w:tr>
        <w:tblPrEx>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特困人员医疗得到保障</w:t>
            </w:r>
          </w:p>
        </w:tc>
        <w:tc>
          <w:tcPr>
            <w:tcW w:w="2891" w:type="dxa"/>
            <w:vAlign w:val="center"/>
          </w:tcPr>
          <w:p>
            <w:pPr>
              <w:pStyle w:val="20"/>
            </w:pPr>
            <w:r>
              <w:t>特困人员医疗是否得到保障</w:t>
            </w:r>
          </w:p>
        </w:tc>
        <w:tc>
          <w:tcPr>
            <w:tcW w:w="1276" w:type="dxa"/>
            <w:vAlign w:val="center"/>
          </w:tcPr>
          <w:p>
            <w:pPr>
              <w:pStyle w:val="20"/>
            </w:pPr>
            <w:r>
              <w:t>≥90百分比</w:t>
            </w:r>
          </w:p>
        </w:tc>
        <w:tc>
          <w:tcPr>
            <w:tcW w:w="1843" w:type="dxa"/>
            <w:vAlign w:val="center"/>
          </w:tcPr>
          <w:p>
            <w:pPr>
              <w:pStyle w:val="20"/>
            </w:pPr>
            <w:r>
              <w:t>满意度问卷</w:t>
            </w:r>
          </w:p>
        </w:tc>
      </w:tr>
      <w:tr>
        <w:tblPrEx>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服务对象满意度</w:t>
            </w:r>
          </w:p>
        </w:tc>
        <w:tc>
          <w:tcPr>
            <w:tcW w:w="2891" w:type="dxa"/>
            <w:vAlign w:val="center"/>
          </w:tcPr>
          <w:p>
            <w:pPr>
              <w:pStyle w:val="20"/>
            </w:pPr>
            <w:r>
              <w:t>服务对象满意度</w:t>
            </w:r>
          </w:p>
        </w:tc>
        <w:tc>
          <w:tcPr>
            <w:tcW w:w="1276" w:type="dxa"/>
            <w:vAlign w:val="center"/>
          </w:tcPr>
          <w:p>
            <w:pPr>
              <w:pStyle w:val="20"/>
            </w:pPr>
            <w:r>
              <w:t>≥90百分比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5" w:name="_Toc_4_4_0000000026"/>
      <w:r>
        <w:rPr>
          <w:rFonts w:ascii="方正仿宋_GBK" w:hAnsi="方正仿宋_GBK" w:eastAsia="方正仿宋_GBK" w:cs="方正仿宋_GBK"/>
          <w:color w:val="000000"/>
          <w:sz w:val="28"/>
        </w:rPr>
        <w:t>23.福彩公益金用于徐水区儿童福利院维修改造工程绩效目标表</w:t>
      </w:r>
      <w:bookmarkEnd w:id="2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13062522P00457910003K</w:t>
            </w:r>
          </w:p>
        </w:tc>
        <w:tc>
          <w:tcPr>
            <w:tcW w:w="1587" w:type="dxa"/>
            <w:vAlign w:val="center"/>
          </w:tcPr>
          <w:p>
            <w:pPr>
              <w:pStyle w:val="21"/>
            </w:pPr>
            <w:r>
              <w:t>项目名称</w:t>
            </w:r>
          </w:p>
        </w:tc>
        <w:tc>
          <w:tcPr>
            <w:tcW w:w="4422" w:type="dxa"/>
            <w:gridSpan w:val="3"/>
            <w:vAlign w:val="center"/>
          </w:tcPr>
          <w:p>
            <w:pPr>
              <w:pStyle w:val="20"/>
            </w:pPr>
            <w:r>
              <w:t>福彩公益金用于徐水区儿童福利院维修改造工程</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30.00</w:t>
            </w:r>
          </w:p>
        </w:tc>
        <w:tc>
          <w:tcPr>
            <w:tcW w:w="1587" w:type="dxa"/>
            <w:vAlign w:val="center"/>
          </w:tcPr>
          <w:p>
            <w:pPr>
              <w:pStyle w:val="21"/>
            </w:pPr>
            <w:r>
              <w:t>其中：财政    资金</w:t>
            </w:r>
          </w:p>
        </w:tc>
        <w:tc>
          <w:tcPr>
            <w:tcW w:w="1304" w:type="dxa"/>
            <w:vAlign w:val="center"/>
          </w:tcPr>
          <w:p>
            <w:pPr>
              <w:pStyle w:val="20"/>
            </w:pPr>
            <w:r>
              <w:t>30.00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徐水区儿童福利院设施老化，为保障儿童福利院日常运转，需对院内部分设施进行改造维修，内容包括：楼梯内无障碍扶手、室 内卫生间维修、院内漏水处维修及防水处理、室外路面重新铺设、电梯内做塑胶地板等。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100%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1.推进徐水区儿童福利院建设，保障儿童福利</w:t>
            </w:r>
          </w:p>
          <w:p>
            <w:pPr>
              <w:pStyle w:val="20"/>
            </w:pPr>
            <w:r>
              <w:t>2.具体用于儿童福利院维护改造。</w:t>
            </w:r>
          </w:p>
          <w:p>
            <w:pPr>
              <w:pStyle w:val="20"/>
            </w:pPr>
            <w:r>
              <w:t>3.预计十二月份全部支出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完成项目数量</w:t>
            </w:r>
          </w:p>
        </w:tc>
        <w:tc>
          <w:tcPr>
            <w:tcW w:w="2891" w:type="dxa"/>
            <w:vAlign w:val="center"/>
          </w:tcPr>
          <w:p>
            <w:pPr>
              <w:pStyle w:val="20"/>
            </w:pPr>
            <w:r>
              <w:t>完成项目数量</w:t>
            </w:r>
          </w:p>
        </w:tc>
        <w:tc>
          <w:tcPr>
            <w:tcW w:w="1276" w:type="dxa"/>
            <w:vAlign w:val="center"/>
          </w:tcPr>
          <w:p>
            <w:pPr>
              <w:pStyle w:val="20"/>
            </w:pPr>
            <w:r>
              <w:t>≥2个</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工程质量合格率</w:t>
            </w:r>
          </w:p>
        </w:tc>
        <w:tc>
          <w:tcPr>
            <w:tcW w:w="2891" w:type="dxa"/>
            <w:vAlign w:val="center"/>
          </w:tcPr>
          <w:p>
            <w:pPr>
              <w:pStyle w:val="20"/>
            </w:pPr>
            <w:r>
              <w:t>工程质量合格率</w:t>
            </w:r>
          </w:p>
        </w:tc>
        <w:tc>
          <w:tcPr>
            <w:tcW w:w="1276" w:type="dxa"/>
            <w:vAlign w:val="center"/>
          </w:tcPr>
          <w:p>
            <w:pPr>
              <w:pStyle w:val="20"/>
            </w:pPr>
            <w:r>
              <w:t>≥95百分比</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维修完工及时率</w:t>
            </w:r>
          </w:p>
        </w:tc>
        <w:tc>
          <w:tcPr>
            <w:tcW w:w="2891" w:type="dxa"/>
            <w:vAlign w:val="center"/>
          </w:tcPr>
          <w:p>
            <w:pPr>
              <w:pStyle w:val="20"/>
            </w:pPr>
            <w:r>
              <w:t>维修完工及时率</w:t>
            </w:r>
          </w:p>
        </w:tc>
        <w:tc>
          <w:tcPr>
            <w:tcW w:w="1276" w:type="dxa"/>
            <w:vAlign w:val="center"/>
          </w:tcPr>
          <w:p>
            <w:pPr>
              <w:pStyle w:val="20"/>
            </w:pPr>
            <w:r>
              <w:t>≥95百分比</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项目预算控制数</w:t>
            </w:r>
          </w:p>
        </w:tc>
        <w:tc>
          <w:tcPr>
            <w:tcW w:w="2891" w:type="dxa"/>
            <w:vAlign w:val="center"/>
          </w:tcPr>
          <w:p>
            <w:pPr>
              <w:pStyle w:val="20"/>
            </w:pPr>
            <w:r>
              <w:t>项目预算控制数</w:t>
            </w:r>
          </w:p>
        </w:tc>
        <w:tc>
          <w:tcPr>
            <w:tcW w:w="1276" w:type="dxa"/>
            <w:vAlign w:val="center"/>
          </w:tcPr>
          <w:p>
            <w:pPr>
              <w:pStyle w:val="20"/>
            </w:pPr>
            <w:r>
              <w:t>≤27.85万元</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提高设施服务</w:t>
            </w:r>
          </w:p>
        </w:tc>
        <w:tc>
          <w:tcPr>
            <w:tcW w:w="2891" w:type="dxa"/>
            <w:vAlign w:val="center"/>
          </w:tcPr>
          <w:p>
            <w:pPr>
              <w:pStyle w:val="20"/>
            </w:pPr>
            <w:r>
              <w:t>设施服务是否改善与提升</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入住人员满意度</w:t>
            </w:r>
          </w:p>
        </w:tc>
        <w:tc>
          <w:tcPr>
            <w:tcW w:w="2891" w:type="dxa"/>
            <w:vAlign w:val="center"/>
          </w:tcPr>
          <w:p>
            <w:pPr>
              <w:pStyle w:val="20"/>
            </w:pPr>
            <w:r>
              <w:t>入住人员满意度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6" w:name="_Toc_4_4_0000000027"/>
      <w:r>
        <w:rPr>
          <w:rFonts w:ascii="方正仿宋_GBK" w:hAnsi="方正仿宋_GBK" w:eastAsia="方正仿宋_GBK" w:cs="方正仿宋_GBK"/>
          <w:color w:val="000000"/>
          <w:sz w:val="28"/>
        </w:rPr>
        <w:t>24.敬老院退役士兵再就业人员专项经费绩效目标表</w:t>
      </w:r>
      <w:bookmarkEnd w:id="2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13062522P00456610024N</w:t>
            </w:r>
          </w:p>
        </w:tc>
        <w:tc>
          <w:tcPr>
            <w:tcW w:w="1587" w:type="dxa"/>
            <w:vAlign w:val="center"/>
          </w:tcPr>
          <w:p>
            <w:pPr>
              <w:pStyle w:val="21"/>
            </w:pPr>
            <w:r>
              <w:t>项目名称</w:t>
            </w:r>
          </w:p>
        </w:tc>
        <w:tc>
          <w:tcPr>
            <w:tcW w:w="4422" w:type="dxa"/>
            <w:gridSpan w:val="3"/>
            <w:vAlign w:val="center"/>
          </w:tcPr>
          <w:p>
            <w:pPr>
              <w:pStyle w:val="20"/>
            </w:pPr>
            <w:r>
              <w:t>敬老院退役士兵再就业人员专项经费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100.92</w:t>
            </w:r>
          </w:p>
        </w:tc>
        <w:tc>
          <w:tcPr>
            <w:tcW w:w="1587" w:type="dxa"/>
            <w:vAlign w:val="center"/>
          </w:tcPr>
          <w:p>
            <w:pPr>
              <w:pStyle w:val="21"/>
            </w:pPr>
            <w:r>
              <w:t>其中：财政    资金</w:t>
            </w:r>
          </w:p>
        </w:tc>
        <w:tc>
          <w:tcPr>
            <w:tcW w:w="1304" w:type="dxa"/>
            <w:vAlign w:val="center"/>
          </w:tcPr>
          <w:p>
            <w:pPr>
              <w:pStyle w:val="20"/>
            </w:pPr>
            <w:r>
              <w:t>100.92</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用于发放自谋职业转业士官的工资、保险及福利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22%</w:t>
            </w:r>
          </w:p>
        </w:tc>
        <w:tc>
          <w:tcPr>
            <w:tcW w:w="1587" w:type="dxa"/>
            <w:vAlign w:val="center"/>
          </w:tcPr>
          <w:p>
            <w:pPr>
              <w:pStyle w:val="22"/>
            </w:pPr>
            <w:r>
              <w:t>47%</w:t>
            </w:r>
          </w:p>
        </w:tc>
        <w:tc>
          <w:tcPr>
            <w:tcW w:w="1304" w:type="dxa"/>
            <w:vAlign w:val="center"/>
          </w:tcPr>
          <w:p>
            <w:pPr>
              <w:pStyle w:val="22"/>
            </w:pPr>
            <w:r>
              <w:t>71%</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1.保障敬老院退役士兵再就业。</w:t>
            </w:r>
          </w:p>
          <w:p>
            <w:pPr>
              <w:pStyle w:val="20"/>
            </w:pPr>
            <w:r>
              <w:t>2.具体用于退役士兵的再就业</w:t>
            </w:r>
          </w:p>
          <w:p>
            <w:pPr>
              <w:pStyle w:val="20"/>
            </w:pPr>
            <w:r>
              <w:t>3.第一季度支付179411.7元，第二季度支付247018.18元，第三季度支付247018.18元第四季度支付450736.05元。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退役士兵再就业保障人数</w:t>
            </w:r>
          </w:p>
        </w:tc>
        <w:tc>
          <w:tcPr>
            <w:tcW w:w="2891" w:type="dxa"/>
            <w:vAlign w:val="center"/>
          </w:tcPr>
          <w:p>
            <w:pPr>
              <w:pStyle w:val="20"/>
            </w:pPr>
            <w:r>
              <w:t>退役士兵在就业保障人数</w:t>
            </w:r>
          </w:p>
        </w:tc>
        <w:tc>
          <w:tcPr>
            <w:tcW w:w="1276" w:type="dxa"/>
            <w:vAlign w:val="center"/>
          </w:tcPr>
          <w:p>
            <w:pPr>
              <w:pStyle w:val="20"/>
            </w:pPr>
            <w:r>
              <w:t>11人</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资金支出及时性</w:t>
            </w:r>
          </w:p>
        </w:tc>
        <w:tc>
          <w:tcPr>
            <w:tcW w:w="2891" w:type="dxa"/>
            <w:vAlign w:val="center"/>
          </w:tcPr>
          <w:p>
            <w:pPr>
              <w:pStyle w:val="20"/>
            </w:pPr>
            <w:r>
              <w:t>资金支出及时性</w:t>
            </w:r>
          </w:p>
        </w:tc>
        <w:tc>
          <w:tcPr>
            <w:tcW w:w="1276" w:type="dxa"/>
            <w:vAlign w:val="center"/>
          </w:tcPr>
          <w:p>
            <w:pPr>
              <w:pStyle w:val="20"/>
            </w:pPr>
            <w:r>
              <w:t>≥90百分比</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实际发放资金占应发放资金的比率</w:t>
            </w:r>
          </w:p>
        </w:tc>
        <w:tc>
          <w:tcPr>
            <w:tcW w:w="1276" w:type="dxa"/>
            <w:vAlign w:val="center"/>
          </w:tcPr>
          <w:p>
            <w:pPr>
              <w:pStyle w:val="20"/>
            </w:pPr>
            <w:r>
              <w:t>≥98百分比</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预算控制数</w:t>
            </w:r>
          </w:p>
        </w:tc>
        <w:tc>
          <w:tcPr>
            <w:tcW w:w="1276" w:type="dxa"/>
            <w:vAlign w:val="center"/>
          </w:tcPr>
          <w:p>
            <w:pPr>
              <w:pStyle w:val="20"/>
            </w:pPr>
            <w:r>
              <w:t>≤112.5万元</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解决退役士兵的工作安置问题</w:t>
            </w:r>
          </w:p>
        </w:tc>
        <w:tc>
          <w:tcPr>
            <w:tcW w:w="2891" w:type="dxa"/>
            <w:vAlign w:val="center"/>
          </w:tcPr>
          <w:p>
            <w:pPr>
              <w:pStyle w:val="20"/>
            </w:pPr>
            <w:r>
              <w:t>解决退役士兵的工作安置问题</w:t>
            </w:r>
          </w:p>
        </w:tc>
        <w:tc>
          <w:tcPr>
            <w:tcW w:w="1276" w:type="dxa"/>
            <w:vAlign w:val="center"/>
          </w:tcPr>
          <w:p>
            <w:pPr>
              <w:pStyle w:val="20"/>
            </w:pPr>
            <w:r>
              <w:t>≥90百分比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7" w:name="_Toc_4_4_0000000028"/>
      <w:r>
        <w:rPr>
          <w:rFonts w:ascii="方正仿宋_GBK" w:hAnsi="方正仿宋_GBK" w:eastAsia="方正仿宋_GBK" w:cs="方正仿宋_GBK"/>
          <w:color w:val="000000"/>
          <w:sz w:val="28"/>
        </w:rPr>
        <w:t>25.敬老院综合责任险绩效目标表</w:t>
      </w:r>
      <w:bookmarkEnd w:id="2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13062522P004566100233</w:t>
            </w:r>
          </w:p>
        </w:tc>
        <w:tc>
          <w:tcPr>
            <w:tcW w:w="1587" w:type="dxa"/>
            <w:vAlign w:val="center"/>
          </w:tcPr>
          <w:p>
            <w:pPr>
              <w:pStyle w:val="21"/>
            </w:pPr>
            <w:r>
              <w:t>项目名称</w:t>
            </w:r>
          </w:p>
        </w:tc>
        <w:tc>
          <w:tcPr>
            <w:tcW w:w="4422" w:type="dxa"/>
            <w:gridSpan w:val="3"/>
            <w:vAlign w:val="center"/>
          </w:tcPr>
          <w:p>
            <w:pPr>
              <w:pStyle w:val="20"/>
            </w:pPr>
            <w:r>
              <w:t>敬老院综合责任险</w:t>
            </w:r>
          </w:p>
        </w:tc>
      </w:tr>
      <w:tr>
        <w:tblPrEx>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0.40</w:t>
            </w:r>
          </w:p>
        </w:tc>
        <w:tc>
          <w:tcPr>
            <w:tcW w:w="1587" w:type="dxa"/>
            <w:vAlign w:val="center"/>
          </w:tcPr>
          <w:p>
            <w:pPr>
              <w:pStyle w:val="21"/>
            </w:pPr>
            <w:r>
              <w:t>其中：财政    资金</w:t>
            </w:r>
          </w:p>
        </w:tc>
        <w:tc>
          <w:tcPr>
            <w:tcW w:w="1304" w:type="dxa"/>
            <w:vAlign w:val="center"/>
          </w:tcPr>
          <w:p>
            <w:pPr>
              <w:pStyle w:val="20"/>
            </w:pPr>
            <w:r>
              <w:t>0.40</w:t>
            </w:r>
          </w:p>
        </w:tc>
        <w:tc>
          <w:tcPr>
            <w:tcW w:w="1276" w:type="dxa"/>
            <w:vAlign w:val="center"/>
          </w:tcPr>
          <w:p>
            <w:pPr>
              <w:pStyle w:val="21"/>
            </w:pPr>
            <w:r>
              <w:t>其他资金</w:t>
            </w:r>
          </w:p>
        </w:tc>
        <w:tc>
          <w:tcPr>
            <w:tcW w:w="1843" w:type="dxa"/>
            <w:vAlign w:val="center"/>
          </w:tcPr>
          <w:p>
            <w:pPr>
              <w:pStyle w:val="20"/>
            </w:pPr>
            <w:r>
              <w:t xml:space="preserve"> </w:t>
            </w:r>
          </w:p>
        </w:tc>
      </w:tr>
      <w:tr>
        <w:tblPrEx>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用于为院内入住人员购买综合责任险。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 xml:space="preserve"> </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1.给予受保障人员保险支持。</w:t>
            </w:r>
          </w:p>
          <w:p>
            <w:pPr>
              <w:pStyle w:val="20"/>
            </w:pPr>
            <w:r>
              <w:t>2.具体用于敬老院综合责任险</w:t>
            </w:r>
          </w:p>
          <w:p>
            <w:pPr>
              <w:pStyle w:val="20"/>
            </w:pPr>
            <w:r>
              <w:t>3.12月份进行一次性支付。</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综合责任险保障人员数量</w:t>
            </w:r>
          </w:p>
        </w:tc>
        <w:tc>
          <w:tcPr>
            <w:tcW w:w="2891" w:type="dxa"/>
            <w:vAlign w:val="center"/>
          </w:tcPr>
          <w:p>
            <w:pPr>
              <w:pStyle w:val="20"/>
            </w:pPr>
            <w:r>
              <w:t>保险保障人员数量</w:t>
            </w:r>
          </w:p>
        </w:tc>
        <w:tc>
          <w:tcPr>
            <w:tcW w:w="1276" w:type="dxa"/>
            <w:vAlign w:val="center"/>
          </w:tcPr>
          <w:p>
            <w:pPr>
              <w:pStyle w:val="20"/>
            </w:pPr>
            <w:r>
              <w:t>≤200人</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敬老院投保率</w:t>
            </w:r>
          </w:p>
        </w:tc>
        <w:tc>
          <w:tcPr>
            <w:tcW w:w="2891" w:type="dxa"/>
            <w:vAlign w:val="center"/>
          </w:tcPr>
          <w:p>
            <w:pPr>
              <w:pStyle w:val="20"/>
            </w:pPr>
            <w:r>
              <w:t>投保率</w:t>
            </w:r>
          </w:p>
        </w:tc>
        <w:tc>
          <w:tcPr>
            <w:tcW w:w="1276" w:type="dxa"/>
            <w:vAlign w:val="center"/>
          </w:tcPr>
          <w:p>
            <w:pPr>
              <w:pStyle w:val="20"/>
            </w:pPr>
            <w:r>
              <w:t>≥95百分比</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敬老院综合责任险支付及时率</w:t>
            </w:r>
          </w:p>
        </w:tc>
        <w:tc>
          <w:tcPr>
            <w:tcW w:w="2891" w:type="dxa"/>
            <w:vAlign w:val="center"/>
          </w:tcPr>
          <w:p>
            <w:pPr>
              <w:pStyle w:val="20"/>
            </w:pPr>
            <w:r>
              <w:t>综合责任险支付及时率</w:t>
            </w:r>
          </w:p>
        </w:tc>
        <w:tc>
          <w:tcPr>
            <w:tcW w:w="1276" w:type="dxa"/>
            <w:vAlign w:val="center"/>
          </w:tcPr>
          <w:p>
            <w:pPr>
              <w:pStyle w:val="20"/>
            </w:pPr>
            <w:r>
              <w:t>≥95百分比</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保费标准</w:t>
            </w:r>
          </w:p>
        </w:tc>
        <w:tc>
          <w:tcPr>
            <w:tcW w:w="2891" w:type="dxa"/>
            <w:vAlign w:val="center"/>
          </w:tcPr>
          <w:p>
            <w:pPr>
              <w:pStyle w:val="20"/>
            </w:pPr>
            <w:r>
              <w:t>保费标准</w:t>
            </w:r>
          </w:p>
        </w:tc>
        <w:tc>
          <w:tcPr>
            <w:tcW w:w="1276" w:type="dxa"/>
            <w:vAlign w:val="center"/>
          </w:tcPr>
          <w:p>
            <w:pPr>
              <w:pStyle w:val="20"/>
            </w:pPr>
            <w:r>
              <w:t>100元/人</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可持续影响指标</w:t>
            </w:r>
          </w:p>
        </w:tc>
        <w:tc>
          <w:tcPr>
            <w:tcW w:w="1332" w:type="dxa"/>
            <w:vAlign w:val="center"/>
          </w:tcPr>
          <w:p>
            <w:pPr>
              <w:pStyle w:val="20"/>
            </w:pPr>
            <w:r>
              <w:t>提高社会救助能力</w:t>
            </w:r>
          </w:p>
        </w:tc>
        <w:tc>
          <w:tcPr>
            <w:tcW w:w="2891" w:type="dxa"/>
            <w:vAlign w:val="center"/>
          </w:tcPr>
          <w:p>
            <w:pPr>
              <w:pStyle w:val="20"/>
            </w:pPr>
            <w:r>
              <w:t>是否提高社会救助能力</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8" w:name="_Toc_4_4_0000000029"/>
      <w:r>
        <w:rPr>
          <w:rFonts w:ascii="方正仿宋_GBK" w:hAnsi="方正仿宋_GBK" w:eastAsia="方正仿宋_GBK" w:cs="方正仿宋_GBK"/>
          <w:color w:val="000000"/>
          <w:sz w:val="28"/>
        </w:rPr>
        <w:t>26.退役军人公益岗人员工资绩效目标表</w:t>
      </w:r>
      <w:bookmarkEnd w:id="2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13062522P00456610349C</w:t>
            </w:r>
          </w:p>
        </w:tc>
        <w:tc>
          <w:tcPr>
            <w:tcW w:w="1587" w:type="dxa"/>
            <w:vAlign w:val="center"/>
          </w:tcPr>
          <w:p>
            <w:pPr>
              <w:pStyle w:val="21"/>
            </w:pPr>
            <w:r>
              <w:t>项目名称</w:t>
            </w:r>
          </w:p>
        </w:tc>
        <w:tc>
          <w:tcPr>
            <w:tcW w:w="4422" w:type="dxa"/>
            <w:gridSpan w:val="3"/>
            <w:vAlign w:val="center"/>
          </w:tcPr>
          <w:p>
            <w:pPr>
              <w:pStyle w:val="20"/>
            </w:pPr>
            <w:r>
              <w:t>退役军人公益岗人员工资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26.76</w:t>
            </w:r>
          </w:p>
        </w:tc>
        <w:tc>
          <w:tcPr>
            <w:tcW w:w="1587" w:type="dxa"/>
            <w:vAlign w:val="center"/>
          </w:tcPr>
          <w:p>
            <w:pPr>
              <w:pStyle w:val="21"/>
            </w:pPr>
            <w:r>
              <w:t>其中：财政    资金</w:t>
            </w:r>
          </w:p>
        </w:tc>
        <w:tc>
          <w:tcPr>
            <w:tcW w:w="1304" w:type="dxa"/>
            <w:vAlign w:val="center"/>
          </w:tcPr>
          <w:p>
            <w:pPr>
              <w:pStyle w:val="20"/>
            </w:pPr>
            <w:r>
              <w:t>26.76</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用于敬老院公益岗人员工资发放。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1.确保全区稳定，保障退役军人专岗人员更好发挥作用。</w:t>
            </w:r>
          </w:p>
          <w:p>
            <w:pPr>
              <w:pStyle w:val="20"/>
            </w:pPr>
            <w:r>
              <w:t>2.按月支出，3月份支出25%，6月份支出50%，9月份支出75%，12月份支出100%。</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公益岗人数</w:t>
            </w:r>
          </w:p>
        </w:tc>
        <w:tc>
          <w:tcPr>
            <w:tcW w:w="2891" w:type="dxa"/>
            <w:vAlign w:val="center"/>
          </w:tcPr>
          <w:p>
            <w:pPr>
              <w:pStyle w:val="20"/>
            </w:pPr>
            <w:r>
              <w:t>公益岗人数</w:t>
            </w:r>
          </w:p>
        </w:tc>
        <w:tc>
          <w:tcPr>
            <w:tcW w:w="1276" w:type="dxa"/>
            <w:vAlign w:val="center"/>
          </w:tcPr>
          <w:p>
            <w:pPr>
              <w:pStyle w:val="20"/>
            </w:pPr>
            <w:r>
              <w:t>10人</w:t>
            </w:r>
          </w:p>
        </w:tc>
        <w:tc>
          <w:tcPr>
            <w:tcW w:w="1843" w:type="dxa"/>
            <w:vAlign w:val="center"/>
          </w:tcPr>
          <w:p>
            <w:pPr>
              <w:pStyle w:val="20"/>
            </w:pPr>
            <w:r>
              <w:t>2021年11月份人数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公益岗工资发放足额率</w:t>
            </w:r>
          </w:p>
        </w:tc>
        <w:tc>
          <w:tcPr>
            <w:tcW w:w="2891" w:type="dxa"/>
            <w:vAlign w:val="center"/>
          </w:tcPr>
          <w:p>
            <w:pPr>
              <w:pStyle w:val="20"/>
            </w:pPr>
            <w:r>
              <w:t>足额发放工资人数占全部人数比例</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资金及时发放率</w:t>
            </w:r>
          </w:p>
        </w:tc>
        <w:tc>
          <w:tcPr>
            <w:tcW w:w="2891" w:type="dxa"/>
            <w:vAlign w:val="center"/>
          </w:tcPr>
          <w:p>
            <w:pPr>
              <w:pStyle w:val="20"/>
            </w:pPr>
            <w:r>
              <w:t>该笔资金投入后是否能够按照规定时间发放到位</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项目支出金额</w:t>
            </w:r>
          </w:p>
        </w:tc>
        <w:tc>
          <w:tcPr>
            <w:tcW w:w="2891" w:type="dxa"/>
            <w:vAlign w:val="center"/>
          </w:tcPr>
          <w:p>
            <w:pPr>
              <w:pStyle w:val="20"/>
            </w:pPr>
            <w:r>
              <w:t>在预算金额内支付</w:t>
            </w:r>
          </w:p>
        </w:tc>
        <w:tc>
          <w:tcPr>
            <w:tcW w:w="1276" w:type="dxa"/>
            <w:vAlign w:val="center"/>
          </w:tcPr>
          <w:p>
            <w:pPr>
              <w:pStyle w:val="20"/>
            </w:pPr>
            <w:r>
              <w:t>≤26.76万元</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拥军优属保障率</w:t>
            </w:r>
          </w:p>
        </w:tc>
        <w:tc>
          <w:tcPr>
            <w:tcW w:w="2891" w:type="dxa"/>
            <w:vAlign w:val="center"/>
          </w:tcPr>
          <w:p>
            <w:pPr>
              <w:pStyle w:val="20"/>
            </w:pPr>
            <w:r>
              <w:t>未发生相关上访的比率</w:t>
            </w:r>
          </w:p>
        </w:tc>
        <w:tc>
          <w:tcPr>
            <w:tcW w:w="1276" w:type="dxa"/>
            <w:vAlign w:val="center"/>
          </w:tcPr>
          <w:p>
            <w:pPr>
              <w:pStyle w:val="20"/>
            </w:pPr>
            <w:r>
              <w:t>100%</w:t>
            </w:r>
          </w:p>
        </w:tc>
        <w:tc>
          <w:tcPr>
            <w:tcW w:w="1843" w:type="dxa"/>
            <w:vAlign w:val="center"/>
          </w:tcPr>
          <w:p>
            <w:pPr>
              <w:pStyle w:val="20"/>
            </w:pPr>
            <w:r>
              <w:t>计划标准</w:t>
            </w:r>
          </w:p>
        </w:tc>
      </w:tr>
    </w:tbl>
    <w:p/>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jc w:val="center"/>
        <w:outlineLvl w:val="0"/>
        <w:rPr>
          <w:rFonts w:ascii="方正小标宋_GBK" w:eastAsia="方正小标宋_GBK"/>
          <w:sz w:val="44"/>
        </w:rPr>
      </w:pPr>
    </w:p>
    <w:p>
      <w:pPr>
        <w:spacing w:line="360" w:lineRule="auto"/>
        <w:ind w:firstLine="640" w:firstLineChars="200"/>
        <w:rPr>
          <w:rFonts w:ascii="仿宋" w:hAnsi="仿宋" w:eastAsia="仿宋"/>
          <w:sz w:val="32"/>
          <w:szCs w:val="32"/>
        </w:rPr>
      </w:pPr>
      <w:r>
        <w:rPr>
          <w:rFonts w:ascii="仿宋" w:hAnsi="仿宋" w:eastAsia="仿宋"/>
          <w:sz w:val="32"/>
          <w:szCs w:val="32"/>
        </w:rPr>
        <w:t>2022年，我部门安排政府采购预算180万元，具体内容见下表：</w:t>
      </w:r>
    </w:p>
    <w:p/>
    <w:p/>
    <w:tbl>
      <w:tblPr>
        <w:tblStyle w:val="8"/>
        <w:tblW w:w="154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673"/>
        <w:gridCol w:w="709"/>
        <w:gridCol w:w="850"/>
        <w:gridCol w:w="851"/>
        <w:gridCol w:w="992"/>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widowControl/>
              <w:jc w:val="left"/>
              <w:rPr>
                <w:rFonts w:ascii="方正小标宋_GBK" w:hAnsi="方正小标宋_GBK" w:eastAsia="方正小标宋_GBK" w:cs="方正小标宋_GBK"/>
                <w:kern w:val="0"/>
                <w:sz w:val="24"/>
                <w:szCs w:val="24"/>
                <w:lang w:eastAsia="uk-UA"/>
              </w:rPr>
            </w:pPr>
            <w:r>
              <w:rPr>
                <w:rFonts w:ascii="方正小标宋_GBK" w:hAnsi="方正小标宋_GBK" w:eastAsia="方正小标宋_GBK" w:cs="方正小标宋_GBK"/>
                <w:kern w:val="0"/>
                <w:sz w:val="24"/>
                <w:szCs w:val="24"/>
                <w:lang w:eastAsia="uk-UA"/>
              </w:rPr>
              <w:t>314保定市徐水区民政局</w:t>
            </w:r>
          </w:p>
        </w:tc>
        <w:tc>
          <w:tcPr>
            <w:tcW w:w="8101" w:type="dxa"/>
            <w:gridSpan w:val="9"/>
            <w:tcBorders>
              <w:top w:val="single" w:color="FFFFFF" w:sz="6" w:space="0"/>
              <w:left w:val="single" w:color="FFFFFF" w:sz="6" w:space="0"/>
              <w:right w:val="single" w:color="FFFFFF" w:sz="6" w:space="0"/>
            </w:tcBorders>
            <w:vAlign w:val="center"/>
          </w:tcPr>
          <w:p>
            <w:pPr>
              <w:widowControl/>
              <w:jc w:val="right"/>
              <w:rPr>
                <w:rFonts w:ascii="方正书宋_GBK" w:hAnsi="方正书宋_GBK" w:eastAsia="方正书宋_GBK" w:cs="方正书宋_GBK"/>
                <w:kern w:val="0"/>
                <w:sz w:val="24"/>
                <w:szCs w:val="24"/>
                <w:lang w:eastAsia="uk-UA"/>
              </w:rPr>
            </w:pPr>
            <w:r>
              <w:rPr>
                <w:rFonts w:ascii="方正书宋_GBK" w:hAnsi="方正书宋_GBK" w:eastAsia="方正书宋_GBK" w:cs="方正书宋_GBK"/>
                <w:kern w:val="0"/>
                <w:sz w:val="24"/>
                <w:szCs w:val="24"/>
                <w:lang w:eastAsia="uk-U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政府采购项目来源</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采购物品名称</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政府采购目录序号</w:t>
            </w:r>
          </w:p>
        </w:tc>
        <w:tc>
          <w:tcPr>
            <w:tcW w:w="709"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计量  单位</w:t>
            </w:r>
          </w:p>
        </w:tc>
        <w:tc>
          <w:tcPr>
            <w:tcW w:w="850"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数量</w:t>
            </w:r>
          </w:p>
        </w:tc>
        <w:tc>
          <w:tcPr>
            <w:tcW w:w="850"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单价</w:t>
            </w:r>
          </w:p>
        </w:tc>
        <w:tc>
          <w:tcPr>
            <w:tcW w:w="6967" w:type="dxa"/>
            <w:gridSpan w:val="8"/>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政府采购金额（当年部门预算安排资金）</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项目名称</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预算    资金</w:t>
            </w:r>
          </w:p>
        </w:tc>
        <w:tc>
          <w:tcPr>
            <w:tcW w:w="1134" w:type="dxa"/>
            <w:vMerge w:val="continue"/>
          </w:tcPr>
          <w:p>
            <w:pPr>
              <w:widowControl/>
              <w:jc w:val="left"/>
              <w:rPr>
                <w:rFonts w:ascii="Times New Roman" w:hAnsi="Times New Roman" w:eastAsia="Times New Roman" w:cs="Times New Roman"/>
                <w:kern w:val="0"/>
                <w:sz w:val="24"/>
                <w:szCs w:val="24"/>
                <w:lang w:eastAsia="uk-UA"/>
              </w:rPr>
            </w:pPr>
          </w:p>
        </w:tc>
        <w:tc>
          <w:tcPr>
            <w:tcW w:w="1134" w:type="dxa"/>
            <w:vMerge w:val="continue"/>
          </w:tcPr>
          <w:p>
            <w:pPr>
              <w:widowControl/>
              <w:jc w:val="left"/>
              <w:rPr>
                <w:rFonts w:ascii="Times New Roman" w:hAnsi="Times New Roman" w:eastAsia="Times New Roman" w:cs="Times New Roman"/>
                <w:kern w:val="0"/>
                <w:sz w:val="24"/>
                <w:szCs w:val="24"/>
                <w:lang w:eastAsia="uk-UA"/>
              </w:rPr>
            </w:pPr>
          </w:p>
        </w:tc>
        <w:tc>
          <w:tcPr>
            <w:tcW w:w="709" w:type="dxa"/>
            <w:vMerge w:val="continue"/>
          </w:tcPr>
          <w:p>
            <w:pPr>
              <w:widowControl/>
              <w:jc w:val="left"/>
              <w:rPr>
                <w:rFonts w:ascii="Times New Roman" w:hAnsi="Times New Roman" w:eastAsia="Times New Roman" w:cs="Times New Roman"/>
                <w:kern w:val="0"/>
                <w:sz w:val="24"/>
                <w:szCs w:val="24"/>
                <w:lang w:eastAsia="uk-UA"/>
              </w:rPr>
            </w:pPr>
          </w:p>
        </w:tc>
        <w:tc>
          <w:tcPr>
            <w:tcW w:w="850" w:type="dxa"/>
            <w:vMerge w:val="continue"/>
          </w:tcPr>
          <w:p>
            <w:pPr>
              <w:widowControl/>
              <w:jc w:val="left"/>
              <w:rPr>
                <w:rFonts w:ascii="Times New Roman" w:hAnsi="Times New Roman" w:eastAsia="Times New Roman" w:cs="Times New Roman"/>
                <w:kern w:val="0"/>
                <w:sz w:val="24"/>
                <w:szCs w:val="24"/>
                <w:lang w:eastAsia="uk-UA"/>
              </w:rPr>
            </w:pPr>
          </w:p>
        </w:tc>
        <w:tc>
          <w:tcPr>
            <w:tcW w:w="850" w:type="dxa"/>
            <w:vMerge w:val="continue"/>
          </w:tcPr>
          <w:p>
            <w:pPr>
              <w:widowControl/>
              <w:jc w:val="left"/>
              <w:rPr>
                <w:rFonts w:ascii="Times New Roman" w:hAnsi="Times New Roman" w:eastAsia="Times New Roman" w:cs="Times New Roman"/>
                <w:kern w:val="0"/>
                <w:sz w:val="24"/>
                <w:szCs w:val="24"/>
                <w:lang w:eastAsia="uk-UA"/>
              </w:rPr>
            </w:pP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合计</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一般公共预算拨款</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基金预算拨款</w:t>
            </w:r>
          </w:p>
        </w:tc>
        <w:tc>
          <w:tcPr>
            <w:tcW w:w="673"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国有资本经营预算拨款</w:t>
            </w:r>
          </w:p>
        </w:tc>
        <w:tc>
          <w:tcPr>
            <w:tcW w:w="709"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财政专户核拨</w:t>
            </w:r>
          </w:p>
        </w:tc>
        <w:tc>
          <w:tcPr>
            <w:tcW w:w="850"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单位    资金</w:t>
            </w:r>
          </w:p>
        </w:tc>
        <w:tc>
          <w:tcPr>
            <w:tcW w:w="85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财政拨    款结转</w:t>
            </w:r>
          </w:p>
        </w:tc>
        <w:tc>
          <w:tcPr>
            <w:tcW w:w="992"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非财政    拨款结    转结余</w:t>
            </w:r>
          </w:p>
        </w:tc>
        <w:tc>
          <w:tcPr>
            <w:tcW w:w="1134" w:type="dxa"/>
            <w:vMerge w:val="continue"/>
          </w:tcPr>
          <w:p>
            <w:pPr>
              <w:widowControl/>
              <w:jc w:val="left"/>
              <w:rPr>
                <w:rFonts w:ascii="Times New Roman" w:hAnsi="Times New Roman" w:eastAsia="Times New Roman" w:cs="Times New Roman"/>
                <w:kern w:val="0"/>
                <w:sz w:val="24"/>
                <w:szCs w:val="24"/>
                <w:lang w:eastAsia="uk-U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合  计</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709" w:type="dxa"/>
            <w:vAlign w:val="center"/>
          </w:tcPr>
          <w:p>
            <w:pPr>
              <w:widowControl/>
              <w:jc w:val="center"/>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96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c>
          <w:tcPr>
            <w:tcW w:w="96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673" w:type="dxa"/>
            <w:vAlign w:val="center"/>
          </w:tcPr>
          <w:p>
            <w:pPr>
              <w:widowControl/>
              <w:jc w:val="right"/>
              <w:rPr>
                <w:rFonts w:ascii="方正书宋_GBK" w:hAnsi="方正书宋_GBK" w:eastAsia="方正书宋_GBK" w:cs="方正书宋_GBK"/>
                <w:b/>
                <w:kern w:val="0"/>
                <w:szCs w:val="24"/>
                <w:lang w:eastAsia="uk-UA"/>
              </w:rPr>
            </w:pPr>
          </w:p>
        </w:tc>
        <w:tc>
          <w:tcPr>
            <w:tcW w:w="709"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1" w:type="dxa"/>
            <w:vAlign w:val="center"/>
          </w:tcPr>
          <w:p>
            <w:pPr>
              <w:widowControl/>
              <w:jc w:val="right"/>
              <w:rPr>
                <w:rFonts w:ascii="方正书宋_GBK" w:hAnsi="方正书宋_GBK" w:eastAsia="方正书宋_GBK" w:cs="方正书宋_GBK"/>
                <w:b/>
                <w:kern w:val="0"/>
                <w:szCs w:val="24"/>
                <w:lang w:eastAsia="uk-UA"/>
              </w:rPr>
            </w:pPr>
          </w:p>
        </w:tc>
        <w:tc>
          <w:tcPr>
            <w:tcW w:w="992"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保定市徐水区民政局本级小计</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709" w:type="dxa"/>
            <w:vAlign w:val="center"/>
          </w:tcPr>
          <w:p>
            <w:pPr>
              <w:widowControl/>
              <w:jc w:val="center"/>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96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c>
          <w:tcPr>
            <w:tcW w:w="96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673" w:type="dxa"/>
            <w:vAlign w:val="center"/>
          </w:tcPr>
          <w:p>
            <w:pPr>
              <w:widowControl/>
              <w:jc w:val="right"/>
              <w:rPr>
                <w:rFonts w:ascii="方正书宋_GBK" w:hAnsi="方正书宋_GBK" w:eastAsia="方正书宋_GBK" w:cs="方正书宋_GBK"/>
                <w:b/>
                <w:kern w:val="0"/>
                <w:szCs w:val="24"/>
                <w:lang w:eastAsia="uk-UA"/>
              </w:rPr>
            </w:pPr>
          </w:p>
        </w:tc>
        <w:tc>
          <w:tcPr>
            <w:tcW w:w="709"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1" w:type="dxa"/>
            <w:vAlign w:val="center"/>
          </w:tcPr>
          <w:p>
            <w:pPr>
              <w:widowControl/>
              <w:jc w:val="right"/>
              <w:rPr>
                <w:rFonts w:ascii="方正书宋_GBK" w:hAnsi="方正书宋_GBK" w:eastAsia="方正书宋_GBK" w:cs="方正书宋_GBK"/>
                <w:b/>
                <w:kern w:val="0"/>
                <w:szCs w:val="24"/>
                <w:lang w:eastAsia="uk-UA"/>
              </w:rPr>
            </w:pPr>
          </w:p>
        </w:tc>
        <w:tc>
          <w:tcPr>
            <w:tcW w:w="992"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right"/>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180.00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鹤园老年公寓服务费</w:t>
            </w:r>
          </w:p>
        </w:tc>
        <w:tc>
          <w:tcPr>
            <w:tcW w:w="964"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180.00</w:t>
            </w:r>
          </w:p>
        </w:tc>
        <w:tc>
          <w:tcPr>
            <w:tcW w:w="1134"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其他服务</w:t>
            </w:r>
          </w:p>
        </w:tc>
        <w:tc>
          <w:tcPr>
            <w:tcW w:w="1134"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C99</w:t>
            </w:r>
          </w:p>
        </w:tc>
        <w:tc>
          <w:tcPr>
            <w:tcW w:w="709" w:type="dxa"/>
            <w:vAlign w:val="center"/>
          </w:tcPr>
          <w:p>
            <w:pPr>
              <w:widowControl/>
              <w:jc w:val="center"/>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万元</w:t>
            </w:r>
          </w:p>
        </w:tc>
        <w:tc>
          <w:tcPr>
            <w:tcW w:w="850"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12</w:t>
            </w:r>
          </w:p>
        </w:tc>
        <w:tc>
          <w:tcPr>
            <w:tcW w:w="850"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15.00</w:t>
            </w:r>
          </w:p>
        </w:tc>
        <w:tc>
          <w:tcPr>
            <w:tcW w:w="964"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180.00</w:t>
            </w:r>
          </w:p>
        </w:tc>
        <w:tc>
          <w:tcPr>
            <w:tcW w:w="964"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180.00</w:t>
            </w:r>
          </w:p>
        </w:tc>
        <w:tc>
          <w:tcPr>
            <w:tcW w:w="964" w:type="dxa"/>
            <w:vAlign w:val="center"/>
          </w:tcPr>
          <w:p>
            <w:pPr>
              <w:widowControl/>
              <w:jc w:val="right"/>
              <w:rPr>
                <w:rFonts w:ascii="方正书宋_GBK" w:hAnsi="方正书宋_GBK" w:eastAsia="方正书宋_GBK" w:cs="方正书宋_GBK"/>
                <w:kern w:val="0"/>
                <w:szCs w:val="24"/>
                <w:lang w:eastAsia="uk-UA"/>
              </w:rPr>
            </w:pPr>
          </w:p>
        </w:tc>
        <w:tc>
          <w:tcPr>
            <w:tcW w:w="673" w:type="dxa"/>
            <w:vAlign w:val="center"/>
          </w:tcPr>
          <w:p>
            <w:pPr>
              <w:widowControl/>
              <w:jc w:val="right"/>
              <w:rPr>
                <w:rFonts w:ascii="方正书宋_GBK" w:hAnsi="方正书宋_GBK" w:eastAsia="方正书宋_GBK" w:cs="方正书宋_GBK"/>
                <w:kern w:val="0"/>
                <w:szCs w:val="24"/>
                <w:lang w:eastAsia="uk-UA"/>
              </w:rPr>
            </w:pPr>
          </w:p>
        </w:tc>
        <w:tc>
          <w:tcPr>
            <w:tcW w:w="709" w:type="dxa"/>
            <w:vAlign w:val="center"/>
          </w:tcPr>
          <w:p>
            <w:pPr>
              <w:widowControl/>
              <w:jc w:val="right"/>
              <w:rPr>
                <w:rFonts w:ascii="方正书宋_GBK" w:hAnsi="方正书宋_GBK" w:eastAsia="方正书宋_GBK" w:cs="方正书宋_GBK"/>
                <w:kern w:val="0"/>
                <w:szCs w:val="24"/>
                <w:lang w:eastAsia="uk-UA"/>
              </w:rPr>
            </w:pPr>
          </w:p>
        </w:tc>
        <w:tc>
          <w:tcPr>
            <w:tcW w:w="850" w:type="dxa"/>
            <w:vAlign w:val="center"/>
          </w:tcPr>
          <w:p>
            <w:pPr>
              <w:widowControl/>
              <w:jc w:val="right"/>
              <w:rPr>
                <w:rFonts w:ascii="方正书宋_GBK" w:hAnsi="方正书宋_GBK" w:eastAsia="方正书宋_GBK" w:cs="方正书宋_GBK"/>
                <w:kern w:val="0"/>
                <w:szCs w:val="24"/>
                <w:lang w:eastAsia="uk-UA"/>
              </w:rPr>
            </w:pPr>
          </w:p>
        </w:tc>
        <w:tc>
          <w:tcPr>
            <w:tcW w:w="851" w:type="dxa"/>
            <w:vAlign w:val="center"/>
          </w:tcPr>
          <w:p>
            <w:pPr>
              <w:widowControl/>
              <w:jc w:val="right"/>
              <w:rPr>
                <w:rFonts w:ascii="方正书宋_GBK" w:hAnsi="方正书宋_GBK" w:eastAsia="方正书宋_GBK" w:cs="方正书宋_GBK"/>
                <w:kern w:val="0"/>
                <w:szCs w:val="24"/>
                <w:lang w:eastAsia="uk-UA"/>
              </w:rPr>
            </w:pPr>
          </w:p>
        </w:tc>
        <w:tc>
          <w:tcPr>
            <w:tcW w:w="992" w:type="dxa"/>
            <w:vAlign w:val="center"/>
          </w:tcPr>
          <w:p>
            <w:pPr>
              <w:widowControl/>
              <w:jc w:val="right"/>
              <w:rPr>
                <w:rFonts w:ascii="方正书宋_GBK" w:hAnsi="方正书宋_GBK" w:eastAsia="方正书宋_GBK" w:cs="方正书宋_GBK"/>
                <w:kern w:val="0"/>
                <w:szCs w:val="24"/>
                <w:lang w:eastAsia="uk-UA"/>
              </w:rPr>
            </w:pPr>
          </w:p>
        </w:tc>
        <w:tc>
          <w:tcPr>
            <w:tcW w:w="1134" w:type="dxa"/>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180.00</w:t>
            </w:r>
          </w:p>
        </w:tc>
      </w:tr>
    </w:tbl>
    <w:p>
      <w:pPr>
        <w:widowControl/>
        <w:spacing w:line="500" w:lineRule="exact"/>
        <w:ind w:firstLine="420"/>
        <w:jc w:val="left"/>
        <w:rPr>
          <w:rFonts w:eastAsia="Times New Roman" w:cs="Times New Roman"/>
          <w:kern w:val="0"/>
          <w:sz w:val="24"/>
          <w:szCs w:val="24"/>
          <w:lang w:val="uk-UA" w:eastAsia="uk-UA"/>
        </w:rPr>
        <w:sectPr>
          <w:pgSz w:w="16840" w:h="11900" w:orient="landscape"/>
          <w:pgMar w:top="1020" w:right="1361" w:bottom="1020" w:left="1361" w:header="720" w:footer="720" w:gutter="0"/>
          <w:cols w:space="720" w:num="1"/>
        </w:sectPr>
      </w:pPr>
      <w:r>
        <w:rPr>
          <w:rFonts w:ascii="方正仿宋_GBK" w:hAnsi="方正仿宋_GBK" w:eastAsia="方正仿宋_GBK" w:cs="方正仿宋_GBK"/>
          <w:color w:val="000000"/>
          <w:kern w:val="0"/>
          <w:szCs w:val="24"/>
          <w:lang w:eastAsia="uk-UA"/>
        </w:rPr>
        <w:t>注：同一采购目录序号的物品，其单价会因配置规格不同而变动，均符合资产配置标准。涉密采购事项按照相关规定执行。</w:t>
      </w:r>
    </w:p>
    <w:p>
      <w:p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上年末我部门固定资产总金额为1</w:t>
      </w:r>
      <w:r>
        <w:rPr>
          <w:rFonts w:ascii="仿宋" w:hAnsi="仿宋" w:eastAsia="仿宋"/>
          <w:sz w:val="32"/>
          <w:szCs w:val="32"/>
        </w:rPr>
        <w:t>700.7</w:t>
      </w:r>
      <w:r>
        <w:rPr>
          <w:rFonts w:hint="eastAsia" w:ascii="仿宋" w:hAnsi="仿宋" w:eastAsia="仿宋"/>
          <w:sz w:val="32"/>
          <w:szCs w:val="32"/>
        </w:rPr>
        <w:t>万元（详见下表）。</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我部门本年度无国有资产购置计划，拟购置金额为</w:t>
      </w:r>
      <w:r>
        <w:rPr>
          <w:rFonts w:ascii="仿宋" w:hAnsi="仿宋" w:eastAsia="仿宋"/>
          <w:sz w:val="32"/>
          <w:szCs w:val="32"/>
        </w:rPr>
        <w:t>0</w:t>
      </w:r>
      <w:r>
        <w:rPr>
          <w:rFonts w:hint="eastAsia" w:ascii="仿宋" w:hAnsi="仿宋" w:eastAsia="仿宋"/>
          <w:sz w:val="32"/>
          <w:szCs w:val="32"/>
        </w:rPr>
        <w:t>万元</w:t>
      </w:r>
      <w:r>
        <w:rPr>
          <w:rFonts w:ascii="仿宋" w:hAnsi="仿宋" w:eastAsia="仿宋"/>
          <w:sz w:val="32"/>
          <w:szCs w:val="32"/>
        </w:rPr>
        <w:t>。</w:t>
      </w:r>
    </w:p>
    <w:tbl>
      <w:tblPr>
        <w:tblStyle w:val="8"/>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2021</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1700.7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12673</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427.1</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ind w:firstLine="120" w:firstLineChars="50"/>
              <w:rPr>
                <w:rFonts w:ascii="仿宋_GB2312" w:hAnsi="仿宋" w:eastAsia="仿宋_GB2312" w:cs="宋体"/>
                <w:kern w:val="0"/>
                <w:sz w:val="24"/>
                <w:szCs w:val="24"/>
              </w:rPr>
            </w:pPr>
            <w:r>
              <w:rPr>
                <w:rFonts w:hint="eastAsia" w:ascii="仿宋_GB2312" w:hAnsi="仿宋" w:eastAsia="仿宋_GB2312" w:cs="宋体"/>
                <w:kern w:val="0"/>
                <w:sz w:val="24"/>
                <w:szCs w:val="24"/>
              </w:rPr>
              <w:t>4652</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230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w:t>
            </w:r>
            <w:r>
              <w:rPr>
                <w:rFonts w:ascii="仿宋_GB2312" w:hAnsi="仿宋" w:eastAsia="仿宋_GB2312" w:cs="宋体"/>
                <w:kern w:val="0"/>
                <w:sz w:val="24"/>
                <w:szCs w:val="24"/>
              </w:rPr>
              <w:t>5.99</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957.61</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41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95BA9"/>
    <w:multiLevelType w:val="multilevel"/>
    <w:tmpl w:val="3ED95BA9"/>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AyNTViODQ4OWI4ZmNjMTYwMzVlMzEyZjU2YTNmNzcifQ=="/>
  </w:docVars>
  <w:rsids>
    <w:rsidRoot w:val="00055F1F"/>
    <w:rsid w:val="00013B8A"/>
    <w:rsid w:val="000373D3"/>
    <w:rsid w:val="00044FBC"/>
    <w:rsid w:val="00055F1F"/>
    <w:rsid w:val="000577EF"/>
    <w:rsid w:val="00057F18"/>
    <w:rsid w:val="00061D41"/>
    <w:rsid w:val="000A445D"/>
    <w:rsid w:val="000C178B"/>
    <w:rsid w:val="000F75FA"/>
    <w:rsid w:val="001161FE"/>
    <w:rsid w:val="0011653E"/>
    <w:rsid w:val="00122B14"/>
    <w:rsid w:val="00126B69"/>
    <w:rsid w:val="00131DEC"/>
    <w:rsid w:val="00136AB3"/>
    <w:rsid w:val="001462BD"/>
    <w:rsid w:val="00152380"/>
    <w:rsid w:val="001638BE"/>
    <w:rsid w:val="00164810"/>
    <w:rsid w:val="00172C7A"/>
    <w:rsid w:val="00181777"/>
    <w:rsid w:val="001858B6"/>
    <w:rsid w:val="00192287"/>
    <w:rsid w:val="001B4688"/>
    <w:rsid w:val="001B6235"/>
    <w:rsid w:val="001C058B"/>
    <w:rsid w:val="001C3D48"/>
    <w:rsid w:val="001F4875"/>
    <w:rsid w:val="002025B4"/>
    <w:rsid w:val="00212335"/>
    <w:rsid w:val="00236858"/>
    <w:rsid w:val="002519C3"/>
    <w:rsid w:val="002918C6"/>
    <w:rsid w:val="00291EF3"/>
    <w:rsid w:val="00296524"/>
    <w:rsid w:val="002B2469"/>
    <w:rsid w:val="002E01F6"/>
    <w:rsid w:val="002F1ACB"/>
    <w:rsid w:val="002F530F"/>
    <w:rsid w:val="00305E97"/>
    <w:rsid w:val="00310532"/>
    <w:rsid w:val="0032782B"/>
    <w:rsid w:val="00340B3D"/>
    <w:rsid w:val="0034253A"/>
    <w:rsid w:val="00364A09"/>
    <w:rsid w:val="003669CF"/>
    <w:rsid w:val="00367A30"/>
    <w:rsid w:val="003A06D2"/>
    <w:rsid w:val="003A4557"/>
    <w:rsid w:val="003A6366"/>
    <w:rsid w:val="003C2317"/>
    <w:rsid w:val="003C442E"/>
    <w:rsid w:val="003C54AA"/>
    <w:rsid w:val="003D1092"/>
    <w:rsid w:val="003D37CD"/>
    <w:rsid w:val="003E2245"/>
    <w:rsid w:val="003E5531"/>
    <w:rsid w:val="003E555C"/>
    <w:rsid w:val="003E6AF3"/>
    <w:rsid w:val="003F01F9"/>
    <w:rsid w:val="0040243C"/>
    <w:rsid w:val="0040396B"/>
    <w:rsid w:val="00406BD1"/>
    <w:rsid w:val="00426C19"/>
    <w:rsid w:val="004276E2"/>
    <w:rsid w:val="00450FD9"/>
    <w:rsid w:val="00453CE0"/>
    <w:rsid w:val="00470736"/>
    <w:rsid w:val="00470BBB"/>
    <w:rsid w:val="0048611E"/>
    <w:rsid w:val="004B6929"/>
    <w:rsid w:val="004E2F43"/>
    <w:rsid w:val="004E3572"/>
    <w:rsid w:val="004F3C52"/>
    <w:rsid w:val="00510A1E"/>
    <w:rsid w:val="005158E2"/>
    <w:rsid w:val="00524204"/>
    <w:rsid w:val="0053716D"/>
    <w:rsid w:val="00550049"/>
    <w:rsid w:val="00553F7E"/>
    <w:rsid w:val="00570142"/>
    <w:rsid w:val="00580155"/>
    <w:rsid w:val="00586C35"/>
    <w:rsid w:val="005B1B6F"/>
    <w:rsid w:val="005B6CCB"/>
    <w:rsid w:val="005C54AA"/>
    <w:rsid w:val="005C7B89"/>
    <w:rsid w:val="005D71B6"/>
    <w:rsid w:val="0062788A"/>
    <w:rsid w:val="00641F8A"/>
    <w:rsid w:val="006455E2"/>
    <w:rsid w:val="0066383B"/>
    <w:rsid w:val="006A6FA2"/>
    <w:rsid w:val="006B5117"/>
    <w:rsid w:val="006C62DF"/>
    <w:rsid w:val="006F5104"/>
    <w:rsid w:val="006F6549"/>
    <w:rsid w:val="00715A4D"/>
    <w:rsid w:val="00735B02"/>
    <w:rsid w:val="00737FE8"/>
    <w:rsid w:val="007657C8"/>
    <w:rsid w:val="00767A77"/>
    <w:rsid w:val="00771E49"/>
    <w:rsid w:val="00782208"/>
    <w:rsid w:val="00791938"/>
    <w:rsid w:val="007A5999"/>
    <w:rsid w:val="007B721B"/>
    <w:rsid w:val="007C7FD7"/>
    <w:rsid w:val="007E3F33"/>
    <w:rsid w:val="007F3746"/>
    <w:rsid w:val="00833132"/>
    <w:rsid w:val="00845C67"/>
    <w:rsid w:val="0086454E"/>
    <w:rsid w:val="00866AD2"/>
    <w:rsid w:val="008672EA"/>
    <w:rsid w:val="00891680"/>
    <w:rsid w:val="008A0099"/>
    <w:rsid w:val="008A0B5F"/>
    <w:rsid w:val="008B5402"/>
    <w:rsid w:val="008D11BC"/>
    <w:rsid w:val="008D5050"/>
    <w:rsid w:val="0090527E"/>
    <w:rsid w:val="00905BB7"/>
    <w:rsid w:val="0090620C"/>
    <w:rsid w:val="00912DA4"/>
    <w:rsid w:val="009302B8"/>
    <w:rsid w:val="009305C6"/>
    <w:rsid w:val="009752AE"/>
    <w:rsid w:val="0097662F"/>
    <w:rsid w:val="00982F3D"/>
    <w:rsid w:val="00983232"/>
    <w:rsid w:val="009A2054"/>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021FF"/>
    <w:rsid w:val="00C177A5"/>
    <w:rsid w:val="00C34600"/>
    <w:rsid w:val="00C354A1"/>
    <w:rsid w:val="00C35FEE"/>
    <w:rsid w:val="00C50535"/>
    <w:rsid w:val="00C6153C"/>
    <w:rsid w:val="00C906EF"/>
    <w:rsid w:val="00CC7D74"/>
    <w:rsid w:val="00CF6FE0"/>
    <w:rsid w:val="00D02F97"/>
    <w:rsid w:val="00D13DBB"/>
    <w:rsid w:val="00D15D53"/>
    <w:rsid w:val="00D43E12"/>
    <w:rsid w:val="00D45530"/>
    <w:rsid w:val="00D45A0E"/>
    <w:rsid w:val="00D45D23"/>
    <w:rsid w:val="00D723D1"/>
    <w:rsid w:val="00D80C60"/>
    <w:rsid w:val="00D8525F"/>
    <w:rsid w:val="00DA0C4D"/>
    <w:rsid w:val="00DA1654"/>
    <w:rsid w:val="00DA5DA7"/>
    <w:rsid w:val="00DC0EC2"/>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C3B3E"/>
    <w:rsid w:val="00ED17B8"/>
    <w:rsid w:val="00F000B1"/>
    <w:rsid w:val="00F012D3"/>
    <w:rsid w:val="00F044C3"/>
    <w:rsid w:val="00F10D04"/>
    <w:rsid w:val="00F169E3"/>
    <w:rsid w:val="00F35D4B"/>
    <w:rsid w:val="00F36B4F"/>
    <w:rsid w:val="00F3746B"/>
    <w:rsid w:val="00F572CB"/>
    <w:rsid w:val="00F621AF"/>
    <w:rsid w:val="00F8024E"/>
    <w:rsid w:val="00F82447"/>
    <w:rsid w:val="00F868E5"/>
    <w:rsid w:val="00FB2F32"/>
    <w:rsid w:val="00FB67C8"/>
    <w:rsid w:val="00FC3191"/>
    <w:rsid w:val="00FE0F1F"/>
    <w:rsid w:val="00FF61F3"/>
    <w:rsid w:val="0A214432"/>
    <w:rsid w:val="27733670"/>
    <w:rsid w:val="2DA15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qFormat/>
    <w:uiPriority w:val="0"/>
    <w:pPr>
      <w:widowControl/>
      <w:spacing w:before="120"/>
      <w:jc w:val="left"/>
    </w:pPr>
    <w:rPr>
      <w:rFonts w:ascii="Times New Roman" w:hAnsi="Times New Roman" w:eastAsia="方正仿宋_GBK" w:cs="Times New Roman"/>
      <w:color w:val="000000"/>
      <w:kern w:val="0"/>
      <w:sz w:val="28"/>
      <w:szCs w:val="24"/>
      <w:lang w:eastAsia="uk-UA"/>
    </w:rPr>
  </w:style>
  <w:style w:type="paragraph" w:styleId="6">
    <w:name w:val="toc 4"/>
    <w:basedOn w:val="1"/>
    <w:qFormat/>
    <w:uiPriority w:val="0"/>
    <w:pPr>
      <w:widowControl/>
      <w:ind w:left="720"/>
      <w:jc w:val="left"/>
    </w:pPr>
    <w:rPr>
      <w:rFonts w:ascii="Times New Roman" w:hAnsi="Times New Roman" w:eastAsia="Times New Roman" w:cs="Times New Roman"/>
      <w:kern w:val="0"/>
      <w:sz w:val="24"/>
      <w:szCs w:val="24"/>
      <w:lang w:eastAsia="uk-UA"/>
    </w:rPr>
  </w:style>
  <w:style w:type="paragraph" w:styleId="7">
    <w:name w:val="toc 2"/>
    <w:basedOn w:val="1"/>
    <w:qFormat/>
    <w:uiPriority w:val="0"/>
    <w:pPr>
      <w:widowControl/>
      <w:ind w:left="240"/>
      <w:jc w:val="left"/>
    </w:pPr>
    <w:rPr>
      <w:rFonts w:ascii="Times New Roman" w:hAnsi="Times New Roman" w:eastAsia="Times New Roman" w:cs="Times New Roman"/>
      <w:kern w:val="0"/>
      <w:sz w:val="24"/>
      <w:szCs w:val="24"/>
      <w:lang w:eastAsia="uk-UA"/>
    </w:rPr>
  </w:style>
  <w:style w:type="table" w:styleId="9">
    <w:name w:val="Table Grid"/>
    <w:basedOn w:val="8"/>
    <w:uiPriority w:val="0"/>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1">
    <w:name w:val="页眉 字符"/>
    <w:basedOn w:val="10"/>
    <w:link w:val="4"/>
    <w:qFormat/>
    <w:uiPriority w:val="99"/>
    <w:rPr>
      <w:sz w:val="18"/>
      <w:szCs w:val="18"/>
    </w:rPr>
  </w:style>
  <w:style w:type="character" w:customStyle="1" w:styleId="12">
    <w:name w:val="页脚 字符"/>
    <w:basedOn w:val="10"/>
    <w:link w:val="3"/>
    <w:qFormat/>
    <w:uiPriority w:val="99"/>
    <w:rPr>
      <w:sz w:val="18"/>
      <w:szCs w:val="18"/>
    </w:rPr>
  </w:style>
  <w:style w:type="character" w:customStyle="1" w:styleId="13">
    <w:name w:val="批注框文本 字符"/>
    <w:basedOn w:val="10"/>
    <w:link w:val="2"/>
    <w:semiHidden/>
    <w:qFormat/>
    <w:uiPriority w:val="99"/>
    <w:rPr>
      <w:sz w:val="18"/>
      <w:szCs w:val="18"/>
    </w:rPr>
  </w:style>
  <w:style w:type="paragraph" w:styleId="14">
    <w:name w:val="List Paragraph"/>
    <w:basedOn w:val="1"/>
    <w:uiPriority w:val="99"/>
    <w:pPr>
      <w:ind w:firstLine="420" w:firstLineChars="200"/>
    </w:pPr>
  </w:style>
  <w:style w:type="paragraph" w:customStyle="1" w:styleId="15">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6">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7">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8">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0">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1">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3">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5">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6">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80918-32A3-4C9D-B0FC-48A12329E781}">
  <ds:schemaRefs/>
</ds:datastoreItem>
</file>

<file path=docProps/app.xml><?xml version="1.0" encoding="utf-8"?>
<Properties xmlns="http://schemas.openxmlformats.org/officeDocument/2006/extended-properties" xmlns:vt="http://schemas.openxmlformats.org/officeDocument/2006/docPropsVTypes">
  <Template>Normal.dotm</Template>
  <Pages>41</Pages>
  <Words>3182</Words>
  <Characters>18144</Characters>
  <Lines>151</Lines>
  <Paragraphs>42</Paragraphs>
  <TotalTime>11</TotalTime>
  <ScaleCrop>false</ScaleCrop>
  <LinksUpToDate>false</LinksUpToDate>
  <CharactersWithSpaces>21284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2022-08-01T02:11:00Z</dcterms:created>
  <dc:creator>Windows 用户</dc:creator>
  <cp:lastModifiedBy>Distance</cp:lastModifiedBy>
  <cp:lastPrinted>2021-04-14T02:06:00Z</cp:lastPrinted>
  <dcterms:modified xsi:type="dcterms:W3CDTF">2023-11-14T06:21:56Z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76EAFEA3433E47EF9BBEB116C4FC5C2C</vt:lpwstr>
  </property>
</Properties>
</file>