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540" w:lineRule="exact"/>
        <w:ind w:firstLine="1440" w:firstLineChars="200"/>
        <w:jc w:val="both"/>
        <w:rPr>
          <w:rFonts w:hint="eastAsia" w:ascii="Times New Roman" w:hAnsi="Times New Roman" w:eastAsia="宋体" w:cs="Times New Roman"/>
          <w:bCs/>
          <w:kern w:val="2"/>
          <w:sz w:val="72"/>
          <w:szCs w:val="24"/>
        </w:rPr>
      </w:pPr>
      <w:bookmarkStart w:id="79" w:name="_GoBack"/>
      <w:bookmarkEnd w:id="79"/>
    </w:p>
    <w:p>
      <w:pPr>
        <w:widowControl w:val="0"/>
        <w:adjustRightInd/>
        <w:snapToGrid/>
        <w:spacing w:after="0" w:line="480" w:lineRule="auto"/>
        <w:jc w:val="center"/>
        <w:rPr>
          <w:rFonts w:ascii="黑体" w:hAnsi="黑体" w:eastAsia="黑体" w:cs="Times New Roman"/>
          <w:bCs/>
          <w:kern w:val="2"/>
          <w:sz w:val="48"/>
          <w:szCs w:val="48"/>
        </w:rPr>
      </w:pPr>
      <w:r>
        <w:rPr>
          <w:rFonts w:hint="eastAsia" w:ascii="黑体" w:hAnsi="黑体" w:eastAsia="黑体" w:cs="Times New Roman"/>
          <w:bCs/>
          <w:kern w:val="2"/>
          <w:sz w:val="48"/>
          <w:szCs w:val="48"/>
        </w:rPr>
        <w:t>保定市徐水区民兵训练基地</w:t>
      </w:r>
    </w:p>
    <w:p>
      <w:pPr>
        <w:widowControl w:val="0"/>
        <w:adjustRightInd/>
        <w:snapToGrid/>
        <w:spacing w:after="0" w:line="480" w:lineRule="auto"/>
        <w:jc w:val="center"/>
        <w:rPr>
          <w:rFonts w:ascii="黑体" w:hAnsi="黑体" w:eastAsia="黑体" w:cs="Times New Roman"/>
          <w:bCs/>
          <w:kern w:val="2"/>
          <w:sz w:val="48"/>
          <w:szCs w:val="48"/>
        </w:rPr>
      </w:pPr>
      <w:r>
        <w:rPr>
          <w:rFonts w:hint="eastAsia" w:ascii="黑体" w:hAnsi="黑体" w:eastAsia="黑体" w:cs="Times New Roman"/>
          <w:bCs/>
          <w:kern w:val="2"/>
          <w:sz w:val="48"/>
          <w:szCs w:val="48"/>
        </w:rPr>
        <w:t>2019年部门整体支出绩效评价自评报告</w:t>
      </w: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720" w:firstLineChars="200"/>
        <w:jc w:val="center"/>
        <w:rPr>
          <w:rFonts w:cs="Times New Roman" w:asciiTheme="minorEastAsia" w:hAnsiTheme="minorEastAsia" w:eastAsiaTheme="minorEastAsia"/>
          <w:bCs/>
          <w:kern w:val="2"/>
          <w:sz w:val="36"/>
          <w:szCs w:val="36"/>
        </w:rPr>
      </w:pPr>
      <w:r>
        <w:rPr>
          <w:rFonts w:hint="eastAsia" w:cs="Times New Roman" w:asciiTheme="minorEastAsia" w:hAnsiTheme="minorEastAsia" w:eastAsiaTheme="minorEastAsia"/>
          <w:bCs/>
          <w:kern w:val="2"/>
          <w:sz w:val="36"/>
          <w:szCs w:val="36"/>
        </w:rPr>
        <w:t>2020年8月</w:t>
      </w: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sdt>
      <w:sdtPr>
        <w:rPr>
          <w:rFonts w:ascii="Tahoma" w:hAnsi="Tahoma" w:eastAsia="微软雅黑" w:cstheme="minorBidi"/>
          <w:b w:val="0"/>
          <w:bCs w:val="0"/>
          <w:color w:val="auto"/>
          <w:sz w:val="22"/>
          <w:szCs w:val="22"/>
          <w:lang w:val="zh-CN"/>
        </w:rPr>
        <w:id w:val="8905895"/>
        <w:docPartObj>
          <w:docPartGallery w:val="Table of Contents"/>
          <w:docPartUnique/>
        </w:docPartObj>
      </w:sdtPr>
      <w:sdtEndPr>
        <w:rPr>
          <w:rFonts w:ascii="Tahoma" w:hAnsi="Tahoma" w:eastAsia="微软雅黑" w:cstheme="minorBidi"/>
          <w:b w:val="0"/>
          <w:bCs w:val="0"/>
          <w:color w:val="auto"/>
          <w:sz w:val="22"/>
          <w:szCs w:val="22"/>
          <w:lang w:val="en-US"/>
        </w:rPr>
      </w:sdtEndPr>
      <w:sdtContent>
        <w:p>
          <w:pPr>
            <w:pStyle w:val="71"/>
            <w:ind w:firstLine="440" w:firstLineChars="200"/>
            <w:jc w:val="center"/>
            <w:rPr>
              <w:color w:val="auto"/>
              <w:sz w:val="44"/>
              <w:szCs w:val="44"/>
              <w:lang w:val="zh-CN"/>
            </w:rPr>
          </w:pPr>
          <w:r>
            <w:rPr>
              <w:color w:val="auto"/>
              <w:sz w:val="44"/>
              <w:szCs w:val="44"/>
              <w:lang w:val="zh-CN"/>
            </w:rPr>
            <w:t>目</w:t>
          </w:r>
          <w:r>
            <w:rPr>
              <w:rFonts w:hint="eastAsia"/>
              <w:color w:val="auto"/>
              <w:sz w:val="44"/>
              <w:szCs w:val="44"/>
              <w:lang w:val="zh-CN"/>
            </w:rPr>
            <w:t xml:space="preserve">    </w:t>
          </w:r>
          <w:r>
            <w:rPr>
              <w:color w:val="auto"/>
              <w:sz w:val="44"/>
              <w:szCs w:val="44"/>
              <w:lang w:val="zh-CN"/>
            </w:rPr>
            <w:t>录</w:t>
          </w:r>
        </w:p>
        <w:p>
          <w:pPr>
            <w:pStyle w:val="18"/>
            <w:tabs>
              <w:tab w:val="right" w:leader="dot" w:pos="8312"/>
            </w:tabs>
            <w:spacing w:line="312" w:lineRule="auto"/>
            <w:ind w:left="0" w:leftChars="0"/>
            <w:rPr>
              <w:rFonts w:asciiTheme="majorEastAsia" w:hAnsiTheme="majorEastAsia" w:eastAsiaTheme="majorEastAsia" w:cstheme="majorEastAsia"/>
              <w:b/>
              <w:bCs/>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TOC \o "1-3" \h \z \u </w:instrText>
          </w:r>
          <w:r>
            <w:rPr>
              <w:rFonts w:asciiTheme="minorEastAsia" w:hAnsiTheme="minorEastAsia" w:eastAsiaTheme="minorEastAsia"/>
              <w:sz w:val="24"/>
            </w:rPr>
            <w:fldChar w:fldCharType="separate"/>
          </w:r>
          <w:r>
            <w:fldChar w:fldCharType="begin"/>
          </w:r>
          <w:r>
            <w:instrText xml:space="preserve"> HYPERLINK \l "_Toc25184" </w:instrText>
          </w:r>
          <w:r>
            <w:fldChar w:fldCharType="separate"/>
          </w:r>
          <w:r>
            <w:rPr>
              <w:rFonts w:hint="eastAsia" w:asciiTheme="majorEastAsia" w:hAnsiTheme="majorEastAsia" w:eastAsiaTheme="majorEastAsia" w:cstheme="majorEastAsia"/>
              <w:b/>
              <w:bCs/>
              <w:sz w:val="24"/>
            </w:rPr>
            <w:t>第一部分   摘  要</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_Toc25184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sz w:val="24"/>
            </w:rPr>
          </w:pPr>
          <w:r>
            <w:fldChar w:fldCharType="begin"/>
          </w:r>
          <w:r>
            <w:instrText xml:space="preserve"> HYPERLINK \l "_Toc4346" </w:instrText>
          </w:r>
          <w:r>
            <w:fldChar w:fldCharType="separate"/>
          </w:r>
          <w:r>
            <w:rPr>
              <w:rFonts w:hint="eastAsia" w:asciiTheme="majorEastAsia" w:hAnsiTheme="majorEastAsia" w:eastAsiaTheme="majorEastAsia" w:cstheme="majorEastAsia"/>
              <w:b/>
              <w:bCs/>
              <w:sz w:val="24"/>
            </w:rPr>
            <w:t>第二部分   绩效评价报告</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_Toc4346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4</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"_Toc427" </w:instrText>
          </w:r>
          <w:r>
            <w:fldChar w:fldCharType="separate"/>
          </w:r>
          <w:r>
            <w:rPr>
              <w:rFonts w:hint="eastAsia" w:asciiTheme="majorEastAsia" w:hAnsiTheme="majorEastAsia" w:eastAsiaTheme="majorEastAsia" w:cstheme="majorEastAsia"/>
              <w:b/>
              <w:bCs/>
              <w:sz w:val="24"/>
            </w:rPr>
            <w:t>一、保定市徐水区民兵训练基地基本情况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_Toc427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5</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"_Toc11473" </w:instrText>
          </w:r>
          <w:r>
            <w:fldChar w:fldCharType="separate"/>
          </w:r>
          <w:r>
            <w:rPr>
              <w:rFonts w:hint="eastAsia" w:asciiTheme="majorEastAsia" w:hAnsiTheme="majorEastAsia" w:eastAsiaTheme="majorEastAsia" w:cstheme="majorEastAsia"/>
              <w:sz w:val="24"/>
            </w:rPr>
            <w:t>（一）部门职责和工作活动</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_Toc11473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"_Toc7075" </w:instrText>
          </w:r>
          <w:r>
            <w:fldChar w:fldCharType="separate"/>
          </w:r>
          <w:r>
            <w:rPr>
              <w:rFonts w:hint="eastAsia" w:asciiTheme="majorEastAsia" w:hAnsiTheme="majorEastAsia" w:eastAsiaTheme="majorEastAsia" w:cstheme="majorEastAsia"/>
              <w:sz w:val="24"/>
            </w:rPr>
            <w:t>（二）部门年度发展规划总体目标和职责分类绩效目标</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_Toc7075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"_Toc1678" </w:instrText>
          </w:r>
          <w:r>
            <w:fldChar w:fldCharType="separate"/>
          </w:r>
          <w:r>
            <w:rPr>
              <w:rFonts w:hint="eastAsia" w:asciiTheme="majorEastAsia" w:hAnsiTheme="majorEastAsia" w:eastAsiaTheme="majorEastAsia" w:cstheme="majorEastAsia"/>
              <w:sz w:val="24"/>
            </w:rPr>
            <w:t>（三）部门预算收入及决算收入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7</w:t>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"_Toc18197" </w:instrText>
          </w:r>
          <w:r>
            <w:fldChar w:fldCharType="separate"/>
          </w:r>
          <w:r>
            <w:rPr>
              <w:rFonts w:hint="eastAsia" w:asciiTheme="majorEastAsia" w:hAnsiTheme="majorEastAsia" w:eastAsiaTheme="majorEastAsia" w:cstheme="majorEastAsia"/>
              <w:sz w:val="24"/>
            </w:rPr>
            <w:t>（四）预算支出及决算支出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_Toc18197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8</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"_Toc19291" </w:instrText>
          </w:r>
          <w:r>
            <w:fldChar w:fldCharType="separate"/>
          </w:r>
          <w:r>
            <w:rPr>
              <w:rFonts w:hint="eastAsia" w:asciiTheme="majorEastAsia" w:hAnsiTheme="majorEastAsia" w:eastAsiaTheme="majorEastAsia" w:cstheme="majorEastAsia"/>
              <w:sz w:val="24"/>
            </w:rPr>
            <w:t>（五）“三公”经费预算安排及支出情况</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_Toc19291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10</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"_Toc20454" </w:instrText>
          </w:r>
          <w:r>
            <w:fldChar w:fldCharType="separate"/>
          </w:r>
          <w:r>
            <w:rPr>
              <w:rFonts w:hint="eastAsia" w:asciiTheme="majorEastAsia" w:hAnsiTheme="majorEastAsia" w:eastAsiaTheme="majorEastAsia" w:cstheme="majorEastAsia"/>
              <w:b/>
              <w:bCs/>
              <w:sz w:val="24"/>
            </w:rPr>
            <w:t>二、部门整体支出绩效评价指标体系设定情况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_Toc20454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11</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firstLine="300" w:firstLineChars="100"/>
            <w:rPr>
              <w:rFonts w:asciiTheme="majorEastAsia" w:hAnsiTheme="majorEastAsia" w:eastAsiaTheme="majorEastAsia" w:cstheme="majorEastAsia"/>
              <w:sz w:val="24"/>
            </w:rPr>
          </w:pPr>
          <w:r>
            <w:fldChar w:fldCharType="begin"/>
          </w:r>
          <w:r>
            <w:instrText xml:space="preserve"> HYPERLINK \l "_Toc9569" </w:instrText>
          </w:r>
          <w:r>
            <w:fldChar w:fldCharType="separate"/>
          </w:r>
          <w:r>
            <w:rPr>
              <w:rFonts w:hint="eastAsia" w:asciiTheme="majorEastAsia" w:hAnsiTheme="majorEastAsia" w:eastAsiaTheme="majorEastAsia" w:cstheme="majorEastAsia"/>
              <w:sz w:val="24"/>
            </w:rPr>
            <w:t>（一）投入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_Toc9569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11</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"_Toc30221" </w:instrText>
          </w:r>
          <w:r>
            <w:fldChar w:fldCharType="separate"/>
          </w:r>
          <w:r>
            <w:rPr>
              <w:rFonts w:hint="eastAsia" w:asciiTheme="majorEastAsia" w:hAnsiTheme="majorEastAsia" w:eastAsiaTheme="majorEastAsia" w:cstheme="majorEastAsia"/>
              <w:sz w:val="24"/>
            </w:rPr>
            <w:t>（二）过程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_Toc30221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"_Toc24932" </w:instrText>
          </w:r>
          <w:r>
            <w:fldChar w:fldCharType="separate"/>
          </w:r>
          <w:r>
            <w:rPr>
              <w:rFonts w:hint="eastAsia" w:asciiTheme="majorEastAsia" w:hAnsiTheme="majorEastAsia" w:eastAsiaTheme="majorEastAsia" w:cstheme="majorEastAsia"/>
              <w:sz w:val="24"/>
            </w:rPr>
            <w:t>（三）产出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_Toc24932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"_Toc21821" </w:instrText>
          </w:r>
          <w:r>
            <w:fldChar w:fldCharType="separate"/>
          </w:r>
          <w:r>
            <w:rPr>
              <w:rFonts w:hint="eastAsia" w:asciiTheme="majorEastAsia" w:hAnsiTheme="majorEastAsia" w:eastAsiaTheme="majorEastAsia" w:cstheme="majorEastAsia"/>
              <w:sz w:val="24"/>
            </w:rPr>
            <w:t>（四）效果</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_Toc21821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13</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"_Toc11842" </w:instrText>
          </w:r>
          <w:r>
            <w:fldChar w:fldCharType="separate"/>
          </w:r>
          <w:r>
            <w:rPr>
              <w:rFonts w:hint="eastAsia" w:asciiTheme="majorEastAsia" w:hAnsiTheme="majorEastAsia" w:eastAsiaTheme="majorEastAsia" w:cstheme="majorEastAsia"/>
              <w:b/>
              <w:bCs/>
              <w:sz w:val="24"/>
            </w:rPr>
            <w:t>三、综合绩效评价工作情况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_Toc11842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13</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"_Toc17138" </w:instrText>
          </w:r>
          <w:r>
            <w:fldChar w:fldCharType="separate"/>
          </w:r>
          <w:r>
            <w:rPr>
              <w:rFonts w:hint="eastAsia" w:asciiTheme="majorEastAsia" w:hAnsiTheme="majorEastAsia" w:eastAsiaTheme="majorEastAsia" w:cstheme="majorEastAsia"/>
              <w:sz w:val="24"/>
            </w:rPr>
            <w:t>（一）绩效评价目的</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_Toc17138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13</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"_Toc11607" </w:instrText>
          </w:r>
          <w:r>
            <w:fldChar w:fldCharType="separate"/>
          </w:r>
          <w:r>
            <w:rPr>
              <w:rFonts w:hint="eastAsia" w:asciiTheme="majorEastAsia" w:hAnsiTheme="majorEastAsia" w:eastAsiaTheme="majorEastAsia" w:cstheme="majorEastAsia"/>
              <w:sz w:val="24"/>
            </w:rPr>
            <w:t>（二）绩效评价依据</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_Toc11607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13</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"_Toc7609" </w:instrText>
          </w:r>
          <w:r>
            <w:fldChar w:fldCharType="separate"/>
          </w:r>
          <w:r>
            <w:rPr>
              <w:rFonts w:hint="eastAsia" w:asciiTheme="majorEastAsia" w:hAnsiTheme="majorEastAsia" w:eastAsiaTheme="majorEastAsia" w:cstheme="majorEastAsia"/>
              <w:sz w:val="24"/>
            </w:rPr>
            <w:t>（三）绩效评价内容</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_Toc7609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14</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"_Toc789" </w:instrText>
          </w:r>
          <w:r>
            <w:fldChar w:fldCharType="separate"/>
          </w:r>
          <w:r>
            <w:rPr>
              <w:rFonts w:hint="eastAsia" w:asciiTheme="majorEastAsia" w:hAnsiTheme="majorEastAsia" w:eastAsiaTheme="majorEastAsia" w:cstheme="majorEastAsia"/>
              <w:sz w:val="24"/>
            </w:rPr>
            <w:t>（四）绩效评价原则</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_Toc789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14</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"_Toc8171" </w:instrText>
          </w:r>
          <w:r>
            <w:fldChar w:fldCharType="separate"/>
          </w:r>
          <w:r>
            <w:rPr>
              <w:rFonts w:hint="eastAsia" w:asciiTheme="majorEastAsia" w:hAnsiTheme="majorEastAsia" w:eastAsiaTheme="majorEastAsia" w:cstheme="majorEastAsia"/>
              <w:sz w:val="24"/>
            </w:rPr>
            <w:t>（五）绩效评价方法</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_Toc8171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"_Toc20821" </w:instrText>
          </w:r>
          <w:r>
            <w:fldChar w:fldCharType="separate"/>
          </w:r>
          <w:r>
            <w:rPr>
              <w:rFonts w:hint="eastAsia" w:asciiTheme="majorEastAsia" w:hAnsiTheme="majorEastAsia" w:eastAsiaTheme="majorEastAsia" w:cstheme="majorEastAsia"/>
              <w:sz w:val="24"/>
            </w:rPr>
            <w:t>（六）绩效评价工作过程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_Toc20821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"_Toc6467" </w:instrText>
          </w:r>
          <w:r>
            <w:fldChar w:fldCharType="separate"/>
          </w:r>
          <w:r>
            <w:rPr>
              <w:rFonts w:hint="eastAsia" w:asciiTheme="majorEastAsia" w:hAnsiTheme="majorEastAsia" w:eastAsiaTheme="majorEastAsia" w:cstheme="majorEastAsia"/>
              <w:b/>
              <w:bCs/>
              <w:sz w:val="24"/>
            </w:rPr>
            <w:t>四、绩效评价评分情况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_Toc6467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17</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"_Toc4390" </w:instrText>
          </w:r>
          <w:r>
            <w:fldChar w:fldCharType="separate"/>
          </w:r>
          <w:r>
            <w:rPr>
              <w:rFonts w:hint="eastAsia" w:asciiTheme="majorEastAsia" w:hAnsiTheme="majorEastAsia" w:eastAsiaTheme="majorEastAsia" w:cstheme="majorEastAsia"/>
              <w:sz w:val="24"/>
            </w:rPr>
            <w:t>（一）投入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_Toc4390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17</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"_Toc19940" </w:instrText>
          </w:r>
          <w:r>
            <w:fldChar w:fldCharType="separate"/>
          </w:r>
          <w:r>
            <w:rPr>
              <w:rFonts w:hint="eastAsia" w:asciiTheme="majorEastAsia" w:hAnsiTheme="majorEastAsia" w:eastAsiaTheme="majorEastAsia" w:cstheme="majorEastAsia"/>
              <w:sz w:val="24"/>
            </w:rPr>
            <w:t>（二）过程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_Toc19940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20</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"_Toc12330" </w:instrText>
          </w:r>
          <w:r>
            <w:fldChar w:fldCharType="separate"/>
          </w:r>
          <w:r>
            <w:rPr>
              <w:rFonts w:hint="eastAsia" w:asciiTheme="majorEastAsia" w:hAnsiTheme="majorEastAsia" w:eastAsiaTheme="majorEastAsia" w:cstheme="majorEastAsia"/>
              <w:sz w:val="24"/>
            </w:rPr>
            <w:t>（三）产出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_Toc12330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26</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"_Toc28363" </w:instrText>
          </w:r>
          <w:r>
            <w:fldChar w:fldCharType="separate"/>
          </w:r>
          <w:r>
            <w:rPr>
              <w:rFonts w:hint="eastAsia" w:asciiTheme="majorEastAsia" w:hAnsiTheme="majorEastAsia" w:eastAsiaTheme="majorEastAsia" w:cstheme="majorEastAsia"/>
              <w:sz w:val="24"/>
            </w:rPr>
            <w:t>（四）效果</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_Toc28363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28</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sz w:val="24"/>
            </w:rPr>
          </w:pPr>
          <w:r>
            <w:fldChar w:fldCharType="begin"/>
          </w:r>
          <w:r>
            <w:instrText xml:space="preserve"> HYPERLINK \l "_Toc13757" </w:instrText>
          </w:r>
          <w:r>
            <w:fldChar w:fldCharType="separate"/>
          </w:r>
          <w:r>
            <w:rPr>
              <w:rFonts w:hint="eastAsia" w:asciiTheme="majorEastAsia" w:hAnsiTheme="majorEastAsia" w:eastAsiaTheme="majorEastAsia" w:cstheme="majorEastAsia"/>
              <w:b/>
              <w:bCs/>
              <w:sz w:val="24"/>
            </w:rPr>
            <w:t>五、绩效评价发现的问题</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_Toc13757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30</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spacing w:line="312" w:lineRule="auto"/>
            <w:ind w:firstLine="440" w:firstLineChars="200"/>
            <w:jc w:val="both"/>
            <w:sectPr>
              <w:footerReference r:id="rId4" w:type="default"/>
              <w:pgSz w:w="11906" w:h="16838"/>
              <w:pgMar w:top="1440" w:right="1797" w:bottom="1191" w:left="1797" w:header="709" w:footer="709" w:gutter="0"/>
              <w:pgNumType w:start="1"/>
              <w:cols w:space="708" w:num="1"/>
              <w:docGrid w:linePitch="360" w:charSpace="0"/>
            </w:sectPr>
          </w:pPr>
          <w:r>
            <w:rPr>
              <w:rFonts w:asciiTheme="minorEastAsia" w:hAnsiTheme="minorEastAsia" w:eastAsiaTheme="minorEastAsia"/>
              <w:szCs w:val="24"/>
            </w:rPr>
            <w:fldChar w:fldCharType="end"/>
          </w:r>
        </w:p>
      </w:sdtContent>
    </w:sdt>
    <w:p>
      <w:pPr>
        <w:pStyle w:val="3"/>
        <w:spacing w:line="540" w:lineRule="exact"/>
        <w:jc w:val="center"/>
        <w:rPr>
          <w:rFonts w:ascii="黑体" w:hAnsi="黑体"/>
          <w:b w:val="0"/>
        </w:rPr>
      </w:pPr>
      <w:bookmarkStart w:id="0" w:name="_Toc25184"/>
      <w:r>
        <w:rPr>
          <w:rFonts w:hint="eastAsia" w:ascii="黑体" w:hAnsi="黑体"/>
          <w:b w:val="0"/>
        </w:rPr>
        <w:t>第一部分   摘  要</w:t>
      </w:r>
      <w:bookmarkEnd w:id="0"/>
    </w:p>
    <w:p>
      <w:pPr>
        <w:spacing w:after="0" w:line="58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为深入贯彻落实中共中央国务院《关于全面实施预算绩效管理的意见》、中共河北省委河北省人民政府《关于全面实施预算绩效管理的实施意见》、河北省财政厅《全面实施预算绩效管理推进工作方案》的精神，进一步加强和规范预算绩效运行监控工作，确保绩效目标如期保质保量实现，提高预算执行效率和财政资金使用效益，我单位对2019年部门整体支出情况开展了绩效自评价工作。</w:t>
      </w:r>
    </w:p>
    <w:p>
      <w:pPr>
        <w:spacing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保定市徐水区民兵训练基地为副科级事业单位，经费保障形式为财政拨款，主要职责为贯彻</w:t>
      </w:r>
      <w:r>
        <w:rPr>
          <w:rFonts w:ascii="仿宋_GB2312" w:eastAsia="仿宋_GB2312" w:cs="DengXian-Regular"/>
          <w:sz w:val="32"/>
          <w:szCs w:val="32"/>
        </w:rPr>
        <w:t>“</w:t>
      </w:r>
      <w:r>
        <w:rPr>
          <w:rFonts w:hint="eastAsia" w:ascii="仿宋_GB2312" w:eastAsia="仿宋_GB2312" w:cs="DengXian-Regular"/>
          <w:sz w:val="32"/>
          <w:szCs w:val="32"/>
        </w:rPr>
        <w:t>严格训练、严格要求</w:t>
      </w:r>
      <w:r>
        <w:rPr>
          <w:rFonts w:ascii="仿宋_GB2312" w:eastAsia="仿宋_GB2312" w:cs="DengXian-Regular"/>
          <w:sz w:val="32"/>
          <w:szCs w:val="32"/>
        </w:rPr>
        <w:t>”</w:t>
      </w:r>
      <w:r>
        <w:rPr>
          <w:rFonts w:hint="eastAsia" w:ascii="仿宋_GB2312" w:eastAsia="仿宋_GB2312" w:cs="DengXian-Regular"/>
          <w:sz w:val="32"/>
          <w:szCs w:val="32"/>
        </w:rPr>
        <w:t>的方针，坚持规范化训练，保证完成上级赋予的人武干部、专武干部和民兵的训练任务。因地制宜地抓好民兵组训等工作，充分发挥民兵职能作用。实行科学管理，建立健全教育训练、生产经营和场地、设备器材管理等项规章制度，明确各类人员职责，实行岗位责任制，使设施、物资、场地和器材经常保持良好状态。完成区委、区政府、人武部交办的其他各项工作任务。</w:t>
      </w:r>
    </w:p>
    <w:p>
      <w:pPr>
        <w:spacing w:after="0" w:line="58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评价是制定科学合理的评价方法、评价标准和指标体系，对财政资金的使用及产生的效益进行客观、公正的评价。通过部门整体支出绩效评价工作了解部门绩效目标和指标的设置及完成情况；部门整体资金预算情况、实际收支及结转结余情况；部门履职对社会发展所带来的直接或间接影响及服务对象对部门履职效果的满意程度，促使相关部门根据绩效评价过程中发现的问题，及时整改并总结经验，提高部门管理水平，牢固树立预算绩效理念，强化部门支出责任，提高预算执行效率和财政资金使用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评价工作经过了前期准备、绩效评价实施方案和指标体系制定、组织实施、绩效评价报告撰写四个阶段。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按照中共河北省委河北省人民政府《关于全面实施预算绩效管理的实施意见》的相关规定，以河北省财政厅《全面实施预算绩效管理推进工作方案》、《保定市徐水区部门预算绩效运行监控工作规程》中的相关工作要求作为评价标准，采取定量和定性评价相结合的方法，对资料进行审核、分析，实事求是、客观公正地完成了保定市徐水区民兵训练基地2019年部门整体支出绩效评价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保定市徐水区民兵训练基地2019年部门整体支出绩效评价指标体系共设置4个一级指标、7个二级指标、27个三级指标，从投入、过程、产出、效果四个方面对保定市徐水区民兵训练基地部门整体支出情况评分定级。指标体系设定满分为100分，绩效评价分值≥90为“优”；80≤分值＜90为“良”；60≤分值＜80为“合格”；60分以下为“差”。</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保定市徐水区民兵训练基地2019年部门整体支出综合评价得分为97分，评价等级为“优”。</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评价，保定市徐水区民兵训练基地2019年部门预算编制完整性、项目预算细化率、在职人员控制率、收入完成率、财政拨款支出完成率、“三公经费”控制率、资金使用合规性、决算真实性、管理制度健全性、预决算信息公开、资产管理规范性、绩效自评覆盖率、绩效评价优等率、结转结余率、部门整体效益等指标完成情况较好。</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通过本次绩效评价工作，发现我单位在以下几个方面存在一些不足之处，具体如下：</w:t>
      </w:r>
    </w:p>
    <w:p>
      <w:pPr>
        <w:spacing w:after="0" w:line="360" w:lineRule="auto"/>
        <w:ind w:firstLine="640" w:firstLineChars="200"/>
        <w:jc w:val="both"/>
        <w:textAlignment w:val="baseline"/>
        <w:rPr>
          <w:rFonts w:ascii="仿宋" w:hAnsi="仿宋" w:eastAsia="仿宋" w:cs="DengXian-Regular"/>
          <w:sz w:val="32"/>
          <w:szCs w:val="32"/>
        </w:rPr>
      </w:pPr>
      <w:r>
        <w:rPr>
          <w:rFonts w:hint="eastAsia" w:ascii="仿宋" w:hAnsi="仿宋" w:eastAsia="仿宋" w:cs="DengXian-Regular"/>
          <w:sz w:val="32"/>
          <w:szCs w:val="32"/>
        </w:rPr>
        <w:t>1.绩效指标方面</w:t>
      </w:r>
    </w:p>
    <w:p>
      <w:pPr>
        <w:spacing w:after="0" w:line="360" w:lineRule="auto"/>
        <w:ind w:firstLine="640" w:firstLineChars="200"/>
        <w:jc w:val="both"/>
        <w:textAlignment w:val="baseline"/>
        <w:rPr>
          <w:rFonts w:ascii="仿宋" w:hAnsi="仿宋" w:eastAsia="仿宋" w:cs="DengXian-Regular"/>
          <w:sz w:val="32"/>
          <w:szCs w:val="32"/>
        </w:rPr>
      </w:pPr>
      <w:r>
        <w:rPr>
          <w:rFonts w:hint="eastAsia" w:ascii="仿宋" w:hAnsi="仿宋" w:eastAsia="仿宋" w:cs="DengXian-Regular"/>
          <w:sz w:val="32"/>
          <w:szCs w:val="32"/>
        </w:rPr>
        <w:t>2.预算决算比较</w:t>
      </w:r>
    </w:p>
    <w:p>
      <w:pPr>
        <w:spacing w:after="0" w:line="360" w:lineRule="auto"/>
        <w:ind w:firstLine="640" w:firstLineChars="200"/>
        <w:jc w:val="both"/>
        <w:textAlignment w:val="baseline"/>
        <w:rPr>
          <w:rFonts w:ascii="仿宋" w:hAnsi="仿宋" w:eastAsia="仿宋" w:cs="DengXian-Regular"/>
          <w:sz w:val="32"/>
          <w:szCs w:val="32"/>
        </w:rPr>
      </w:pPr>
      <w:r>
        <w:rPr>
          <w:rFonts w:hint="eastAsia" w:ascii="仿宋" w:hAnsi="仿宋" w:eastAsia="仿宋" w:cs="DengXian-Regular"/>
          <w:sz w:val="32"/>
          <w:szCs w:val="32"/>
        </w:rPr>
        <w:t>3.预算追加方面</w:t>
      </w:r>
    </w:p>
    <w:p>
      <w:pPr>
        <w:spacing w:after="0" w:line="360" w:lineRule="auto"/>
        <w:ind w:firstLine="640" w:firstLineChars="200"/>
        <w:jc w:val="both"/>
        <w:textAlignment w:val="baseline"/>
        <w:rPr>
          <w:rFonts w:ascii="仿宋" w:hAnsi="仿宋" w:eastAsia="仿宋" w:cs="DengXian-Regular"/>
          <w:sz w:val="32"/>
          <w:szCs w:val="32"/>
        </w:rPr>
      </w:pPr>
      <w:r>
        <w:rPr>
          <w:rFonts w:hint="eastAsia" w:ascii="仿宋" w:hAnsi="仿宋" w:eastAsia="仿宋" w:cs="DengXian-Regular"/>
          <w:sz w:val="32"/>
          <w:szCs w:val="32"/>
        </w:rPr>
        <w:t>4.项目资金使用率</w:t>
      </w:r>
    </w:p>
    <w:p>
      <w:pPr>
        <w:spacing w:after="0" w:line="360" w:lineRule="auto"/>
        <w:ind w:firstLine="640" w:firstLineChars="200"/>
        <w:jc w:val="both"/>
        <w:textAlignment w:val="baseline"/>
        <w:rPr>
          <w:rFonts w:ascii="仿宋" w:hAnsi="仿宋" w:eastAsia="仿宋" w:cs="DengXian-Regular"/>
          <w:sz w:val="32"/>
          <w:szCs w:val="32"/>
        </w:rPr>
      </w:pPr>
      <w:r>
        <w:rPr>
          <w:rFonts w:hint="eastAsia" w:ascii="仿宋" w:hAnsi="仿宋" w:eastAsia="仿宋" w:cs="DengXian-Regular"/>
          <w:sz w:val="32"/>
          <w:szCs w:val="32"/>
        </w:rPr>
        <w:t>5.部分基础数据信息方面</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针对此次绩效评价过程中发现的问题，我们建议：</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1.增强绩效指标设置的明确性</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工作活动、预算项目绩效指标应当清晰、可评价、可衡量。建议在设置职责活动绩效指标时，将绩效目标细化分解为具体的工作任务数，从而使绩效目标可量化，便于对目标实现情况进行考核。</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2.提高预算编制质量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部门预算编制工作要全面反映和体现部门职责，根据具体情况及时调整预算的编制，缩小预算与决算差额，减少中期预算追加，提高预算编制质量，发挥预算约束作用。</w:t>
      </w:r>
    </w:p>
    <w:p>
      <w:pPr>
        <w:spacing w:after="0" w:line="360" w:lineRule="auto"/>
        <w:ind w:firstLine="640" w:firstLineChars="200"/>
        <w:jc w:val="both"/>
        <w:textAlignment w:val="baseline"/>
        <w:rPr>
          <w:rFonts w:ascii="仿宋" w:hAnsi="仿宋" w:eastAsia="仿宋" w:cs="DengXian-Regular"/>
          <w:sz w:val="32"/>
          <w:szCs w:val="32"/>
        </w:rPr>
      </w:pPr>
      <w:r>
        <w:rPr>
          <w:rFonts w:hint="eastAsia" w:ascii="仿宋_GB2312" w:eastAsia="仿宋_GB2312" w:cs="DengXian-Regular"/>
          <w:sz w:val="32"/>
          <w:szCs w:val="32"/>
        </w:rPr>
        <w:t>3.</w:t>
      </w:r>
      <w:r>
        <w:rPr>
          <w:rFonts w:hint="eastAsia" w:ascii="仿宋" w:hAnsi="仿宋" w:eastAsia="仿宋" w:cs="DengXian-Regular"/>
          <w:sz w:val="32"/>
          <w:szCs w:val="32"/>
        </w:rPr>
        <w:t>提高项目资金使用率</w:t>
      </w:r>
    </w:p>
    <w:p>
      <w:pPr>
        <w:spacing w:after="0" w:line="360" w:lineRule="auto"/>
        <w:ind w:firstLine="640" w:firstLineChars="200"/>
        <w:jc w:val="both"/>
        <w:textAlignment w:val="baseline"/>
        <w:rPr>
          <w:rFonts w:ascii="仿宋" w:hAnsi="仿宋" w:eastAsia="仿宋" w:cs="Times New Roman"/>
          <w:sz w:val="32"/>
          <w:szCs w:val="32"/>
          <w:u w:color="000000"/>
        </w:rPr>
      </w:pPr>
      <w:r>
        <w:rPr>
          <w:rFonts w:hint="eastAsia" w:ascii="仿宋" w:hAnsi="仿宋" w:eastAsia="仿宋" w:cs="Times New Roman"/>
          <w:sz w:val="32"/>
          <w:szCs w:val="32"/>
          <w:u w:color="000000"/>
        </w:rPr>
        <w:t>建议</w:t>
      </w:r>
      <w:r>
        <w:rPr>
          <w:rFonts w:hint="eastAsia" w:ascii="仿宋_GB2312" w:eastAsia="仿宋_GB2312" w:cs="DengXian-Regular"/>
          <w:sz w:val="32"/>
          <w:szCs w:val="32"/>
        </w:rPr>
        <w:t>保定市徐水区民兵训练基地</w:t>
      </w:r>
      <w:r>
        <w:rPr>
          <w:rFonts w:hint="eastAsia" w:ascii="仿宋" w:hAnsi="仿宋" w:eastAsia="仿宋" w:cs="Times New Roman"/>
          <w:sz w:val="32"/>
          <w:szCs w:val="32"/>
          <w:u w:color="000000"/>
        </w:rPr>
        <w:t>对项目资金进行梳理，督促项目进度和资金拨付进度，</w:t>
      </w:r>
      <w:r>
        <w:rPr>
          <w:rFonts w:hint="eastAsia" w:ascii="仿宋_GB2312" w:eastAsia="仿宋_GB2312" w:cs="Times New Roman" w:hAnsiTheme="minorEastAsia"/>
          <w:sz w:val="32"/>
          <w:szCs w:val="32"/>
          <w:u w:color="000000"/>
        </w:rPr>
        <w:t>提</w:t>
      </w:r>
      <w:r>
        <w:rPr>
          <w:rFonts w:ascii="仿宋_GB2312" w:eastAsia="仿宋_GB2312" w:cs="Times New Roman" w:hAnsiTheme="minorEastAsia"/>
          <w:sz w:val="32"/>
          <w:szCs w:val="32"/>
          <w:u w:color="000000"/>
        </w:rPr>
        <w:t>高资金使用效益</w:t>
      </w:r>
      <w:r>
        <w:rPr>
          <w:rFonts w:hint="eastAsia" w:ascii="仿宋_GB2312" w:eastAsia="仿宋_GB2312" w:cs="Times New Roman" w:hAnsiTheme="minorEastAsia"/>
          <w:sz w:val="32"/>
          <w:szCs w:val="32"/>
          <w:u w:color="000000"/>
        </w:rPr>
        <w:t>。</w:t>
      </w:r>
    </w:p>
    <w:p>
      <w:pPr>
        <w:spacing w:after="0" w:line="360" w:lineRule="auto"/>
        <w:ind w:firstLine="640" w:firstLineChars="200"/>
        <w:jc w:val="both"/>
        <w:textAlignment w:val="baseline"/>
        <w:rPr>
          <w:rFonts w:ascii="仿宋_GB2312" w:eastAsia="仿宋_GB2312" w:cs="DengXian-Regular"/>
          <w:sz w:val="32"/>
          <w:szCs w:val="32"/>
        </w:rPr>
      </w:pPr>
      <w:bookmarkStart w:id="1" w:name="_Toc4346"/>
      <w:r>
        <w:rPr>
          <w:rFonts w:hint="eastAsia" w:ascii="仿宋_GB2312" w:eastAsia="仿宋_GB2312" w:cs="DengXian-Regular"/>
          <w:sz w:val="32"/>
          <w:szCs w:val="32"/>
        </w:rPr>
        <w:t>4</w:t>
      </w:r>
      <w:r>
        <w:rPr>
          <w:rFonts w:ascii="仿宋_GB2312" w:eastAsia="仿宋_GB2312" w:cs="DengXian-Regular"/>
          <w:sz w:val="32"/>
          <w:szCs w:val="32"/>
        </w:rPr>
        <w:t>.完善基础信息管理</w:t>
      </w:r>
    </w:p>
    <w:p>
      <w:pPr>
        <w:spacing w:after="0" w:line="360" w:lineRule="auto"/>
        <w:ind w:firstLine="640" w:firstLineChars="200"/>
        <w:jc w:val="both"/>
        <w:textAlignment w:val="baseline"/>
        <w:rPr>
          <w:rFonts w:ascii="仿宋_GB2312" w:eastAsia="仿宋_GB2312" w:cs="DengXian-Regular"/>
          <w:sz w:val="32"/>
          <w:szCs w:val="32"/>
        </w:rPr>
      </w:pPr>
      <w:r>
        <w:rPr>
          <w:rFonts w:ascii="仿宋_GB2312" w:eastAsia="仿宋_GB2312" w:cs="DengXian-Regular"/>
          <w:sz w:val="32"/>
          <w:szCs w:val="32"/>
        </w:rPr>
        <w:t>建议严格按照档案管理的相关规定对基础数据信息档案资料及时归档保存，保证项目资料的完整性和可查阅性。</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5.预算安排建议</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项目资金方面：</w:t>
      </w:r>
      <w:r>
        <w:rPr>
          <w:rFonts w:ascii="仿宋_GB2312" w:eastAsia="仿宋_GB2312" w:cs="DengXian-Regular"/>
          <w:sz w:val="32"/>
          <w:szCs w:val="32"/>
        </w:rPr>
        <w:t>项目资金根据实际情况予以保持。</w:t>
      </w:r>
    </w:p>
    <w:p>
      <w:pPr>
        <w:spacing w:after="0" w:line="360" w:lineRule="auto"/>
        <w:ind w:firstLine="640" w:firstLineChars="200"/>
        <w:jc w:val="both"/>
        <w:textAlignment w:val="baseline"/>
        <w:rPr>
          <w:rFonts w:ascii="仿宋_GB2312" w:eastAsia="仿宋_GB2312" w:cs="DengXian-Regular"/>
          <w:sz w:val="32"/>
          <w:szCs w:val="32"/>
        </w:rPr>
      </w:pPr>
    </w:p>
    <w:p>
      <w:pPr>
        <w:spacing w:after="0" w:line="360" w:lineRule="auto"/>
        <w:ind w:firstLine="640" w:firstLineChars="200"/>
        <w:jc w:val="both"/>
        <w:textAlignment w:val="baseline"/>
        <w:rPr>
          <w:rFonts w:ascii="仿宋_GB2312" w:eastAsia="仿宋_GB2312" w:cs="DengXian-Regular"/>
          <w:sz w:val="32"/>
          <w:szCs w:val="32"/>
        </w:rPr>
      </w:pPr>
    </w:p>
    <w:p>
      <w:pPr>
        <w:spacing w:after="0" w:line="360" w:lineRule="auto"/>
        <w:ind w:firstLine="640" w:firstLineChars="200"/>
        <w:jc w:val="both"/>
        <w:textAlignment w:val="baseline"/>
        <w:rPr>
          <w:rFonts w:ascii="仿宋_GB2312" w:eastAsia="仿宋_GB2312" w:cs="DengXian-Regular"/>
          <w:sz w:val="32"/>
          <w:szCs w:val="32"/>
        </w:rPr>
      </w:pPr>
    </w:p>
    <w:p>
      <w:pPr>
        <w:spacing w:after="0" w:line="360" w:lineRule="auto"/>
        <w:ind w:firstLine="640" w:firstLineChars="200"/>
        <w:jc w:val="both"/>
        <w:textAlignment w:val="baseline"/>
        <w:rPr>
          <w:rFonts w:ascii="仿宋_GB2312" w:eastAsia="仿宋_GB2312" w:cs="DengXian-Regular"/>
          <w:sz w:val="32"/>
          <w:szCs w:val="32"/>
        </w:rPr>
      </w:pPr>
    </w:p>
    <w:p>
      <w:pPr>
        <w:spacing w:after="0" w:line="360" w:lineRule="auto"/>
        <w:ind w:firstLine="640" w:firstLineChars="200"/>
        <w:jc w:val="both"/>
        <w:textAlignment w:val="baseline"/>
        <w:rPr>
          <w:rFonts w:ascii="仿宋_GB2312" w:eastAsia="仿宋_GB2312" w:cs="DengXian-Regular"/>
          <w:sz w:val="32"/>
          <w:szCs w:val="32"/>
        </w:rPr>
      </w:pPr>
    </w:p>
    <w:p>
      <w:pPr>
        <w:spacing w:after="0" w:line="360" w:lineRule="auto"/>
        <w:ind w:firstLine="640" w:firstLineChars="200"/>
        <w:jc w:val="both"/>
        <w:textAlignment w:val="baseline"/>
        <w:rPr>
          <w:rFonts w:ascii="仿宋_GB2312" w:eastAsia="仿宋_GB2312" w:cs="DengXian-Regular"/>
          <w:sz w:val="32"/>
          <w:szCs w:val="32"/>
        </w:rPr>
      </w:pPr>
    </w:p>
    <w:p>
      <w:pPr>
        <w:spacing w:after="0" w:line="360" w:lineRule="auto"/>
        <w:ind w:firstLine="640" w:firstLineChars="200"/>
        <w:jc w:val="both"/>
        <w:textAlignment w:val="baseline"/>
        <w:rPr>
          <w:rFonts w:ascii="仿宋_GB2312" w:eastAsia="仿宋_GB2312" w:cs="DengXian-Regular"/>
          <w:sz w:val="32"/>
          <w:szCs w:val="32"/>
        </w:rPr>
      </w:pPr>
    </w:p>
    <w:p>
      <w:pPr>
        <w:spacing w:after="0" w:line="360" w:lineRule="auto"/>
        <w:ind w:firstLine="640" w:firstLineChars="200"/>
        <w:jc w:val="both"/>
        <w:textAlignment w:val="baseline"/>
        <w:rPr>
          <w:rFonts w:ascii="仿宋_GB2312" w:eastAsia="仿宋_GB2312" w:cs="DengXian-Regular"/>
          <w:sz w:val="32"/>
          <w:szCs w:val="32"/>
        </w:rPr>
      </w:pPr>
    </w:p>
    <w:p>
      <w:pPr>
        <w:pStyle w:val="3"/>
        <w:spacing w:line="540" w:lineRule="exact"/>
        <w:jc w:val="center"/>
        <w:rPr>
          <w:rFonts w:ascii="黑体" w:hAnsi="黑体"/>
          <w:b w:val="0"/>
        </w:rPr>
      </w:pPr>
      <w:r>
        <w:rPr>
          <w:rFonts w:hint="eastAsia" w:ascii="黑体" w:hAnsi="黑体"/>
          <w:b w:val="0"/>
        </w:rPr>
        <w:t>第二部分   绩效评价报告</w:t>
      </w:r>
      <w:bookmarkEnd w:id="1"/>
    </w:p>
    <w:p>
      <w:pPr>
        <w:pStyle w:val="3"/>
        <w:spacing w:before="0" w:after="0" w:line="360" w:lineRule="auto"/>
        <w:ind w:firstLine="643" w:firstLineChars="200"/>
        <w:rPr>
          <w:rFonts w:ascii="楷体" w:hAnsi="楷体" w:eastAsia="楷体" w:cs="楷体"/>
        </w:rPr>
      </w:pPr>
      <w:bookmarkStart w:id="2" w:name="_Toc492652763"/>
      <w:bookmarkStart w:id="3" w:name="_Toc427"/>
      <w:r>
        <w:rPr>
          <w:rFonts w:hint="eastAsia" w:ascii="楷体" w:hAnsi="楷体" w:eastAsia="楷体" w:cs="楷体"/>
        </w:rPr>
        <w:t>一、保定市徐水区民兵训练基地基本情况</w:t>
      </w:r>
      <w:bookmarkEnd w:id="2"/>
      <w:bookmarkEnd w:id="3"/>
      <w:bookmarkStart w:id="4" w:name="_Toc492652764"/>
    </w:p>
    <w:p>
      <w:pPr>
        <w:pStyle w:val="4"/>
        <w:spacing w:before="0" w:after="0"/>
        <w:ind w:firstLine="643" w:firstLineChars="200"/>
        <w:jc w:val="both"/>
        <w:rPr>
          <w:rFonts w:ascii="仿宋_GB2312" w:hAnsi="Tahoma" w:cs="DengXian-Regular"/>
          <w:sz w:val="32"/>
        </w:rPr>
      </w:pPr>
      <w:bookmarkStart w:id="5" w:name="_Toc11473"/>
      <w:r>
        <w:rPr>
          <w:rFonts w:hint="eastAsia" w:ascii="仿宋_GB2312" w:hAnsi="Tahoma" w:cs="DengXian-Regular"/>
          <w:sz w:val="32"/>
        </w:rPr>
        <w:t>（一）部门职责和工作活动</w:t>
      </w:r>
      <w:bookmarkEnd w:id="4"/>
      <w:bookmarkEnd w:id="5"/>
    </w:p>
    <w:p>
      <w:pPr>
        <w:pStyle w:val="66"/>
        <w:spacing w:line="360" w:lineRule="auto"/>
        <w:ind w:firstLine="640" w:firstLineChars="200"/>
        <w:rPr>
          <w:rFonts w:ascii="仿宋_GB2312" w:hAnsi="Tahoma" w:eastAsia="仿宋_GB2312" w:cs="DengXian-Regular"/>
          <w:kern w:val="0"/>
          <w:sz w:val="32"/>
          <w:szCs w:val="32"/>
        </w:rPr>
      </w:pPr>
      <w:r>
        <w:rPr>
          <w:rFonts w:hint="eastAsia" w:ascii="仿宋_GB2312" w:hAnsi="Tahoma" w:eastAsia="仿宋_GB2312" w:cs="DengXian-Regular"/>
          <w:kern w:val="0"/>
          <w:sz w:val="32"/>
          <w:szCs w:val="32"/>
        </w:rPr>
        <w:t>根据保定市徐水区机构编制委员会文件，关于印发《保定市徐水区民兵训练基地主要职责内设机构和人员控制数规定》的通知，保定市徐水区民兵训练基地为区政府工作部门，副科级单位。保定市徐水区民兵训练基地根据绩效预算管理改革的相关要求，按照“部门职责—工作活动绩效目标”的层级设立了绩效预算架构，职责活动包括</w:t>
      </w:r>
      <w:bookmarkStart w:id="6" w:name="_Toc465149499"/>
      <w:bookmarkStart w:id="7" w:name="_Toc492652765"/>
      <w:r>
        <w:rPr>
          <w:rFonts w:ascii="仿宋_GB2312" w:hAnsi="Tahoma" w:eastAsia="仿宋_GB2312" w:cs="DengXian-Regular"/>
          <w:kern w:val="0"/>
          <w:sz w:val="32"/>
          <w:szCs w:val="32"/>
        </w:rPr>
        <w:t>对全区人民武装干部、专职武装干部和基干民兵教育训练，加强后备力量建设，培养“劳武”两用人才。根据上级要求，认真制定基干民兵和专武干部培训计划和方案，严格组织人员按质按量完成训练任务。保证装备器材的良好状态，随时执行紧急拉动和应急任务。严格落实装备器材管理各项规章制度，经常性对装备器材进行保养，保持装备器材性能完好。使装备器材时刻保持性能完好，经常性持装备器材进行演练。</w:t>
      </w:r>
    </w:p>
    <w:p>
      <w:pPr>
        <w:pStyle w:val="4"/>
        <w:spacing w:before="0" w:after="0"/>
        <w:ind w:firstLine="643" w:firstLineChars="200"/>
        <w:jc w:val="both"/>
        <w:rPr>
          <w:rFonts w:ascii="仿宋_GB2312" w:hAnsi="Tahoma" w:cs="DengXian-Regular"/>
          <w:sz w:val="32"/>
        </w:rPr>
      </w:pPr>
      <w:bookmarkStart w:id="8" w:name="_Toc7075"/>
      <w:r>
        <w:rPr>
          <w:rFonts w:hint="eastAsia" w:ascii="仿宋_GB2312" w:hAnsi="Tahoma" w:cs="DengXian-Regular"/>
          <w:sz w:val="32"/>
        </w:rPr>
        <w:t>（二）</w:t>
      </w:r>
      <w:bookmarkEnd w:id="6"/>
      <w:r>
        <w:rPr>
          <w:rFonts w:hint="eastAsia" w:ascii="仿宋_GB2312" w:hAnsi="Tahoma" w:cs="DengXian-Regular"/>
          <w:sz w:val="32"/>
        </w:rPr>
        <w:t>部门年度发展规划总体目标和职责分类绩效目标</w:t>
      </w:r>
      <w:bookmarkEnd w:id="7"/>
      <w:bookmarkEnd w:id="8"/>
    </w:p>
    <w:p>
      <w:pPr>
        <w:pStyle w:val="66"/>
        <w:spacing w:line="360" w:lineRule="auto"/>
        <w:ind w:firstLine="640" w:firstLineChars="200"/>
        <w:rPr>
          <w:rFonts w:ascii="仿宋_GB2312" w:hAnsi="Tahoma" w:eastAsia="仿宋_GB2312" w:cs="DengXian-Regular"/>
          <w:kern w:val="0"/>
          <w:sz w:val="32"/>
          <w:szCs w:val="32"/>
        </w:rPr>
      </w:pPr>
      <w:r>
        <w:rPr>
          <w:rFonts w:hint="eastAsia" w:ascii="仿宋_GB2312" w:hAnsi="Tahoma" w:eastAsia="仿宋_GB2312" w:cs="DengXian-Regular"/>
          <w:kern w:val="0"/>
          <w:sz w:val="32"/>
          <w:szCs w:val="32"/>
        </w:rPr>
        <w:t>按照2019年绩效预算编制要求，保定市徐水区民兵训练基地设置的年度发展规划总体目标为：</w:t>
      </w:r>
    </w:p>
    <w:p>
      <w:pPr>
        <w:spacing w:line="360" w:lineRule="auto"/>
        <w:ind w:firstLine="560"/>
        <w:rPr>
          <w:rFonts w:ascii="仿宋_GB2312" w:eastAsia="仿宋_GB2312" w:cs="DengXian-Regular"/>
          <w:sz w:val="32"/>
          <w:szCs w:val="32"/>
        </w:rPr>
      </w:pPr>
      <w:r>
        <w:rPr>
          <w:rFonts w:hint="eastAsia" w:ascii="仿宋_GB2312" w:eastAsia="仿宋_GB2312" w:cs="DengXian-Regular"/>
          <w:sz w:val="32"/>
          <w:szCs w:val="32"/>
        </w:rPr>
        <w:t>为充分履行我单位部门职责，达到上述绩效目标要求，认真制定基干民兵和专武干部培训计划和方案，严格组织人员按质按量完成训练任务。并保证年度发展规划目标的顺利实现，使装备器材时刻保持性能完好，经常性保持装备器材进行演练。</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职责分类绩效目标为：</w:t>
      </w:r>
    </w:p>
    <w:p>
      <w:pPr>
        <w:pStyle w:val="66"/>
        <w:spacing w:line="360" w:lineRule="auto"/>
        <w:ind w:firstLine="640" w:firstLineChars="200"/>
        <w:rPr>
          <w:rFonts w:ascii="仿宋_GB2312" w:hAnsi="Tahoma" w:eastAsia="仿宋_GB2312" w:cs="DengXian-Regular"/>
          <w:kern w:val="0"/>
          <w:sz w:val="32"/>
          <w:szCs w:val="32"/>
        </w:rPr>
      </w:pPr>
      <w:bookmarkStart w:id="9" w:name="_Toc1678"/>
      <w:bookmarkStart w:id="10" w:name="_Toc465149500"/>
      <w:bookmarkStart w:id="11" w:name="_Toc492652766"/>
      <w:r>
        <w:rPr>
          <w:rFonts w:hint="eastAsia" w:ascii="仿宋_GB2312" w:hAnsi="Tahoma" w:eastAsia="仿宋_GB2312" w:cs="DengXian-Regular"/>
          <w:kern w:val="0"/>
          <w:sz w:val="32"/>
          <w:szCs w:val="32"/>
        </w:rPr>
        <w:t>1.</w:t>
      </w:r>
      <w:r>
        <w:rPr>
          <w:rFonts w:ascii="方正书宋_GBK" w:eastAsia="方正书宋_GBK"/>
        </w:rPr>
        <w:t xml:space="preserve"> </w:t>
      </w:r>
      <w:r>
        <w:rPr>
          <w:rFonts w:ascii="仿宋_GB2312" w:hAnsi="Tahoma" w:eastAsia="仿宋_GB2312" w:cs="DengXian-Regular"/>
          <w:kern w:val="0"/>
          <w:sz w:val="32"/>
          <w:szCs w:val="32"/>
        </w:rPr>
        <w:t>贯彻“严格训练、严格要求”的方针，坚持规范训练，保证完成上级赋予人武干部、专武干部和基干民兵的轮训任务。因地制宜地抓好专业人才培训，充分发挥其战备效益和社会效益。实施岗位责任制，使设施、物资、场地和器材经常保持良好状态。</w:t>
      </w:r>
    </w:p>
    <w:p>
      <w:pPr>
        <w:pStyle w:val="66"/>
        <w:spacing w:line="360" w:lineRule="auto"/>
        <w:ind w:firstLine="640" w:firstLineChars="200"/>
        <w:rPr>
          <w:rFonts w:ascii="仿宋_GB2312" w:hAnsi="Tahoma" w:eastAsia="仿宋_GB2312" w:cs="DengXian-Regular"/>
          <w:kern w:val="0"/>
          <w:sz w:val="32"/>
          <w:szCs w:val="32"/>
        </w:rPr>
      </w:pPr>
      <w:r>
        <w:rPr>
          <w:rFonts w:hint="eastAsia" w:ascii="仿宋_GB2312" w:hAnsi="Tahoma" w:eastAsia="仿宋_GB2312" w:cs="DengXian-Regular"/>
          <w:kern w:val="0"/>
          <w:sz w:val="32"/>
          <w:szCs w:val="32"/>
        </w:rPr>
        <w:t>2.</w:t>
      </w:r>
      <w:r>
        <w:rPr>
          <w:rFonts w:ascii="仿宋_GB2312" w:hAnsi="Tahoma" w:eastAsia="仿宋_GB2312" w:cs="DengXian-Regular"/>
          <w:kern w:val="0"/>
          <w:sz w:val="32"/>
          <w:szCs w:val="32"/>
        </w:rPr>
        <w:t xml:space="preserve"> 根据上级要求，认真制定基干民兵和专武干部培训计划和方案，严格组织人员按质按量完成训练任务。保证装备器材的良好状态，随时执行紧急拉动和应急任务。</w:t>
      </w:r>
    </w:p>
    <w:p>
      <w:pPr>
        <w:pStyle w:val="66"/>
        <w:spacing w:line="360" w:lineRule="auto"/>
        <w:ind w:firstLine="640" w:firstLineChars="200"/>
        <w:rPr>
          <w:rFonts w:ascii="仿宋_GB2312" w:hAnsi="Tahoma" w:eastAsia="仿宋_GB2312" w:cs="DengXian-Regular"/>
          <w:kern w:val="0"/>
          <w:sz w:val="32"/>
          <w:szCs w:val="32"/>
        </w:rPr>
      </w:pPr>
      <w:r>
        <w:rPr>
          <w:rFonts w:hint="eastAsia" w:ascii="仿宋_GB2312" w:hAnsi="Tahoma" w:eastAsia="仿宋_GB2312" w:cs="DengXian-Regular"/>
          <w:kern w:val="0"/>
          <w:sz w:val="32"/>
          <w:szCs w:val="32"/>
        </w:rPr>
        <w:t>3.</w:t>
      </w:r>
      <w:r>
        <w:rPr>
          <w:rFonts w:ascii="仿宋_GB2312" w:hAnsi="Tahoma" w:eastAsia="仿宋_GB2312" w:cs="DengXian-Regular"/>
          <w:kern w:val="0"/>
          <w:sz w:val="32"/>
          <w:szCs w:val="32"/>
        </w:rPr>
        <w:t xml:space="preserve"> 实行科学管理，建立健全教育训练、生产经营和场地、设备、器材管理等项规章制度，明确各类人员职责，实行岗位责任制，使设施、物资、场地和器材保持良好状态。</w:t>
      </w:r>
    </w:p>
    <w:p>
      <w:pPr>
        <w:pStyle w:val="66"/>
        <w:spacing w:line="360" w:lineRule="auto"/>
        <w:ind w:firstLine="640" w:firstLineChars="200"/>
        <w:rPr>
          <w:rFonts w:ascii="仿宋_GB2312" w:hAnsi="Tahoma" w:eastAsia="仿宋_GB2312" w:cs="DengXian-Regular"/>
          <w:kern w:val="0"/>
          <w:sz w:val="32"/>
          <w:szCs w:val="32"/>
        </w:rPr>
      </w:pPr>
      <w:r>
        <w:rPr>
          <w:rFonts w:hint="eastAsia" w:ascii="仿宋_GB2312" w:hAnsi="Tahoma" w:eastAsia="仿宋_GB2312" w:cs="DengXian-Regular"/>
          <w:kern w:val="0"/>
          <w:sz w:val="32"/>
          <w:szCs w:val="32"/>
        </w:rPr>
        <w:t>4.</w:t>
      </w:r>
      <w:r>
        <w:rPr>
          <w:rFonts w:ascii="仿宋_GB2312" w:hAnsi="Tahoma" w:eastAsia="仿宋_GB2312" w:cs="DengXian-Regular"/>
          <w:kern w:val="0"/>
          <w:sz w:val="32"/>
          <w:szCs w:val="32"/>
        </w:rPr>
        <w:t xml:space="preserve"> 使装备器材时刻保持性能完好，经常性持装备器材进行演练。</w:t>
      </w:r>
    </w:p>
    <w:p>
      <w:pPr>
        <w:spacing w:after="0" w:line="360" w:lineRule="auto"/>
        <w:ind w:firstLine="640" w:firstLineChars="200"/>
        <w:jc w:val="both"/>
        <w:textAlignment w:val="baseline"/>
        <w:rPr>
          <w:rFonts w:ascii="仿宋_GB2312" w:eastAsia="仿宋_GB2312" w:cs="DengXian-Regular"/>
          <w:sz w:val="32"/>
          <w:szCs w:val="32"/>
        </w:rPr>
      </w:pPr>
    </w:p>
    <w:p>
      <w:pPr>
        <w:spacing w:after="0" w:line="360" w:lineRule="auto"/>
        <w:ind w:firstLine="640" w:firstLineChars="200"/>
        <w:jc w:val="both"/>
        <w:textAlignment w:val="baseline"/>
        <w:rPr>
          <w:rFonts w:ascii="仿宋_GB2312" w:eastAsia="仿宋_GB2312" w:cs="DengXian-Regular"/>
          <w:sz w:val="32"/>
          <w:szCs w:val="32"/>
        </w:rPr>
      </w:pP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（三）部门预算收入及决算收入</w:t>
      </w:r>
      <w:bookmarkEnd w:id="9"/>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2019年预算收入为267.24万元,其中：一般公共预算收入267.24万元，基金预算收入0万元，财政专户收入0万元，其他来源收0万元。预算收入按功能分类包含：一般公共服务支出235.73万元，社会保障和就业支出17.34万元，卫生健康支出5.46万元，住房保障支出8.71万元。具体预算收入详见附件2。</w:t>
      </w:r>
    </w:p>
    <w:p>
      <w:pPr>
        <w:spacing w:after="0" w:line="360" w:lineRule="auto"/>
        <w:ind w:firstLine="640" w:firstLineChars="200"/>
        <w:jc w:val="both"/>
        <w:textAlignment w:val="baseline"/>
        <w:rPr>
          <w:rFonts w:ascii="仿宋_GB2312" w:eastAsia="仿宋_GB2312" w:cs="DengXian-Regular"/>
          <w:color w:val="000000" w:themeColor="text1"/>
          <w:sz w:val="32"/>
          <w:szCs w:val="32"/>
          <w14:textFill>
            <w14:solidFill>
              <w14:schemeClr w14:val="tx1"/>
            </w14:solidFill>
          </w14:textFill>
        </w:rPr>
      </w:pPr>
      <w:r>
        <w:rPr>
          <w:rFonts w:hint="eastAsia" w:ascii="仿宋_GB2312" w:eastAsia="仿宋_GB2312" w:cs="DengXian-Regular"/>
          <w:sz w:val="32"/>
          <w:szCs w:val="32"/>
        </w:rPr>
        <w:t>2019年决算收入259.14万元，其中：财政拨款收入259.13万元，其他收入0.01万元（全部为利息收入）。决算收入按功能分类包含：一般公共服务支出226.7万元，</w:t>
      </w:r>
      <w:r>
        <w:rPr>
          <w:rFonts w:hint="eastAsia" w:ascii="仿宋_GB2312" w:eastAsia="仿宋_GB2312" w:cs="DengXian-Regular"/>
          <w:color w:val="000000" w:themeColor="text1"/>
          <w:sz w:val="32"/>
          <w:szCs w:val="32"/>
          <w14:textFill>
            <w14:solidFill>
              <w14:schemeClr w14:val="tx1"/>
            </w14:solidFill>
          </w14:textFill>
        </w:rPr>
        <w:t>占比86.9%；社会保障和就业支出21.13万元，占比8.1%；卫生健康支出4.39万元，占比1.7%；住房保障支出8.71万元，占比3.3%。具体决算收入详见附件2。决算收入结构如图1。</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图1 2019年度民兵训练基地决算收入结构图</w:t>
      </w:r>
    </w:p>
    <w:p>
      <w:pPr>
        <w:rPr>
          <w:rFonts w:asciiTheme="minorEastAsia" w:hAnsiTheme="minorEastAsia" w:eastAsiaTheme="minorEastAsia" w:cstheme="minorEastAsia"/>
          <w:sz w:val="32"/>
          <w:szCs w:val="32"/>
        </w:rPr>
      </w:pPr>
    </w:p>
    <w:p>
      <w:pPr>
        <w:spacing w:after="0" w:line="360" w:lineRule="auto"/>
        <w:jc w:val="center"/>
        <w:textAlignment w:val="baseline"/>
        <w:rPr>
          <w:rFonts w:ascii="仿宋_GB2312" w:eastAsia="仿宋_GB2312" w:cs="DengXian-Regular"/>
          <w:sz w:val="32"/>
          <w:szCs w:val="32"/>
        </w:rPr>
      </w:pPr>
      <w:r>
        <w:rPr>
          <w:rFonts w:ascii="仿宋_GB2312" w:eastAsia="仿宋_GB2312" w:cs="DengXian-Regular"/>
          <w:sz w:val="32"/>
          <w:szCs w:val="32"/>
        </w:rPr>
        <w:drawing>
          <wp:inline distT="0" distB="0" distL="0" distR="0">
            <wp:extent cx="5086350" cy="2381250"/>
            <wp:effectExtent l="0" t="0" r="0" b="0"/>
            <wp:docPr id="7"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徐水区民兵训练基地一般公共预算财政拨款决算收入比年初预算减少8.11万元，完成年初预算的96.97%。决算数小于预算数主要原因是落实</w:t>
      </w:r>
      <w:r>
        <w:rPr>
          <w:rFonts w:ascii="仿宋_GB2312" w:eastAsia="仿宋_GB2312" w:cs="DengXian-Regular"/>
          <w:sz w:val="32"/>
          <w:szCs w:val="32"/>
        </w:rPr>
        <w:t>中央八项规定，压减支出</w:t>
      </w:r>
      <w:r>
        <w:rPr>
          <w:rFonts w:hint="eastAsia" w:ascii="仿宋_GB2312" w:eastAsia="仿宋_GB2312" w:cs="DengXian-Regular"/>
          <w:sz w:val="32"/>
          <w:szCs w:val="32"/>
        </w:rPr>
        <w:t>。</w:t>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预算收入与决算收入对比情况见图2。</w:t>
      </w:r>
    </w:p>
    <w:p>
      <w:pPr>
        <w:spacing w:after="0" w:line="360" w:lineRule="auto"/>
        <w:jc w:val="center"/>
        <w:rPr>
          <w:rFonts w:asciiTheme="minorEastAsia" w:hAnsiTheme="minorEastAsia" w:eastAsiaTheme="minorEastAsia" w:cstheme="minorEastAsia"/>
          <w:b/>
          <w:color w:val="FF0000"/>
          <w:sz w:val="28"/>
          <w:szCs w:val="32"/>
          <w:u w:color="000000"/>
        </w:rPr>
      </w:pPr>
      <w:r>
        <w:rPr>
          <w:rFonts w:hint="eastAsia" w:asciiTheme="minorEastAsia" w:hAnsiTheme="minorEastAsia" w:eastAsiaTheme="minorEastAsia" w:cstheme="minorEastAsia"/>
          <w:b/>
          <w:sz w:val="32"/>
          <w:szCs w:val="32"/>
          <w:u w:color="000000"/>
        </w:rPr>
        <w:t xml:space="preserve">图2 </w:t>
      </w:r>
      <w:r>
        <w:rPr>
          <w:rFonts w:hint="eastAsia" w:asciiTheme="minorEastAsia" w:hAnsiTheme="minorEastAsia" w:eastAsiaTheme="minorEastAsia" w:cstheme="minorEastAsia"/>
          <w:b/>
          <w:sz w:val="28"/>
          <w:szCs w:val="32"/>
          <w:u w:color="000000"/>
        </w:rPr>
        <w:t>2019年度民兵训练基地预算收入与决算收入对比图</w:t>
      </w:r>
    </w:p>
    <w:p>
      <w:pPr>
        <w:spacing w:after="0" w:line="360" w:lineRule="auto"/>
        <w:jc w:val="center"/>
        <w:rPr>
          <w:rFonts w:ascii="仿宋_GB2312" w:eastAsia="仿宋_GB2312" w:cs="Times New Roman" w:hAnsiTheme="minorEastAsia"/>
          <w:bCs/>
          <w:sz w:val="32"/>
          <w:szCs w:val="32"/>
          <w:u w:color="000000"/>
        </w:rPr>
      </w:pPr>
      <w:r>
        <w:drawing>
          <wp:inline distT="0" distB="0" distL="0" distR="0">
            <wp:extent cx="5486400" cy="3475990"/>
            <wp:effectExtent l="0" t="0" r="19050" b="1016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t xml:space="preserve"> </w:t>
      </w:r>
    </w:p>
    <w:p>
      <w:pPr>
        <w:pStyle w:val="4"/>
        <w:spacing w:before="0" w:after="0"/>
        <w:ind w:firstLine="643" w:firstLineChars="200"/>
        <w:jc w:val="both"/>
        <w:rPr>
          <w:rFonts w:ascii="仿宋_GB2312" w:hAnsiTheme="minorEastAsia"/>
          <w:sz w:val="32"/>
        </w:rPr>
      </w:pPr>
      <w:bookmarkStart w:id="12" w:name="_Toc18197"/>
      <w:r>
        <w:rPr>
          <w:rFonts w:hint="eastAsia" w:ascii="仿宋_GB2312" w:hAnsiTheme="minorEastAsia"/>
          <w:sz w:val="32"/>
        </w:rPr>
        <w:t>（四）预算支出及决算</w:t>
      </w:r>
      <w:bookmarkEnd w:id="10"/>
      <w:bookmarkEnd w:id="11"/>
      <w:r>
        <w:rPr>
          <w:rFonts w:hint="eastAsia" w:ascii="仿宋_GB2312" w:hAnsiTheme="minorEastAsia"/>
          <w:sz w:val="32"/>
        </w:rPr>
        <w:t>支出</w:t>
      </w:r>
      <w:bookmarkEnd w:id="12"/>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DengXian-Regular"/>
          <w:sz w:val="32"/>
          <w:szCs w:val="32"/>
        </w:rPr>
        <w:t>2019年度保定市徐水区民兵训练基地</w:t>
      </w:r>
      <w:r>
        <w:rPr>
          <w:rFonts w:hint="eastAsia" w:ascii="仿宋_GB2312" w:eastAsia="仿宋_GB2312" w:cs="Times New Roman" w:hAnsiTheme="minorEastAsia"/>
          <w:sz w:val="32"/>
          <w:szCs w:val="32"/>
          <w:u w:color="000000"/>
        </w:rPr>
        <w:t>预算支出安排267.24万元，其中：基本支出147.24万元，项目支出120万元。预算支出按功能分类包含：</w:t>
      </w:r>
      <w:r>
        <w:rPr>
          <w:rFonts w:hint="eastAsia" w:ascii="仿宋_GB2312" w:eastAsia="仿宋_GB2312" w:cs="DengXian-Regular"/>
          <w:sz w:val="32"/>
          <w:szCs w:val="32"/>
        </w:rPr>
        <w:t>一般公共服务支出235.73万元，社会保障和就业支出17.34万元，卫生健康支出5.46万元，住房保障支出8.71万元。</w:t>
      </w:r>
      <w:r>
        <w:rPr>
          <w:rFonts w:hint="eastAsia" w:ascii="仿宋_GB2312" w:eastAsia="仿宋_GB2312" w:cs="Times New Roman" w:hAnsiTheme="minorEastAsia"/>
          <w:sz w:val="32"/>
          <w:szCs w:val="32"/>
          <w:u w:color="000000"/>
        </w:rPr>
        <w:t>具体预算支出详见附件2。</w:t>
      </w:r>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DengXian-Regular"/>
          <w:sz w:val="32"/>
          <w:szCs w:val="32"/>
        </w:rPr>
        <w:t>2019年度徐水区民兵训练基地</w:t>
      </w:r>
      <w:r>
        <w:rPr>
          <w:rFonts w:hint="eastAsia" w:ascii="仿宋_GB2312" w:eastAsia="仿宋_GB2312" w:cs="Times New Roman" w:hAnsiTheme="minorEastAsia"/>
          <w:sz w:val="32"/>
          <w:szCs w:val="32"/>
          <w:u w:color="000000"/>
        </w:rPr>
        <w:t>决算支出为260.93万元，其中：基本支出140.93万元，项目支出120万元。决算支出按功能分类包含：</w:t>
      </w:r>
      <w:r>
        <w:rPr>
          <w:rFonts w:hint="eastAsia" w:ascii="仿宋_GB2312" w:eastAsia="仿宋_GB2312" w:cs="DengXian-Regular"/>
          <w:sz w:val="32"/>
          <w:szCs w:val="32"/>
        </w:rPr>
        <w:t>一般公共服务支出226.7万元，占比86.88%；</w:t>
      </w:r>
      <w:r>
        <w:rPr>
          <w:rFonts w:hint="eastAsia" w:ascii="仿宋_GB2312" w:eastAsia="仿宋_GB2312" w:cs="Times New Roman" w:hAnsiTheme="minorEastAsia"/>
          <w:sz w:val="32"/>
          <w:szCs w:val="32"/>
          <w:u w:color="000000"/>
        </w:rPr>
        <w:t>社会保障和就业支出21.13万元，占比8.1%；卫生健康支出4.39万元，占比1.68%；住房保障支出8.71万元，占比3.34%。具体决算支出详见附件2。决算支出结构如图3。</w:t>
      </w:r>
    </w:p>
    <w:p>
      <w:pPr>
        <w:spacing w:after="0" w:line="360" w:lineRule="auto"/>
        <w:jc w:val="center"/>
      </w:pPr>
      <w:r>
        <w:rPr>
          <w:rFonts w:hint="eastAsia" w:asciiTheme="minorEastAsia" w:hAnsiTheme="minorEastAsia" w:eastAsiaTheme="minorEastAsia" w:cstheme="minorEastAsia"/>
          <w:b/>
          <w:bCs/>
          <w:sz w:val="32"/>
          <w:szCs w:val="32"/>
          <w:u w:color="000000"/>
        </w:rPr>
        <w:t xml:space="preserve">图3  </w:t>
      </w:r>
      <w:r>
        <w:rPr>
          <w:rFonts w:hint="eastAsia" w:ascii="仿宋_GB2312" w:eastAsia="仿宋_GB2312" w:cs="DengXian-Regular"/>
          <w:sz w:val="32"/>
          <w:szCs w:val="32"/>
        </w:rPr>
        <w:t xml:space="preserve">2019年度民兵训练基地决算支出结构图   </w:t>
      </w:r>
      <w:r>
        <w:rPr>
          <w:rFonts w:hint="eastAsia"/>
        </w:rPr>
        <w:t xml:space="preserve">       </w:t>
      </w:r>
    </w:p>
    <w:p>
      <w:pPr>
        <w:pStyle w:val="66"/>
        <w:spacing w:line="360" w:lineRule="auto"/>
        <w:ind w:left="106" w:leftChars="48" w:firstLine="315" w:firstLineChars="150"/>
        <w:jc w:val="left"/>
      </w:pPr>
      <w:r>
        <w:drawing>
          <wp:inline distT="0" distB="0" distL="0" distR="0">
            <wp:extent cx="5278120" cy="3557270"/>
            <wp:effectExtent l="0" t="0" r="0" b="508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66"/>
        <w:spacing w:line="360" w:lineRule="auto"/>
        <w:ind w:left="106" w:leftChars="48" w:firstLine="315" w:firstLineChars="150"/>
        <w:jc w:val="left"/>
      </w:pPr>
    </w:p>
    <w:p>
      <w:pPr>
        <w:pStyle w:val="66"/>
        <w:spacing w:line="360" w:lineRule="auto"/>
        <w:ind w:left="106" w:leftChars="48" w:firstLine="315" w:firstLineChars="150"/>
        <w:jc w:val="left"/>
      </w:pPr>
    </w:p>
    <w:p>
      <w:pPr>
        <w:pStyle w:val="66"/>
        <w:spacing w:line="360" w:lineRule="auto"/>
        <w:ind w:left="106" w:leftChars="48" w:firstLine="480" w:firstLineChars="150"/>
        <w:jc w:val="left"/>
        <w:rPr>
          <w:rFonts w:ascii="仿宋_GB2312" w:eastAsia="仿宋_GB2312" w:hAnsiTheme="minorEastAsia"/>
          <w:kern w:val="0"/>
          <w:sz w:val="32"/>
          <w:szCs w:val="32"/>
          <w:u w:color="000000"/>
        </w:rPr>
      </w:pPr>
      <w:r>
        <w:rPr>
          <w:rFonts w:hint="eastAsia" w:ascii="仿宋_GB2312" w:hAnsi="Tahoma" w:eastAsia="仿宋_GB2312" w:cs="DengXian-Regular"/>
          <w:kern w:val="0"/>
          <w:sz w:val="32"/>
          <w:szCs w:val="32"/>
        </w:rPr>
        <w:t>财政拨款决算支出比年初预算减少6.31万元。决算支出完成年初预算的97.63%。决算支出小</w:t>
      </w:r>
      <w:r>
        <w:rPr>
          <w:rFonts w:hint="eastAsia" w:ascii="仿宋_GB2312" w:hAnsi="Tahoma" w:eastAsia="仿宋_GB2312" w:cs="DengXian-Regular"/>
          <w:kern w:val="0"/>
          <w:sz w:val="32"/>
          <w:szCs w:val="32"/>
          <w:lang w:eastAsia="zh-CN"/>
        </w:rPr>
        <w:t>于</w:t>
      </w:r>
      <w:r>
        <w:rPr>
          <w:rFonts w:hint="eastAsia" w:ascii="仿宋_GB2312" w:hAnsi="Tahoma" w:eastAsia="仿宋_GB2312" w:cs="DengXian-Regular"/>
          <w:kern w:val="0"/>
          <w:sz w:val="32"/>
          <w:szCs w:val="32"/>
        </w:rPr>
        <w:t>预算支出的主要原因为</w:t>
      </w:r>
      <w:r>
        <w:rPr>
          <w:rFonts w:hint="eastAsia" w:ascii="仿宋_GB2312" w:eastAsia="仿宋_GB2312" w:cs="DengXian-Regular"/>
          <w:sz w:val="32"/>
          <w:szCs w:val="32"/>
        </w:rPr>
        <w:t>落实</w:t>
      </w:r>
      <w:r>
        <w:rPr>
          <w:rFonts w:ascii="仿宋_GB2312" w:eastAsia="仿宋_GB2312" w:cs="DengXian-Regular"/>
          <w:sz w:val="32"/>
          <w:szCs w:val="32"/>
        </w:rPr>
        <w:t>中央八项规定，压减支出</w:t>
      </w:r>
      <w:r>
        <w:rPr>
          <w:rFonts w:hint="eastAsia" w:ascii="仿宋_GB2312" w:eastAsia="仿宋_GB2312" w:cs="DengXian-Regular"/>
          <w:sz w:val="32"/>
          <w:szCs w:val="32"/>
        </w:rPr>
        <w:t>。</w:t>
      </w:r>
      <w:r>
        <w:rPr>
          <w:rFonts w:hint="eastAsia" w:ascii="仿宋_GB2312" w:hAnsi="Tahoma" w:eastAsia="仿宋_GB2312" w:cs="DengXian-Regular"/>
          <w:kern w:val="0"/>
          <w:sz w:val="32"/>
          <w:szCs w:val="32"/>
        </w:rPr>
        <w:t>预算支出与决算支出对比情况如图4。</w:t>
      </w:r>
    </w:p>
    <w:p>
      <w:pPr>
        <w:spacing w:after="0" w:line="360" w:lineRule="auto"/>
        <w:rPr>
          <w:rFonts w:asciiTheme="minorEastAsia" w:hAnsiTheme="minorEastAsia" w:eastAsiaTheme="minorEastAsia" w:cstheme="minorEastAsia"/>
          <w:b/>
          <w:bCs/>
          <w:szCs w:val="32"/>
        </w:rPr>
      </w:pPr>
      <w:r>
        <w:rPr>
          <w:rFonts w:hint="eastAsia" w:asciiTheme="minorEastAsia" w:hAnsiTheme="minorEastAsia" w:eastAsiaTheme="minorEastAsia" w:cstheme="minorEastAsia"/>
          <w:b/>
          <w:bCs/>
          <w:sz w:val="32"/>
          <w:szCs w:val="32"/>
        </w:rPr>
        <w:t xml:space="preserve">图4 </w:t>
      </w:r>
      <w:r>
        <w:rPr>
          <w:rFonts w:hint="eastAsia" w:ascii="仿宋_GB2312" w:eastAsia="仿宋_GB2312" w:cs="DengXian-Regular"/>
          <w:sz w:val="32"/>
          <w:szCs w:val="32"/>
        </w:rPr>
        <w:t>2019年度民兵训练基地预算支出与决算支出对比图</w:t>
      </w:r>
      <w:r>
        <w:drawing>
          <wp:inline distT="0" distB="0" distL="0" distR="0">
            <wp:extent cx="5191125" cy="3743325"/>
            <wp:effectExtent l="0" t="0" r="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after="0" w:line="360" w:lineRule="auto"/>
        <w:rPr>
          <w:rFonts w:ascii="仿宋_GB2312" w:eastAsia="仿宋_GB2312" w:cs="DengXian-Regular"/>
          <w:sz w:val="32"/>
          <w:szCs w:val="32"/>
        </w:rPr>
      </w:pP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保定市徐水区民兵训练基地2019年实际项目支出120万元，决算报表中项目支出120万元，实际支出与决算报表差0万元。</w:t>
      </w:r>
    </w:p>
    <w:p>
      <w:pPr>
        <w:pStyle w:val="4"/>
        <w:spacing w:before="0" w:after="0"/>
        <w:ind w:firstLine="643" w:firstLineChars="200"/>
        <w:jc w:val="both"/>
        <w:rPr>
          <w:rFonts w:ascii="仿宋_GB2312" w:hAnsi="Tahoma" w:cs="DengXian-Regular"/>
          <w:sz w:val="32"/>
        </w:rPr>
      </w:pPr>
      <w:bookmarkStart w:id="13" w:name="_Toc492652769"/>
      <w:bookmarkStart w:id="14" w:name="_Toc465149503"/>
      <w:bookmarkStart w:id="15" w:name="_Toc19291"/>
      <w:r>
        <w:rPr>
          <w:rFonts w:hint="eastAsia" w:ascii="仿宋_GB2312" w:hAnsi="Tahoma" w:cs="DengXian-Regular"/>
          <w:sz w:val="32"/>
        </w:rPr>
        <w:t>（五）“三公”经费预算安排及支出情况</w:t>
      </w:r>
      <w:bookmarkEnd w:id="13"/>
      <w:bookmarkEnd w:id="14"/>
      <w:bookmarkEnd w:id="15"/>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2019年徐水区民兵训练基地“三公”经费预算0万元，实际支出0万元（因公出国（境）费0万元，公务用车运行维护费0万元，公务接待费0万元），与预算持平。2019年“三公”经费预算数与2018年预算数相比无变化，决算数与2018年实际支出相比无变化。具体详见表1。</w:t>
      </w:r>
    </w:p>
    <w:p>
      <w:pPr>
        <w:spacing w:after="0" w:line="360" w:lineRule="auto"/>
        <w:ind w:firstLine="643" w:firstLineChars="200"/>
        <w:jc w:val="both"/>
        <w:rPr>
          <w:rFonts w:asciiTheme="minorEastAsia" w:hAnsiTheme="minorEastAsia" w:eastAsiaTheme="minorEastAsia" w:cstheme="minorEastAsia"/>
          <w:b/>
          <w:bCs/>
          <w:sz w:val="32"/>
          <w:szCs w:val="32"/>
        </w:rPr>
      </w:pPr>
    </w:p>
    <w:p>
      <w:pPr>
        <w:spacing w:after="0" w:line="360" w:lineRule="auto"/>
        <w:ind w:firstLine="643" w:firstLineChars="200"/>
        <w:jc w:val="both"/>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表1  民兵训练基地“三公”经费预算及决算明细表</w:t>
      </w:r>
    </w:p>
    <w:p>
      <w:pPr>
        <w:spacing w:after="0" w:line="360" w:lineRule="auto"/>
        <w:ind w:firstLine="640" w:firstLineChars="200"/>
        <w:jc w:val="both"/>
        <w:rPr>
          <w:rFonts w:asciiTheme="minorEastAsia" w:hAnsiTheme="minorEastAsia" w:eastAsiaTheme="minorEastAsia" w:cstheme="minorEastAsia"/>
          <w:sz w:val="21"/>
          <w:szCs w:val="21"/>
        </w:rPr>
      </w:pPr>
      <w:r>
        <w:rPr>
          <w:rFonts w:hint="eastAsia" w:ascii="仿宋_GB2312" w:eastAsia="仿宋_GB2312" w:cs="DengXian-Regular"/>
          <w:sz w:val="32"/>
          <w:szCs w:val="32"/>
        </w:rPr>
        <w:t xml:space="preserve">                                         </w:t>
      </w:r>
      <w:r>
        <w:rPr>
          <w:rFonts w:hint="eastAsia" w:asciiTheme="minorEastAsia" w:hAnsiTheme="minorEastAsia" w:eastAsiaTheme="minorEastAsia" w:cstheme="minorEastAsia"/>
          <w:sz w:val="21"/>
          <w:szCs w:val="21"/>
        </w:rPr>
        <w:t>单位：万元</w:t>
      </w:r>
    </w:p>
    <w:tbl>
      <w:tblPr>
        <w:tblStyle w:val="23"/>
        <w:tblW w:w="8565" w:type="dxa"/>
        <w:tblInd w:w="0" w:type="dxa"/>
        <w:tblLayout w:type="fixed"/>
        <w:tblCellMar>
          <w:top w:w="0" w:type="dxa"/>
          <w:left w:w="0" w:type="dxa"/>
          <w:bottom w:w="0" w:type="dxa"/>
          <w:right w:w="0" w:type="dxa"/>
        </w:tblCellMar>
      </w:tblPr>
      <w:tblGrid>
        <w:gridCol w:w="549"/>
        <w:gridCol w:w="1818"/>
        <w:gridCol w:w="993"/>
        <w:gridCol w:w="932"/>
        <w:gridCol w:w="1022"/>
        <w:gridCol w:w="947"/>
        <w:gridCol w:w="1149"/>
        <w:gridCol w:w="1155"/>
      </w:tblGrid>
      <w:tr>
        <w:tblPrEx>
          <w:tblCellMar>
            <w:top w:w="0" w:type="dxa"/>
            <w:left w:w="0" w:type="dxa"/>
            <w:bottom w:w="0" w:type="dxa"/>
            <w:right w:w="0" w:type="dxa"/>
          </w:tblCellMar>
        </w:tblPrEx>
        <w:trPr>
          <w:trHeight w:val="454" w:hRule="atLeast"/>
        </w:trPr>
        <w:tc>
          <w:tcPr>
            <w:tcW w:w="549"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181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支出内容</w:t>
            </w:r>
          </w:p>
        </w:tc>
        <w:tc>
          <w:tcPr>
            <w:tcW w:w="192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2018年</w:t>
            </w:r>
          </w:p>
        </w:tc>
        <w:tc>
          <w:tcPr>
            <w:tcW w:w="1969" w:type="dxa"/>
            <w:gridSpan w:val="2"/>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2019年</w:t>
            </w: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环比情况</w:t>
            </w:r>
          </w:p>
        </w:tc>
      </w:tr>
      <w:tr>
        <w:tblPrEx>
          <w:tblCellMar>
            <w:top w:w="0" w:type="dxa"/>
            <w:left w:w="0" w:type="dxa"/>
            <w:bottom w:w="0" w:type="dxa"/>
            <w:right w:w="0" w:type="dxa"/>
          </w:tblCellMar>
        </w:tblPrEx>
        <w:trPr>
          <w:trHeight w:val="454" w:hRule="atLeast"/>
        </w:trPr>
        <w:tc>
          <w:tcPr>
            <w:tcW w:w="54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after="0"/>
              <w:ind w:firstLine="422" w:firstLineChars="200"/>
              <w:jc w:val="center"/>
              <w:rPr>
                <w:rFonts w:ascii="宋体" w:hAnsi="宋体" w:eastAsia="宋体" w:cs="宋体"/>
                <w:b/>
                <w:bCs/>
                <w:color w:val="000000"/>
                <w:sz w:val="21"/>
                <w:szCs w:val="21"/>
              </w:rPr>
            </w:pPr>
          </w:p>
        </w:tc>
        <w:tc>
          <w:tcPr>
            <w:tcW w:w="181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ind w:firstLine="422" w:firstLineChars="200"/>
              <w:jc w:val="center"/>
              <w:rPr>
                <w:rFonts w:ascii="宋体" w:hAnsi="宋体" w:eastAsia="宋体" w:cs="宋体"/>
                <w:b/>
                <w:bCs/>
                <w:color w:val="000000"/>
                <w:sz w:val="21"/>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32"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02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14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较上年预算增减金额</w:t>
            </w:r>
          </w:p>
        </w:tc>
        <w:tc>
          <w:tcPr>
            <w:tcW w:w="11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较上年支出增减金额</w:t>
            </w:r>
          </w:p>
        </w:tc>
      </w:tr>
      <w:tr>
        <w:tblPrEx>
          <w:tblCellMar>
            <w:top w:w="0" w:type="dxa"/>
            <w:left w:w="0" w:type="dxa"/>
            <w:bottom w:w="0" w:type="dxa"/>
            <w:right w:w="0" w:type="dxa"/>
          </w:tblCellMar>
        </w:tblPrEx>
        <w:trPr>
          <w:trHeight w:val="454" w:hRule="atLeast"/>
        </w:trPr>
        <w:tc>
          <w:tcPr>
            <w:tcW w:w="549"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1818" w:type="dxa"/>
            <w:tcBorders>
              <w:top w:val="single" w:color="auto"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因公出国（境）费</w:t>
            </w:r>
          </w:p>
        </w:tc>
        <w:tc>
          <w:tcPr>
            <w:tcW w:w="993"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公务用车购置及运维费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公务接待费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合计</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r>
    </w:tbl>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1、公务用车：保定市徐水区民兵训练基地无公务用车。</w:t>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2、公务接待：2019年民兵训练基地无公务接待费。2019年预算数与2018年预算相比无变化，决算数与2018年实际支出无变化。</w:t>
      </w:r>
    </w:p>
    <w:p>
      <w:pPr>
        <w:pStyle w:val="3"/>
        <w:spacing w:before="0" w:after="0" w:line="360" w:lineRule="auto"/>
        <w:ind w:firstLine="643" w:firstLineChars="200"/>
        <w:rPr>
          <w:rFonts w:ascii="黑体" w:hAnsiTheme="minorEastAsia"/>
          <w:u w:color="000000"/>
        </w:rPr>
      </w:pPr>
      <w:bookmarkStart w:id="16" w:name="_Toc492652770"/>
      <w:bookmarkStart w:id="17" w:name="_Toc20454"/>
      <w:bookmarkStart w:id="18" w:name="_Toc465149504"/>
      <w:r>
        <w:rPr>
          <w:rFonts w:hint="eastAsia" w:ascii="黑体"/>
        </w:rPr>
        <w:t>二、部门整体支出绩效评价指标体系设定情况</w:t>
      </w:r>
      <w:bookmarkEnd w:id="16"/>
      <w:bookmarkEnd w:id="17"/>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根据绩效预算管理改革的有关政策和文件规定，绩效评价工作组以绩效预算架构为指导，以部门预算文本及相关资料为基础，制定了部门整体支出绩效评价指标体系。</w:t>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部门整体支出绩效评价指标体系设置一级指标4个，二级指标7个，三级指标27个（详见附件3）。指标体系设定满分100分，绩效评价分值≥90为“优”；80≤分值＜90为“良”；60≤分值＜80为“中”；60分以下为“差”。评价指标体系具体构成如下：</w:t>
      </w:r>
      <w:bookmarkStart w:id="19" w:name="_Toc492652771"/>
      <w:bookmarkStart w:id="20" w:name="_Toc9569"/>
    </w:p>
    <w:p>
      <w:pPr>
        <w:spacing w:after="0" w:line="360" w:lineRule="auto"/>
        <w:ind w:firstLine="643" w:firstLineChars="200"/>
        <w:jc w:val="both"/>
        <w:rPr>
          <w:rFonts w:ascii="楷体_GB2312" w:eastAsia="楷体_GB2312" w:cs="Times New Roman" w:hAnsiTheme="minorEastAsia"/>
          <w:b/>
          <w:bCs/>
          <w:kern w:val="2"/>
          <w:sz w:val="32"/>
          <w:szCs w:val="32"/>
          <w:u w:color="000000"/>
        </w:rPr>
      </w:pPr>
      <w:r>
        <w:rPr>
          <w:rFonts w:hint="eastAsia" w:ascii="楷体_GB2312" w:eastAsia="楷体_GB2312" w:cs="Times New Roman" w:hAnsiTheme="minorEastAsia"/>
          <w:b/>
          <w:bCs/>
          <w:kern w:val="2"/>
          <w:sz w:val="32"/>
          <w:szCs w:val="32"/>
          <w:u w:color="000000"/>
        </w:rPr>
        <w:t>（一）投入（12分）</w:t>
      </w:r>
      <w:bookmarkEnd w:id="19"/>
      <w:bookmarkEnd w:id="20"/>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主要反映绩效目标设定是否合理、科学，绩效指标的制定是否清晰、可衡量，预算编制是否完整，项目预算是否细化及在职人员控制情况。</w:t>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投入指标指标分值为12分，下设2个二级指标：绩效目标设定和预算配置，6个三级指标：绩效目标合理性、绩效目标科学性、绩效指标明确性、预算编制完整性、项目预算细化率、在职人员控制率。</w:t>
      </w:r>
    </w:p>
    <w:p>
      <w:pPr>
        <w:pStyle w:val="4"/>
        <w:spacing w:before="0" w:after="0"/>
        <w:ind w:firstLine="643" w:firstLineChars="200"/>
        <w:jc w:val="both"/>
        <w:rPr>
          <w:rFonts w:ascii="楷体" w:hAnsi="楷体" w:eastAsia="楷体"/>
          <w:sz w:val="32"/>
        </w:rPr>
      </w:pPr>
      <w:bookmarkStart w:id="21" w:name="_Toc492652772"/>
      <w:bookmarkStart w:id="22" w:name="_Toc30221"/>
      <w:r>
        <w:rPr>
          <w:rFonts w:hint="eastAsia" w:ascii="楷体" w:hAnsi="楷体" w:eastAsia="楷体"/>
          <w:kern w:val="2"/>
          <w:sz w:val="32"/>
        </w:rPr>
        <w:t>（二）过程（48分）</w:t>
      </w:r>
      <w:bookmarkEnd w:id="21"/>
      <w:bookmarkEnd w:id="22"/>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主要反映预算调整、收入及支出完成情况，“三公”经费、政府采购执行情况，财务管理是否规范、资金使用是否合规，决算真实性。</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过程指标指标分值为48分，下设3个二级指标：预算执行、预算管理和绩效评价，14个三级指标：预算收入调整率、收入完成率、预算支出调整率、财政拨款支出完成率、“三公”经费控制率、政府采购执行率、资金使用合规性、决算真实性、管理制度健全性、预决算信息公开性、基础信息完整性、资产管理规范性、绩效自评覆盖率、绩效评价优等率。</w:t>
      </w:r>
    </w:p>
    <w:p>
      <w:pPr>
        <w:pStyle w:val="4"/>
        <w:spacing w:before="0" w:after="0"/>
        <w:ind w:firstLine="643" w:firstLineChars="200"/>
        <w:jc w:val="both"/>
        <w:rPr>
          <w:rFonts w:ascii="楷体" w:hAnsi="楷体" w:eastAsia="楷体"/>
          <w:kern w:val="2"/>
          <w:sz w:val="32"/>
        </w:rPr>
      </w:pPr>
      <w:bookmarkStart w:id="23" w:name="_Toc492652773"/>
      <w:bookmarkStart w:id="24" w:name="_Toc24932"/>
      <w:r>
        <w:rPr>
          <w:rFonts w:hint="eastAsia" w:ascii="楷体" w:hAnsi="楷体" w:eastAsia="楷体"/>
          <w:kern w:val="2"/>
          <w:sz w:val="32"/>
        </w:rPr>
        <w:t>（三）产出（25分）</w:t>
      </w:r>
      <w:bookmarkEnd w:id="23"/>
      <w:bookmarkEnd w:id="24"/>
    </w:p>
    <w:p>
      <w:pPr>
        <w:spacing w:after="0" w:line="360" w:lineRule="auto"/>
        <w:ind w:firstLine="640" w:firstLineChars="200"/>
        <w:jc w:val="both"/>
        <w:textAlignment w:val="baseline"/>
        <w:rPr>
          <w:rFonts w:ascii="仿宋_GB2312" w:eastAsia="仿宋_GB2312" w:cs="DengXian-Regular"/>
          <w:sz w:val="32"/>
          <w:szCs w:val="32"/>
        </w:rPr>
      </w:pPr>
      <w:bookmarkStart w:id="25" w:name="_Toc492652774"/>
      <w:r>
        <w:rPr>
          <w:rFonts w:hint="eastAsia" w:ascii="仿宋_GB2312" w:eastAsia="仿宋_GB2312" w:cs="DengXian-Regular"/>
          <w:sz w:val="32"/>
          <w:szCs w:val="32"/>
        </w:rPr>
        <w:t>主要反映结转结余率，项目资金使用率，。</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产出指标指标分值为25分，下设1个二级指标：责任履行，5个三级指标：结转结余率、项目资金使用率。</w:t>
      </w:r>
    </w:p>
    <w:p>
      <w:pPr>
        <w:pStyle w:val="4"/>
        <w:spacing w:before="0" w:after="0"/>
        <w:ind w:firstLine="643" w:firstLineChars="200"/>
        <w:jc w:val="both"/>
        <w:rPr>
          <w:rFonts w:ascii="楷体_GB2312" w:eastAsia="楷体_GB2312" w:hAnsiTheme="minorEastAsia"/>
          <w:sz w:val="32"/>
        </w:rPr>
      </w:pPr>
      <w:bookmarkStart w:id="26" w:name="_Toc21821"/>
      <w:r>
        <w:rPr>
          <w:rFonts w:hint="eastAsia" w:ascii="楷体_GB2312" w:eastAsia="楷体_GB2312" w:hAnsiTheme="minorEastAsia"/>
          <w:kern w:val="2"/>
          <w:sz w:val="32"/>
        </w:rPr>
        <w:t>（四）效果（15分）</w:t>
      </w:r>
      <w:bookmarkEnd w:id="25"/>
      <w:bookmarkEnd w:id="26"/>
    </w:p>
    <w:p>
      <w:pPr>
        <w:spacing w:after="0" w:line="360" w:lineRule="auto"/>
        <w:ind w:firstLine="640" w:firstLineChars="200"/>
        <w:jc w:val="both"/>
        <w:textAlignment w:val="baseline"/>
        <w:rPr>
          <w:rFonts w:ascii="仿宋_GB2312" w:eastAsia="仿宋_GB2312" w:cs="DengXian-Regular"/>
          <w:sz w:val="32"/>
          <w:szCs w:val="32"/>
        </w:rPr>
      </w:pPr>
      <w:bookmarkStart w:id="27" w:name="_Toc492652775"/>
      <w:r>
        <w:rPr>
          <w:rFonts w:hint="eastAsia" w:ascii="仿宋_GB2312" w:eastAsia="仿宋_GB2312" w:cs="DengXian-Regular"/>
          <w:sz w:val="32"/>
          <w:szCs w:val="32"/>
        </w:rPr>
        <w:t>主要反映部门履行职责对社会发展所带来的直接或间接效益及社会公众或部门的服务对象对部门履职效果的满意程度。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效果指标指标分值15分，下设1个二级指标：履职效率，2个三级指标：部门整体效益和考核满意度。</w:t>
      </w:r>
    </w:p>
    <w:p>
      <w:pPr>
        <w:pStyle w:val="3"/>
        <w:spacing w:before="0" w:after="0" w:line="360" w:lineRule="auto"/>
        <w:ind w:firstLine="643" w:firstLineChars="200"/>
        <w:rPr>
          <w:rFonts w:ascii="黑体"/>
        </w:rPr>
      </w:pPr>
      <w:bookmarkStart w:id="28" w:name="_Toc11842"/>
      <w:r>
        <w:rPr>
          <w:rFonts w:hint="eastAsia" w:ascii="黑体"/>
        </w:rPr>
        <w:t>三、综合绩效评价工作情况</w:t>
      </w:r>
      <w:bookmarkEnd w:id="18"/>
      <w:bookmarkEnd w:id="27"/>
      <w:bookmarkEnd w:id="28"/>
      <w:bookmarkStart w:id="29" w:name="_Toc492652776"/>
      <w:bookmarkStart w:id="30" w:name="_Toc465149505"/>
    </w:p>
    <w:p>
      <w:pPr>
        <w:pStyle w:val="4"/>
        <w:spacing w:before="0" w:after="0"/>
        <w:ind w:firstLine="643" w:firstLineChars="200"/>
        <w:jc w:val="both"/>
        <w:rPr>
          <w:rFonts w:ascii="楷体_GB2312" w:eastAsia="楷体_GB2312" w:hAnsiTheme="minorEastAsia"/>
          <w:sz w:val="32"/>
        </w:rPr>
      </w:pPr>
      <w:bookmarkStart w:id="31" w:name="_Toc17138"/>
      <w:r>
        <w:rPr>
          <w:rFonts w:hint="eastAsia" w:ascii="楷体_GB2312" w:eastAsia="楷体_GB2312" w:hAnsiTheme="minorEastAsia"/>
          <w:kern w:val="2"/>
          <w:sz w:val="32"/>
        </w:rPr>
        <w:t>（一）绩效评价目的</w:t>
      </w:r>
      <w:bookmarkEnd w:id="29"/>
      <w:bookmarkEnd w:id="30"/>
      <w:bookmarkEnd w:id="31"/>
    </w:p>
    <w:p>
      <w:pPr>
        <w:spacing w:after="0" w:line="360" w:lineRule="auto"/>
        <w:ind w:firstLine="640" w:firstLineChars="200"/>
        <w:jc w:val="both"/>
        <w:textAlignment w:val="baseline"/>
        <w:rPr>
          <w:rFonts w:ascii="仿宋_GB2312" w:eastAsia="仿宋_GB2312" w:cs="DengXian-Regular"/>
          <w:sz w:val="32"/>
          <w:szCs w:val="32"/>
        </w:rPr>
      </w:pPr>
      <w:bookmarkStart w:id="32" w:name="_Toc465149506"/>
      <w:bookmarkStart w:id="33" w:name="_Toc492652777"/>
      <w:r>
        <w:rPr>
          <w:rFonts w:hint="eastAsia" w:ascii="仿宋_GB2312" w:eastAsia="仿宋_GB2312" w:cs="DengXian-Regular"/>
          <w:sz w:val="32"/>
          <w:szCs w:val="32"/>
        </w:rPr>
        <w:t>通过对本单位2019年部门整体支出绩效评价了解部门整体资金预算情况、实际收支情况及结转结余情况；绩效目标和指标的设置及完成情况；部门履职对社会发展所带来的直接或间接影响及服务对象对部门履职效果的满意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部门整体支出绩效评价工作促使相关部门根据绩效评价过程中发现的问题，及时整改并总结经验，提高部门管理水平，牢固树立预算绩效理念，强化部门支出责任，提高预算执行效率和财政资金使用效益。</w:t>
      </w:r>
    </w:p>
    <w:p>
      <w:pPr>
        <w:pStyle w:val="4"/>
        <w:spacing w:before="0" w:after="0"/>
        <w:ind w:firstLine="643" w:firstLineChars="200"/>
        <w:jc w:val="both"/>
        <w:rPr>
          <w:rFonts w:ascii="楷体_GB2312" w:eastAsia="楷体_GB2312" w:hAnsiTheme="minorEastAsia"/>
          <w:kern w:val="2"/>
          <w:sz w:val="32"/>
        </w:rPr>
      </w:pPr>
      <w:bookmarkStart w:id="34" w:name="_Toc11607"/>
      <w:r>
        <w:rPr>
          <w:rFonts w:hint="eastAsia" w:ascii="楷体_GB2312" w:eastAsia="楷体_GB2312" w:hAnsiTheme="minorEastAsia"/>
          <w:kern w:val="2"/>
          <w:sz w:val="32"/>
        </w:rPr>
        <w:t>（二）绩效评价依据</w:t>
      </w:r>
      <w:bookmarkEnd w:id="32"/>
      <w:bookmarkEnd w:id="33"/>
      <w:bookmarkEnd w:id="34"/>
    </w:p>
    <w:p>
      <w:pPr>
        <w:spacing w:after="0" w:line="360" w:lineRule="auto"/>
        <w:ind w:firstLine="640" w:firstLineChars="200"/>
        <w:jc w:val="both"/>
        <w:textAlignment w:val="baseline"/>
        <w:rPr>
          <w:rFonts w:ascii="仿宋_GB2312" w:eastAsia="仿宋_GB2312" w:cs="DengXian-Regular"/>
          <w:sz w:val="32"/>
          <w:szCs w:val="32"/>
        </w:rPr>
      </w:pPr>
      <w:bookmarkStart w:id="35" w:name="_Toc465149507"/>
      <w:r>
        <w:rPr>
          <w:rFonts w:hint="eastAsia" w:ascii="仿宋_GB2312" w:eastAsia="仿宋_GB2312" w:cs="DengXian-Regular"/>
          <w:sz w:val="32"/>
          <w:szCs w:val="32"/>
        </w:rPr>
        <w:t>1.</w:t>
      </w:r>
      <w:r>
        <w:rPr>
          <w:rFonts w:ascii="仿宋_GB2312" w:eastAsia="仿宋_GB2312" w:cs="DengXian-Regular"/>
          <w:sz w:val="32"/>
          <w:szCs w:val="32"/>
        </w:rPr>
        <w:t>《中华人民共和国预算法》；</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2.中共中央国务院《关于全面实施预算绩效管理的意见》（中发〔2018〕34号）；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w:t>
      </w:r>
      <w:r>
        <w:rPr>
          <w:rFonts w:ascii="仿宋_GB2312" w:eastAsia="仿宋_GB2312" w:cs="DengXian-Regular"/>
          <w:sz w:val="32"/>
          <w:szCs w:val="32"/>
        </w:rPr>
        <w:t>《河北省财政支出绩效评价管理办法》（冀财预</w:t>
      </w:r>
      <w:r>
        <w:rPr>
          <w:rFonts w:hint="eastAsia" w:ascii="仿宋_GB2312" w:eastAsia="仿宋_GB2312" w:cs="DengXian-Regular"/>
          <w:sz w:val="32"/>
          <w:szCs w:val="32"/>
        </w:rPr>
        <w:t xml:space="preserve">〔2011〕68号）； </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4.中共河北省委河北省人民政府</w:t>
      </w:r>
      <w:r>
        <w:rPr>
          <w:rFonts w:ascii="仿宋_GB2312" w:eastAsia="仿宋_GB2312" w:cs="DengXian-Regular"/>
          <w:sz w:val="32"/>
          <w:szCs w:val="32"/>
        </w:rPr>
        <w:t>《</w:t>
      </w:r>
      <w:r>
        <w:rPr>
          <w:rFonts w:hint="eastAsia" w:ascii="仿宋_GB2312" w:eastAsia="仿宋_GB2312" w:cs="DengXian-Regular"/>
          <w:sz w:val="32"/>
          <w:szCs w:val="32"/>
        </w:rPr>
        <w:t>关于全面实施预算绩效管理的实施意见</w:t>
      </w:r>
      <w:r>
        <w:rPr>
          <w:rFonts w:ascii="仿宋_GB2312" w:eastAsia="仿宋_GB2312" w:cs="DengXian-Regular"/>
          <w:sz w:val="32"/>
          <w:szCs w:val="32"/>
        </w:rPr>
        <w:t>》（冀</w:t>
      </w:r>
      <w:r>
        <w:rPr>
          <w:rFonts w:hint="eastAsia" w:ascii="仿宋_GB2312" w:eastAsia="仿宋_GB2312" w:cs="DengXian-Regular"/>
          <w:sz w:val="32"/>
          <w:szCs w:val="32"/>
        </w:rPr>
        <w:t>发〔2018〕54</w:t>
      </w:r>
      <w:r>
        <w:rPr>
          <w:rFonts w:ascii="仿宋_GB2312" w:eastAsia="仿宋_GB2312" w:cs="DengXian-Regular"/>
          <w:sz w:val="32"/>
          <w:szCs w:val="32"/>
        </w:rPr>
        <w:t>号）</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5.保定市徐水区财政局《关于印发绩效评价工作规划（2016-2020年）的通知》（徐政财字〔2016〕45号）；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6.保定市徐水区财政局《关于印发&lt;全面实施预算绩效管理推进工作方案&gt;的通知》（徐政财字〔2019〕33号）；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7.其他与部门绩效评价工作相关的文件。</w:t>
      </w:r>
      <w:bookmarkStart w:id="36" w:name="_Toc492652778"/>
    </w:p>
    <w:p>
      <w:pPr>
        <w:pStyle w:val="4"/>
        <w:spacing w:before="0" w:after="0"/>
        <w:ind w:firstLine="643" w:firstLineChars="200"/>
        <w:jc w:val="both"/>
        <w:rPr>
          <w:rFonts w:ascii="楷体_GB2312" w:eastAsia="楷体_GB2312" w:hAnsiTheme="minorEastAsia"/>
          <w:kern w:val="2"/>
          <w:sz w:val="32"/>
        </w:rPr>
      </w:pPr>
      <w:bookmarkStart w:id="37" w:name="_Toc7609"/>
      <w:r>
        <w:rPr>
          <w:rFonts w:hint="eastAsia" w:ascii="楷体_GB2312" w:eastAsia="楷体_GB2312" w:hAnsiTheme="minorEastAsia"/>
          <w:kern w:val="2"/>
          <w:sz w:val="32"/>
        </w:rPr>
        <w:t>（三）绩效评价</w:t>
      </w:r>
      <w:bookmarkEnd w:id="36"/>
      <w:r>
        <w:rPr>
          <w:rFonts w:hint="eastAsia" w:ascii="楷体_GB2312" w:eastAsia="楷体_GB2312" w:hAnsiTheme="minorEastAsia"/>
          <w:kern w:val="2"/>
          <w:sz w:val="32"/>
        </w:rPr>
        <w:t>内容</w:t>
      </w:r>
      <w:bookmarkEnd w:id="37"/>
    </w:p>
    <w:bookmarkEnd w:id="35"/>
    <w:p>
      <w:pPr>
        <w:spacing w:after="0" w:line="360" w:lineRule="auto"/>
        <w:ind w:firstLine="640" w:firstLineChars="200"/>
        <w:jc w:val="both"/>
        <w:textAlignment w:val="baseline"/>
        <w:rPr>
          <w:rFonts w:ascii="仿宋_GB2312" w:eastAsia="仿宋_GB2312" w:cs="DengXian-Regular"/>
          <w:sz w:val="32"/>
          <w:szCs w:val="32"/>
        </w:rPr>
      </w:pPr>
      <w:bookmarkStart w:id="38" w:name="_Toc465149508"/>
      <w:bookmarkStart w:id="39" w:name="_Toc492652779"/>
      <w:r>
        <w:rPr>
          <w:rFonts w:hint="eastAsia" w:ascii="仿宋_GB2312" w:eastAsia="仿宋_GB2312" w:cs="DengXian-Regular"/>
          <w:sz w:val="32"/>
          <w:szCs w:val="32"/>
        </w:rPr>
        <w:t>保定市徐水区民兵训练基地2019年部门整体支出绩效目标和指标的设置及完成情况；资金预算情况、实际收支情况及结转结余情况；部门履职对社会发展所带来的直接或间接影响及服务对象对部门履职效果的满意程度。</w:t>
      </w:r>
    </w:p>
    <w:p>
      <w:pPr>
        <w:pStyle w:val="4"/>
        <w:spacing w:before="0" w:after="0"/>
        <w:ind w:firstLine="643" w:firstLineChars="200"/>
        <w:jc w:val="both"/>
        <w:rPr>
          <w:rFonts w:ascii="楷体_GB2312" w:eastAsia="楷体_GB2312" w:hAnsiTheme="minorEastAsia"/>
          <w:kern w:val="2"/>
          <w:sz w:val="32"/>
        </w:rPr>
      </w:pPr>
      <w:bookmarkStart w:id="40" w:name="_Toc789"/>
      <w:r>
        <w:rPr>
          <w:rFonts w:hint="eastAsia" w:ascii="楷体_GB2312" w:eastAsia="楷体_GB2312" w:hAnsiTheme="minorEastAsia"/>
          <w:kern w:val="2"/>
          <w:sz w:val="32"/>
        </w:rPr>
        <w:t>（四）绩效评价原则</w:t>
      </w:r>
      <w:bookmarkEnd w:id="40"/>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1.价值导向原则：财政支出绩效评价体系应能够反映财政支出的经济性、效益性、有效性原则，体现财政部门和项目主管部门的价值导向。</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2.重要性原则：根据指标在整个指标体系中的地位和作用进行筛选，选择最具代表性、最能反映评价要求的指标。</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3.综合性原则：将定性指标和定量指标相结合，定性分析是定量分析的基础，定量分析是定性分析的深化，两者相结合系统反映财政支出所产生的社会效益。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4.经济性原则：指标的选取要考虑现实条件及可操作性，数据的获得应符合成本效益原则，在合理成本的基础上收集信息。</w:t>
      </w:r>
    </w:p>
    <w:p>
      <w:pPr>
        <w:pStyle w:val="4"/>
        <w:spacing w:before="0" w:after="0"/>
        <w:ind w:firstLine="643" w:firstLineChars="200"/>
        <w:jc w:val="both"/>
        <w:rPr>
          <w:rFonts w:ascii="楷体_GB2312" w:eastAsia="楷体_GB2312" w:hAnsiTheme="minorEastAsia"/>
          <w:kern w:val="2"/>
          <w:sz w:val="32"/>
        </w:rPr>
      </w:pPr>
      <w:bookmarkStart w:id="41" w:name="_Toc8171"/>
      <w:r>
        <w:rPr>
          <w:rFonts w:hint="eastAsia" w:ascii="楷体_GB2312" w:eastAsia="楷体_GB2312" w:hAnsiTheme="minorEastAsia"/>
          <w:kern w:val="2"/>
          <w:sz w:val="32"/>
        </w:rPr>
        <w:t>（五）</w:t>
      </w:r>
      <w:bookmarkEnd w:id="38"/>
      <w:bookmarkStart w:id="42" w:name="_Toc465149509"/>
      <w:r>
        <w:rPr>
          <w:rFonts w:hint="eastAsia" w:ascii="楷体_GB2312" w:eastAsia="楷体_GB2312" w:hAnsiTheme="minorEastAsia"/>
          <w:kern w:val="2"/>
          <w:sz w:val="32"/>
        </w:rPr>
        <w:t>绩效评价方法</w:t>
      </w:r>
      <w:bookmarkEnd w:id="39"/>
      <w:bookmarkEnd w:id="41"/>
      <w:bookmarkEnd w:id="42"/>
    </w:p>
    <w:p>
      <w:pPr>
        <w:spacing w:after="0" w:line="360" w:lineRule="auto"/>
        <w:ind w:firstLine="640" w:firstLineChars="200"/>
        <w:jc w:val="both"/>
        <w:textAlignment w:val="baseline"/>
        <w:rPr>
          <w:rFonts w:ascii="仿宋_GB2312" w:eastAsia="仿宋_GB2312" w:cs="DengXian-Regular"/>
          <w:sz w:val="32"/>
          <w:szCs w:val="32"/>
        </w:rPr>
      </w:pPr>
      <w:bookmarkStart w:id="43" w:name="_Toc422314152"/>
      <w:bookmarkStart w:id="44" w:name="_Toc421623217"/>
      <w:bookmarkStart w:id="45" w:name="_Toc465149510"/>
      <w:bookmarkStart w:id="46" w:name="_Toc492652780"/>
      <w:r>
        <w:rPr>
          <w:rFonts w:ascii="仿宋_GB2312" w:eastAsia="仿宋_GB2312" w:cs="DengXian-Regular"/>
          <w:sz w:val="32"/>
          <w:szCs w:val="32"/>
        </w:rPr>
        <w:t>本次评价采取</w:t>
      </w:r>
      <w:r>
        <w:rPr>
          <w:rFonts w:hint="eastAsia" w:ascii="仿宋_GB2312" w:eastAsia="仿宋_GB2312" w:cs="DengXian-Regular"/>
          <w:sz w:val="32"/>
          <w:szCs w:val="32"/>
        </w:rPr>
        <w:t>目标比较法、</w:t>
      </w:r>
      <w:r>
        <w:rPr>
          <w:rFonts w:ascii="仿宋_GB2312" w:eastAsia="仿宋_GB2312" w:cs="DengXian-Regular"/>
          <w:sz w:val="32"/>
          <w:szCs w:val="32"/>
        </w:rPr>
        <w:t>定量和定性评价相结合和综合评价相结合</w:t>
      </w:r>
      <w:r>
        <w:rPr>
          <w:rFonts w:hint="eastAsia" w:ascii="仿宋_GB2312" w:eastAsia="仿宋_GB2312" w:cs="DengXian-Regular"/>
          <w:sz w:val="32"/>
          <w:szCs w:val="32"/>
        </w:rPr>
        <w:t>的方式</w:t>
      </w:r>
      <w:r>
        <w:rPr>
          <w:rFonts w:ascii="仿宋_GB2312" w:eastAsia="仿宋_GB2312" w:cs="DengXian-Regular"/>
          <w:sz w:val="32"/>
          <w:szCs w:val="32"/>
        </w:rPr>
        <w:t>，运用审查、</w:t>
      </w:r>
      <w:r>
        <w:rPr>
          <w:rFonts w:hint="eastAsia" w:ascii="仿宋_GB2312" w:eastAsia="仿宋_GB2312" w:cs="DengXian-Regular"/>
          <w:sz w:val="32"/>
          <w:szCs w:val="32"/>
        </w:rPr>
        <w:t>询问查证和问卷调查</w:t>
      </w:r>
      <w:r>
        <w:rPr>
          <w:rFonts w:ascii="仿宋_GB2312" w:eastAsia="仿宋_GB2312" w:cs="DengXian-Regular"/>
          <w:sz w:val="32"/>
          <w:szCs w:val="32"/>
        </w:rPr>
        <w:t>等方法开展</w:t>
      </w:r>
      <w:r>
        <w:rPr>
          <w:rFonts w:hint="eastAsia" w:ascii="仿宋_GB2312" w:eastAsia="仿宋_GB2312" w:cs="DengXian-Regular"/>
          <w:sz w:val="32"/>
          <w:szCs w:val="32"/>
        </w:rPr>
        <w:t>绩效</w:t>
      </w:r>
      <w:r>
        <w:rPr>
          <w:rFonts w:ascii="仿宋_GB2312" w:eastAsia="仿宋_GB2312" w:cs="DengXian-Regular"/>
          <w:sz w:val="32"/>
          <w:szCs w:val="32"/>
        </w:rPr>
        <w:t>评价工作。</w:t>
      </w:r>
      <w:bookmarkEnd w:id="43"/>
      <w:bookmarkEnd w:id="44"/>
    </w:p>
    <w:p>
      <w:pPr>
        <w:spacing w:after="0" w:line="360" w:lineRule="auto"/>
        <w:ind w:firstLine="640" w:firstLineChars="200"/>
        <w:jc w:val="both"/>
        <w:textAlignment w:val="baseline"/>
        <w:rPr>
          <w:rFonts w:ascii="仿宋_GB2312" w:eastAsia="仿宋_GB2312" w:cs="DengXian-Regular"/>
          <w:sz w:val="32"/>
          <w:szCs w:val="32"/>
        </w:rPr>
      </w:pPr>
      <w:bookmarkStart w:id="47" w:name="_Toc422314153"/>
      <w:bookmarkStart w:id="48" w:name="_Toc421623218"/>
      <w:r>
        <w:rPr>
          <w:rFonts w:ascii="仿宋_GB2312" w:eastAsia="仿宋_GB2312" w:cs="DengXian-Regular"/>
          <w:sz w:val="32"/>
          <w:szCs w:val="32"/>
        </w:rPr>
        <w:t>1</w:t>
      </w:r>
      <w:r>
        <w:rPr>
          <w:rFonts w:hint="eastAsia" w:ascii="仿宋_GB2312" w:eastAsia="仿宋_GB2312" w:cs="DengXian-Regular"/>
          <w:sz w:val="32"/>
          <w:szCs w:val="32"/>
        </w:rPr>
        <w:t>.</w:t>
      </w:r>
      <w:r>
        <w:rPr>
          <w:rFonts w:ascii="仿宋_GB2312" w:eastAsia="仿宋_GB2312" w:cs="DengXian-Regular"/>
          <w:sz w:val="32"/>
          <w:szCs w:val="32"/>
        </w:rPr>
        <w:t>审查法：通过审查被评价单位的</w:t>
      </w:r>
      <w:r>
        <w:rPr>
          <w:rFonts w:hint="eastAsia" w:ascii="仿宋_GB2312" w:eastAsia="仿宋_GB2312" w:cs="DengXian-Regular"/>
          <w:sz w:val="32"/>
          <w:szCs w:val="32"/>
        </w:rPr>
        <w:t>预算文本</w:t>
      </w:r>
      <w:r>
        <w:rPr>
          <w:rFonts w:ascii="仿宋_GB2312" w:eastAsia="仿宋_GB2312" w:cs="DengXian-Regular"/>
          <w:sz w:val="32"/>
          <w:szCs w:val="32"/>
        </w:rPr>
        <w:t>、</w:t>
      </w:r>
      <w:r>
        <w:rPr>
          <w:rFonts w:hint="eastAsia" w:ascii="仿宋_GB2312" w:eastAsia="仿宋_GB2312" w:cs="DengXian-Regular"/>
          <w:sz w:val="32"/>
          <w:szCs w:val="32"/>
        </w:rPr>
        <w:t>决算文本</w:t>
      </w:r>
      <w:r>
        <w:rPr>
          <w:rFonts w:ascii="仿宋_GB2312" w:eastAsia="仿宋_GB2312" w:cs="DengXian-Regular"/>
          <w:sz w:val="32"/>
          <w:szCs w:val="32"/>
        </w:rPr>
        <w:t>、</w:t>
      </w:r>
      <w:r>
        <w:rPr>
          <w:rFonts w:hint="eastAsia" w:ascii="仿宋_GB2312" w:eastAsia="仿宋_GB2312" w:cs="DengXian-Regular"/>
          <w:sz w:val="32"/>
          <w:szCs w:val="32"/>
        </w:rPr>
        <w:t>会计账簿、支出凭证、项目完成情况</w:t>
      </w:r>
      <w:r>
        <w:rPr>
          <w:rFonts w:ascii="仿宋_GB2312" w:eastAsia="仿宋_GB2312" w:cs="DengXian-Regular"/>
          <w:sz w:val="32"/>
          <w:szCs w:val="32"/>
        </w:rPr>
        <w:t>等</w:t>
      </w:r>
      <w:r>
        <w:rPr>
          <w:rFonts w:hint="eastAsia" w:ascii="仿宋_GB2312" w:eastAsia="仿宋_GB2312" w:cs="DengXian-Regular"/>
          <w:sz w:val="32"/>
          <w:szCs w:val="32"/>
        </w:rPr>
        <w:t>相关</w:t>
      </w:r>
      <w:r>
        <w:rPr>
          <w:rFonts w:ascii="仿宋_GB2312" w:eastAsia="仿宋_GB2312" w:cs="DengXian-Regular"/>
          <w:sz w:val="32"/>
          <w:szCs w:val="32"/>
        </w:rPr>
        <w:t>资料，分析资金</w:t>
      </w:r>
      <w:r>
        <w:rPr>
          <w:rFonts w:hint="eastAsia" w:ascii="仿宋_GB2312" w:eastAsia="仿宋_GB2312" w:cs="DengXian-Regular"/>
          <w:sz w:val="32"/>
          <w:szCs w:val="32"/>
        </w:rPr>
        <w:t>收</w:t>
      </w:r>
      <w:r>
        <w:rPr>
          <w:rFonts w:ascii="仿宋_GB2312" w:eastAsia="仿宋_GB2312" w:cs="DengXian-Regular"/>
          <w:sz w:val="32"/>
          <w:szCs w:val="32"/>
        </w:rPr>
        <w:t>支的合理性</w:t>
      </w:r>
      <w:r>
        <w:rPr>
          <w:rFonts w:hint="eastAsia" w:ascii="仿宋_GB2312" w:eastAsia="仿宋_GB2312" w:cs="DengXian-Regular"/>
          <w:sz w:val="32"/>
          <w:szCs w:val="32"/>
        </w:rPr>
        <w:t>和</w:t>
      </w:r>
      <w:r>
        <w:rPr>
          <w:rFonts w:ascii="仿宋_GB2312" w:eastAsia="仿宋_GB2312" w:cs="DengXian-Regular"/>
          <w:sz w:val="32"/>
          <w:szCs w:val="32"/>
        </w:rPr>
        <w:t>合规性</w:t>
      </w:r>
      <w:r>
        <w:rPr>
          <w:rFonts w:hint="eastAsia" w:ascii="仿宋_GB2312" w:eastAsia="仿宋_GB2312" w:cs="DengXian-Regular"/>
          <w:sz w:val="32"/>
          <w:szCs w:val="32"/>
        </w:rPr>
        <w:t>、预算执行及管理情况、绩效目标和指标的设置及完成情况、部门整体效益</w:t>
      </w:r>
      <w:r>
        <w:rPr>
          <w:rFonts w:ascii="仿宋_GB2312" w:eastAsia="仿宋_GB2312" w:cs="DengXian-Regular"/>
          <w:sz w:val="32"/>
          <w:szCs w:val="32"/>
        </w:rPr>
        <w:t>。</w:t>
      </w:r>
      <w:bookmarkEnd w:id="47"/>
      <w:bookmarkEnd w:id="48"/>
    </w:p>
    <w:p>
      <w:pPr>
        <w:spacing w:after="0" w:line="360" w:lineRule="auto"/>
        <w:ind w:firstLine="640" w:firstLineChars="200"/>
        <w:jc w:val="both"/>
        <w:textAlignment w:val="baseline"/>
        <w:rPr>
          <w:rFonts w:ascii="仿宋_GB2312" w:eastAsia="仿宋_GB2312" w:cs="DengXian-Regular"/>
          <w:sz w:val="32"/>
          <w:szCs w:val="32"/>
        </w:rPr>
      </w:pPr>
      <w:bookmarkStart w:id="49" w:name="_Toc422314155"/>
      <w:bookmarkStart w:id="50" w:name="_Toc421623220"/>
      <w:r>
        <w:rPr>
          <w:rFonts w:hint="eastAsia" w:ascii="仿宋_GB2312" w:eastAsia="仿宋_GB2312" w:cs="DengXian-Regular"/>
          <w:sz w:val="32"/>
          <w:szCs w:val="32"/>
        </w:rPr>
        <w:t>2.询问查证</w:t>
      </w:r>
      <w:r>
        <w:rPr>
          <w:rFonts w:ascii="仿宋_GB2312" w:eastAsia="仿宋_GB2312" w:cs="DengXian-Regular"/>
          <w:sz w:val="32"/>
          <w:szCs w:val="32"/>
        </w:rPr>
        <w:t>法：</w:t>
      </w:r>
      <w:r>
        <w:rPr>
          <w:rFonts w:hint="eastAsia" w:ascii="仿宋_GB2312" w:eastAsia="仿宋_GB2312" w:cs="DengXian-Regular"/>
          <w:sz w:val="32"/>
          <w:szCs w:val="32"/>
        </w:rPr>
        <w:t>在比较分析相关资料的基础上，通过询问的形式，核查项目资料是否真实、合理，从而对部门整体支出情况作出初步的判断和评价</w:t>
      </w:r>
      <w:r>
        <w:rPr>
          <w:rFonts w:ascii="仿宋_GB2312" w:eastAsia="仿宋_GB2312" w:cs="DengXian-Regular"/>
          <w:sz w:val="32"/>
          <w:szCs w:val="32"/>
        </w:rPr>
        <w:t>。</w:t>
      </w:r>
      <w:bookmarkEnd w:id="49"/>
      <w:bookmarkEnd w:id="50"/>
    </w:p>
    <w:p>
      <w:pPr>
        <w:spacing w:after="0" w:line="360" w:lineRule="auto"/>
        <w:ind w:firstLine="640" w:firstLineChars="200"/>
        <w:jc w:val="both"/>
        <w:textAlignment w:val="baseline"/>
        <w:rPr>
          <w:rFonts w:ascii="仿宋_GB2312" w:eastAsia="仿宋_GB2312" w:cs="DengXian-Regular"/>
          <w:sz w:val="32"/>
          <w:szCs w:val="32"/>
        </w:rPr>
      </w:pPr>
      <w:bookmarkStart w:id="51" w:name="_Toc421623221"/>
      <w:bookmarkStart w:id="52" w:name="_Toc422314156"/>
      <w:r>
        <w:rPr>
          <w:rFonts w:hint="eastAsia" w:ascii="仿宋_GB2312" w:eastAsia="仿宋_GB2312" w:cs="DengXian-Regular"/>
          <w:sz w:val="32"/>
          <w:szCs w:val="32"/>
        </w:rPr>
        <w:t>3.问卷调查</w:t>
      </w:r>
      <w:r>
        <w:rPr>
          <w:rFonts w:ascii="仿宋_GB2312" w:eastAsia="仿宋_GB2312" w:cs="DengXian-Regular"/>
          <w:sz w:val="32"/>
          <w:szCs w:val="32"/>
        </w:rPr>
        <w:t>法：通过</w:t>
      </w:r>
      <w:r>
        <w:rPr>
          <w:rFonts w:hint="eastAsia" w:ascii="仿宋_GB2312" w:eastAsia="仿宋_GB2312" w:cs="DengXian-Regular"/>
          <w:sz w:val="32"/>
          <w:szCs w:val="32"/>
        </w:rPr>
        <w:t>设计调查问卷，在一定范围内随机发放，并收集分析调查问卷，</w:t>
      </w:r>
      <w:r>
        <w:rPr>
          <w:rFonts w:ascii="仿宋_GB2312" w:eastAsia="仿宋_GB2312" w:cs="DengXian-Regular"/>
          <w:sz w:val="32"/>
          <w:szCs w:val="32"/>
        </w:rPr>
        <w:t>对财政支出的效果进行</w:t>
      </w:r>
      <w:r>
        <w:rPr>
          <w:rFonts w:hint="eastAsia" w:ascii="仿宋_GB2312" w:eastAsia="仿宋_GB2312" w:cs="DengXian-Regular"/>
          <w:sz w:val="32"/>
          <w:szCs w:val="32"/>
        </w:rPr>
        <w:t>评价</w:t>
      </w:r>
      <w:r>
        <w:rPr>
          <w:rFonts w:ascii="仿宋_GB2312" w:eastAsia="仿宋_GB2312" w:cs="DengXian-Regular"/>
          <w:sz w:val="32"/>
          <w:szCs w:val="32"/>
        </w:rPr>
        <w:t>，</w:t>
      </w:r>
      <w:r>
        <w:rPr>
          <w:rFonts w:hint="eastAsia" w:ascii="仿宋_GB2312" w:eastAsia="仿宋_GB2312" w:cs="DengXian-Regular"/>
          <w:sz w:val="32"/>
          <w:szCs w:val="32"/>
        </w:rPr>
        <w:t>了解服务对象对部门履职效果</w:t>
      </w:r>
      <w:r>
        <w:rPr>
          <w:rFonts w:ascii="仿宋_GB2312" w:eastAsia="仿宋_GB2312" w:cs="DengXian-Regular"/>
          <w:sz w:val="32"/>
          <w:szCs w:val="32"/>
        </w:rPr>
        <w:t>的满意</w:t>
      </w:r>
      <w:r>
        <w:rPr>
          <w:rFonts w:hint="eastAsia" w:ascii="仿宋_GB2312" w:eastAsia="仿宋_GB2312" w:cs="DengXian-Regular"/>
          <w:sz w:val="32"/>
          <w:szCs w:val="32"/>
        </w:rPr>
        <w:t>程</w:t>
      </w:r>
      <w:r>
        <w:rPr>
          <w:rFonts w:ascii="仿宋_GB2312" w:eastAsia="仿宋_GB2312" w:cs="DengXian-Regular"/>
          <w:sz w:val="32"/>
          <w:szCs w:val="32"/>
        </w:rPr>
        <w:t>度。</w:t>
      </w:r>
      <w:bookmarkEnd w:id="51"/>
      <w:bookmarkEnd w:id="52"/>
      <w:bookmarkStart w:id="53" w:name="_Toc20821"/>
    </w:p>
    <w:p>
      <w:pPr>
        <w:spacing w:after="0" w:line="360" w:lineRule="auto"/>
        <w:ind w:firstLine="643" w:firstLineChars="200"/>
        <w:jc w:val="both"/>
        <w:textAlignment w:val="baseline"/>
        <w:rPr>
          <w:rFonts w:ascii="楷体_GB2312" w:eastAsia="楷体_GB2312" w:hAnsiTheme="minorEastAsia"/>
          <w:b/>
          <w:bCs/>
          <w:kern w:val="2"/>
          <w:sz w:val="32"/>
        </w:rPr>
      </w:pPr>
      <w:r>
        <w:rPr>
          <w:rFonts w:hint="eastAsia" w:ascii="楷体_GB2312" w:eastAsia="楷体_GB2312" w:hAnsiTheme="minorEastAsia"/>
          <w:b/>
          <w:bCs/>
          <w:kern w:val="2"/>
          <w:sz w:val="32"/>
        </w:rPr>
        <w:t>（六）绩效评价工作过程</w:t>
      </w:r>
      <w:bookmarkEnd w:id="45"/>
      <w:bookmarkEnd w:id="46"/>
      <w:bookmarkEnd w:id="53"/>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本次绩效评价工作经过了前期准备、绩效评价实施方案和指标体系制定、组织实施、绩效评价报告撰写四个阶段。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1.前期准备阶段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充分收集相关资料，主要包括部门职责、工作活动、预决算文本、相关管理制度、资金使用等相关资料，为制定绩效评价实施方案和指标体系奠定了基础。</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2.制定绩效评价实施方案和体系</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基于对相关资料的收集，制定绩效评价实施方案和体系,确定最终方案。</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3.组织实施阶段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绩效评价实施方案和指标体系，对本单位开展评价工作，包括查看预决算文本及部门工作活动绩效目标和指标；比对预决算的调整及执行情况；核查固定资产管理的规范性；核查明细账与决算报表项目的一致性；对项目产出情况进行了解查看；随机选取服务对象进行满意度调查；对一些专业的问题咨询相关专家等。根据收集的数据、资料进行核对、比较、计算，对部门整体支出进行评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4.撰写绩效评价报告</w:t>
      </w:r>
      <w:bookmarkStart w:id="54" w:name="_Toc465149511"/>
      <w:bookmarkStart w:id="55" w:name="_Toc492652781"/>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在完成对各评价指标评分定级的基础上，开始进行报告撰写工作。</w:t>
      </w:r>
    </w:p>
    <w:p>
      <w:pPr>
        <w:pStyle w:val="3"/>
        <w:spacing w:before="0" w:after="0" w:line="360" w:lineRule="auto"/>
        <w:ind w:firstLine="643" w:firstLineChars="200"/>
        <w:rPr>
          <w:rFonts w:ascii="黑体"/>
        </w:rPr>
      </w:pPr>
      <w:bookmarkStart w:id="56" w:name="_Toc6467"/>
      <w:r>
        <w:rPr>
          <w:rFonts w:hint="eastAsia" w:ascii="黑体"/>
        </w:rPr>
        <w:t>四、</w:t>
      </w:r>
      <w:bookmarkEnd w:id="54"/>
      <w:bookmarkEnd w:id="55"/>
      <w:bookmarkStart w:id="57" w:name="_Toc492652782"/>
      <w:r>
        <w:rPr>
          <w:rFonts w:hint="eastAsia" w:ascii="黑体"/>
        </w:rPr>
        <w:t>绩效评价评分情况</w:t>
      </w:r>
      <w:bookmarkEnd w:id="56"/>
    </w:p>
    <w:bookmarkEnd w:id="57"/>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rPr>
        <w:t>保定市徐水区民兵训练基地部门整体支出绩效评价总得分为97分，综合绩效评价等级为“优”。各项得分情况如下</w:t>
      </w:r>
      <w:r>
        <w:rPr>
          <w:rFonts w:hint="eastAsia" w:ascii="仿宋_GB2312" w:eastAsia="仿宋_GB2312" w:cs="Times New Roman" w:hAnsiTheme="minorEastAsia"/>
          <w:sz w:val="32"/>
          <w:szCs w:val="32"/>
          <w:u w:color="000000"/>
        </w:rPr>
        <w:t>：</w:t>
      </w:r>
      <w:r>
        <w:rPr>
          <w:rFonts w:ascii="仿宋_GB2312" w:eastAsia="仿宋_GB2312" w:cs="Times New Roman" w:hAnsiTheme="minorEastAsia"/>
          <w:sz w:val="32"/>
          <w:szCs w:val="32"/>
          <w:u w:color="000000"/>
        </w:rPr>
        <w:t xml:space="preserve"> </w:t>
      </w:r>
    </w:p>
    <w:p>
      <w:pPr>
        <w:pStyle w:val="4"/>
        <w:spacing w:before="0" w:after="0"/>
        <w:ind w:firstLine="643" w:firstLineChars="200"/>
        <w:jc w:val="both"/>
        <w:rPr>
          <w:rFonts w:ascii="楷体_GB2312" w:eastAsia="楷体_GB2312" w:hAnsiTheme="minorEastAsia"/>
          <w:kern w:val="2"/>
          <w:sz w:val="32"/>
        </w:rPr>
      </w:pPr>
      <w:bookmarkStart w:id="58" w:name="_Toc492652783"/>
      <w:bookmarkStart w:id="59" w:name="_Toc4390"/>
      <w:r>
        <w:rPr>
          <w:rFonts w:hint="eastAsia" w:ascii="楷体_GB2312" w:eastAsia="楷体_GB2312" w:hAnsiTheme="minorEastAsia"/>
          <w:kern w:val="2"/>
          <w:sz w:val="32"/>
        </w:rPr>
        <w:t>（一）</w:t>
      </w:r>
      <w:bookmarkEnd w:id="58"/>
      <w:r>
        <w:rPr>
          <w:rFonts w:hint="eastAsia" w:ascii="楷体_GB2312" w:eastAsia="楷体_GB2312" w:hAnsiTheme="minorEastAsia"/>
          <w:kern w:val="2"/>
          <w:sz w:val="32"/>
        </w:rPr>
        <w:t>投入（12分）</w:t>
      </w:r>
      <w:bookmarkEnd w:id="59"/>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rPr>
        <w:t>该一级指标包含绩效目标设定和预算配置两个二级指标，主要反映绩效目标设定是否合理、科学，绩效指标的制定是否清晰、可衡量，预算编制是否完整，项目预算是否细化及在职人员控制情况。</w:t>
      </w:r>
      <w:r>
        <w:rPr>
          <w:rFonts w:hint="eastAsia" w:ascii="仿宋_GB2312" w:eastAsia="仿宋_GB2312" w:cs="Times New Roman" w:hAnsiTheme="minorEastAsia"/>
          <w:sz w:val="32"/>
          <w:szCs w:val="32"/>
          <w:u w:color="000000"/>
        </w:rPr>
        <w:tab/>
      </w:r>
    </w:p>
    <w:p>
      <w:pPr>
        <w:spacing w:after="0" w:line="360" w:lineRule="auto"/>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表2  投入指标及得分情况表</w:t>
      </w:r>
    </w:p>
    <w:tbl>
      <w:tblPr>
        <w:tblStyle w:val="23"/>
        <w:tblW w:w="0" w:type="auto"/>
        <w:tblInd w:w="7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9"/>
        <w:gridCol w:w="1418"/>
        <w:gridCol w:w="1701"/>
        <w:gridCol w:w="1276"/>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一级指标</w:t>
            </w:r>
          </w:p>
        </w:tc>
        <w:tc>
          <w:tcPr>
            <w:tcW w:w="1418"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二级指标</w:t>
            </w:r>
          </w:p>
        </w:tc>
        <w:tc>
          <w:tcPr>
            <w:tcW w:w="1701"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三级指标</w:t>
            </w:r>
          </w:p>
        </w:tc>
        <w:tc>
          <w:tcPr>
            <w:tcW w:w="1276"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分值权重</w:t>
            </w:r>
          </w:p>
        </w:tc>
        <w:tc>
          <w:tcPr>
            <w:tcW w:w="1134"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投入</w:t>
            </w:r>
          </w:p>
          <w:p>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（12分）</w:t>
            </w:r>
          </w:p>
        </w:tc>
        <w:tc>
          <w:tcPr>
            <w:tcW w:w="1418" w:type="dxa"/>
            <w:vMerge w:val="restart"/>
            <w:vAlign w:val="center"/>
          </w:tcPr>
          <w:p>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绩效目标设定（6分）</w:t>
            </w: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绩效目标合理性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绩效目标科学性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绩效指标明确性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预算配置</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（6分）</w:t>
            </w: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预算编制完整性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项目预算细化率</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在职人员控制率</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977" w:type="dxa"/>
            <w:gridSpan w:val="2"/>
            <w:vAlign w:val="center"/>
          </w:tcPr>
          <w:p>
            <w:pPr>
              <w:spacing w:line="420" w:lineRule="exact"/>
              <w:ind w:firstLine="420" w:firstLineChars="200"/>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合计</w:t>
            </w:r>
          </w:p>
        </w:tc>
        <w:tc>
          <w:tcPr>
            <w:tcW w:w="1701" w:type="dxa"/>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w:t>
            </w:r>
          </w:p>
        </w:tc>
      </w:tr>
    </w:tbl>
    <w:p>
      <w:pPr>
        <w:spacing w:after="0" w:line="360" w:lineRule="auto"/>
        <w:ind w:firstLine="640" w:firstLineChars="200"/>
        <w:jc w:val="both"/>
        <w:textAlignment w:val="baseline"/>
        <w:rPr>
          <w:rFonts w:ascii="仿宋_GB2312" w:eastAsia="仿宋_GB2312" w:cs="DengXian-Regular"/>
          <w:sz w:val="32"/>
          <w:szCs w:val="32"/>
        </w:rPr>
      </w:pPr>
      <w:bookmarkStart w:id="60" w:name="_Toc464638478"/>
      <w:bookmarkStart w:id="61" w:name="_Toc465149513"/>
      <w:r>
        <w:rPr>
          <w:rFonts w:hint="eastAsia" w:ascii="仿宋_GB2312" w:eastAsia="仿宋_GB2312" w:cs="DengXian-Regular"/>
          <w:sz w:val="32"/>
          <w:szCs w:val="32"/>
        </w:rPr>
        <w:t>1.绩效目标设定（6分）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（1）绩效目标合理性(2分)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的职责设定是否符合“三定”方案中所赋予的职责；工作活动是否与部门职责、工作规划和重点工作相关；工作活动项下确定的预算项目是否合理，是否与工作活动密切相关；工作活动和项目预算安排是否合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对比保定市徐水区机构编制委员会文件，关于印发《保定市徐水区民兵训练基地主要职责内设机构和人员控制数规定》的通知，和本单位2019年预算文本—部门职责工作活动绩效目标，评价工作组认为本单位部门职责符合“三定”方案中所赋予的职责，绩效目标设立依据充分，符合客观实际，与部门职责、工作规划和重点工作相关，工作活动和项目预算安排合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（2）绩效目标科学性（2分）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批复的部门年度发展规划目标和部门职责分类绩效目标是否充分，是否与部门履职、年度工作任务相符；工作活动是否有明确的绩效目标，绩效目标是否与部门职责目标、部门年度工作目标一致，是否能体现工作活动的产出和效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保定市徐水区民兵训练基地2019年预算文本—部门职责工作活动绩效目标（详见附件4），绩效目标与部门履职、年度工作任务相符；工作活动有明确的绩效目标，绩效目标与部门职责目标、部门年度工作目标一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（3）绩效目标明确性（2分）</w:t>
      </w:r>
    </w:p>
    <w:p>
      <w:pPr>
        <w:spacing w:after="0" w:line="360" w:lineRule="auto"/>
        <w:ind w:firstLine="640" w:firstLineChars="200"/>
        <w:jc w:val="both"/>
        <w:textAlignment w:val="baseline"/>
        <w:rPr>
          <w:rFonts w:ascii="仿宋_GB2312" w:eastAsia="仿宋_GB2312" w:cs="DengXian-Regular"/>
          <w:sz w:val="32"/>
          <w:szCs w:val="32"/>
          <w:highlight w:val="yellow"/>
        </w:rPr>
      </w:pPr>
      <w:r>
        <w:rPr>
          <w:rFonts w:hint="eastAsia" w:ascii="仿宋_GB2312" w:eastAsia="仿宋_GB2312" w:cs="DengXian-Regular"/>
          <w:sz w:val="32"/>
          <w:szCs w:val="32"/>
        </w:rPr>
        <w:t>该指标主要评价是否将部门整体的绩效目标细化分解为具体的工作任务，工作活动、预算项目绩效指标是否清晰、细化、可评价、可衡量；工作活动、预算项目绩效指标的评价标准是否清晰、可衡量；是否与部门年度的任务数或计划数相对应。</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根据保定市徐水区民兵训练基地2019年预算文本—部门职责工作活动绩效目标,该指标实际得分2分。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2.预算配置（6分）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（1）预算编制完整性（2分）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该指标主要评价部门所有收入是否全部纳入部门预算，部门支出预算是否统筹各类支出，按基本支出、项目支出分别编制。</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根据保定市徐水区民兵训练基地2019年预算文本及相关会计资料，保定市徐水区民兵训练基地所有收入均已纳入部门预算，部门支出按基本支出、项目支出分别编制。</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（2）项目预算细化率（2分）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该指标主要评价编报的项目支出是否细化到具体用款单位和项目的资金额度，通过项目预算细化率衡量。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项目预算细化率=细化的项目金额/实际编报的项目金额×100%。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根据保定市徐水区民兵训练基地2019年预算文本—部门项目支出预算表， 2019年预算项目共1个（详见附件2-2-2），涉及资金120万元，该项目均细化到具体用款单位及项目资金额度。项目预算细化率=（120/120）*100%=100%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（3）在职人员控制率（2分）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该指标主要考核截至2019年底保定市徐水区民兵训练基地在职人员控制情况，通过在职人员控制率衡量。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在职人员控制率=决算在职人员/人员控制数×100%。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保定市徐水区机构编制委员会文件，关于印发《保定市徐水区民兵训练基地主要职责内设机构和人员控制数规定》的通知，保定市徐水区民兵训练基地人员编制6人，根据保定市徐水区民兵训练基地2019年决算文本-部门基本情况表，截至2019年底，在职人员10人，在职人员控制率=（10/6）*100%=167%。</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该指标实际得分0分。</w:t>
      </w:r>
    </w:p>
    <w:bookmarkEnd w:id="60"/>
    <w:bookmarkEnd w:id="61"/>
    <w:p>
      <w:pPr>
        <w:pStyle w:val="4"/>
        <w:spacing w:before="0" w:after="0"/>
        <w:ind w:firstLine="643" w:firstLineChars="200"/>
        <w:jc w:val="both"/>
        <w:rPr>
          <w:rFonts w:ascii="楷体" w:hAnsi="楷体" w:eastAsia="楷体"/>
          <w:sz w:val="32"/>
        </w:rPr>
      </w:pPr>
      <w:bookmarkStart w:id="62" w:name="_Toc19940"/>
      <w:r>
        <w:rPr>
          <w:rFonts w:hint="eastAsia" w:ascii="楷体" w:hAnsi="楷体" w:eastAsia="楷体"/>
          <w:sz w:val="32"/>
        </w:rPr>
        <w:t>（二）过程（48分）</w:t>
      </w:r>
      <w:bookmarkEnd w:id="62"/>
    </w:p>
    <w:p>
      <w:pPr>
        <w:spacing w:after="0" w:line="360" w:lineRule="auto"/>
        <w:ind w:firstLine="560" w:firstLineChars="200"/>
        <w:jc w:val="both"/>
        <w:textAlignment w:val="baseline"/>
        <w:rPr>
          <w:rFonts w:ascii="仿宋_GB2312" w:eastAsia="仿宋_GB2312" w:cs="DengXian-Regular"/>
          <w:sz w:val="28"/>
          <w:szCs w:val="32"/>
        </w:rPr>
      </w:pPr>
      <w:bookmarkStart w:id="63" w:name="_Toc464638480"/>
      <w:r>
        <w:rPr>
          <w:rFonts w:hint="eastAsia" w:ascii="仿宋_GB2312" w:eastAsia="仿宋_GB2312" w:cs="DengXian-Regular"/>
          <w:sz w:val="28"/>
          <w:szCs w:val="32"/>
        </w:rPr>
        <w:t>该一级指标包含预算执行、预算管理和绩效评价三个二级指标，主要反映预算调整、收入支出完成情况，“三公”经费、政府采购执行情况，财务管理是否规范、资金使用是否合规，决算真实性。</w:t>
      </w:r>
    </w:p>
    <w:p>
      <w:pPr>
        <w:spacing w:after="0" w:line="360" w:lineRule="auto"/>
        <w:jc w:val="center"/>
        <w:textAlignment w:val="baseline"/>
        <w:rPr>
          <w:rFonts w:asciiTheme="minorEastAsia" w:hAnsiTheme="minorEastAsia" w:eastAsiaTheme="minorEastAsia" w:cstheme="minorEastAsia"/>
          <w:b/>
          <w:bCs/>
          <w:sz w:val="28"/>
          <w:szCs w:val="32"/>
        </w:rPr>
      </w:pPr>
    </w:p>
    <w:p>
      <w:pPr>
        <w:spacing w:after="0" w:line="360" w:lineRule="auto"/>
        <w:jc w:val="center"/>
        <w:textAlignment w:val="baseline"/>
        <w:rPr>
          <w:rFonts w:asciiTheme="minorEastAsia" w:hAnsiTheme="minorEastAsia" w:eastAsiaTheme="minorEastAsia" w:cstheme="minorEastAsia"/>
          <w:b/>
          <w:bCs/>
          <w:sz w:val="28"/>
          <w:szCs w:val="32"/>
        </w:rPr>
      </w:pPr>
    </w:p>
    <w:p>
      <w:pPr>
        <w:spacing w:after="0" w:line="360" w:lineRule="auto"/>
        <w:jc w:val="center"/>
        <w:textAlignment w:val="baseline"/>
        <w:rPr>
          <w:rFonts w:asciiTheme="minorEastAsia" w:hAnsiTheme="minorEastAsia" w:eastAsiaTheme="minorEastAsia" w:cstheme="minorEastAsia"/>
          <w:b/>
          <w:bCs/>
          <w:sz w:val="28"/>
          <w:szCs w:val="32"/>
        </w:rPr>
      </w:pPr>
      <w:r>
        <w:rPr>
          <w:rFonts w:hint="eastAsia" w:asciiTheme="minorEastAsia" w:hAnsiTheme="minorEastAsia" w:eastAsiaTheme="minorEastAsia" w:cstheme="minorEastAsia"/>
          <w:b/>
          <w:bCs/>
          <w:sz w:val="28"/>
          <w:szCs w:val="32"/>
        </w:rPr>
        <w:t>表3  过程指标及得分情况表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557"/>
        <w:gridCol w:w="1388"/>
        <w:gridCol w:w="2277"/>
        <w:gridCol w:w="115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388"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277"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155"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276"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过程（48分）</w:t>
            </w: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预算执行</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（24分）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预算收入调整率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收入完成率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预算支出调整率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财政拨款支出完成率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“三公经费”控制率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政府采购执行率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资金使用合规性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决算真实性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预算管理</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（16分）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管理制度健全性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预决算信息公开</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基础信息完善性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资产管理规范性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绩效评价</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绩效自评覆盖率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2"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绩效评价优等率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p>
            <w:pPr>
              <w:spacing w:line="420" w:lineRule="exact"/>
              <w:jc w:val="center"/>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2945" w:type="dxa"/>
            <w:gridSpan w:val="2"/>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277" w:type="dxa"/>
            <w:vAlign w:val="center"/>
          </w:tcPr>
          <w:p>
            <w:pPr>
              <w:spacing w:line="420" w:lineRule="exact"/>
              <w:jc w:val="center"/>
              <w:rPr>
                <w:rFonts w:cs="宋体" w:asciiTheme="minorEastAsia" w:hAnsiTheme="minorEastAsia" w:eastAsiaTheme="minorEastAsia"/>
                <w:sz w:val="21"/>
                <w:szCs w:val="21"/>
              </w:rPr>
            </w:pP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48</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47</w:t>
            </w:r>
          </w:p>
        </w:tc>
      </w:tr>
      <w:bookmarkEnd w:id="63"/>
    </w:tbl>
    <w:p>
      <w:pPr>
        <w:spacing w:after="0" w:line="360" w:lineRule="auto"/>
        <w:ind w:firstLine="640" w:firstLineChars="200"/>
        <w:jc w:val="both"/>
        <w:textAlignment w:val="baseline"/>
        <w:rPr>
          <w:rFonts w:ascii="仿宋_GB2312" w:eastAsia="仿宋_GB2312" w:cs="DengXian-Regular"/>
          <w:sz w:val="32"/>
          <w:szCs w:val="32"/>
        </w:rPr>
      </w:pPr>
      <w:bookmarkStart w:id="64" w:name="_Toc465149514"/>
      <w:bookmarkStart w:id="65" w:name="_Toc464638487"/>
      <w:r>
        <w:rPr>
          <w:rFonts w:hint="eastAsia" w:ascii="仿宋_GB2312" w:eastAsia="仿宋_GB2312" w:cs="DengXian-Regular"/>
          <w:sz w:val="32"/>
          <w:szCs w:val="32"/>
        </w:rPr>
        <w:t>1.预算执行（24分）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（1）预算收入调整率（2分）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该指标主要评价预算收入的调整情况，进而衡量预算收入编制的准确性，通过预算收入调整率衡量。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预算收入调整率=（调整预算数-年初预算数）/年初预算数*100%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（2）收入完成率（4分）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该指标主要评价部门预算收入的完成情况，用以反映部门预算收入的完成程度，通过收入完成率衡量。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收入完成率=（决算收入/预算收入）×100%。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（3）预算支出调整率（2分）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该指标主要评价预算支出的调整情况，进而衡量预算支出编制的准确性，通过预算支出调整率衡量。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预算支出调整率=（调整预算数-年初预算数）/年初预算数*100%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（4）财政拨款支出完成率（4分）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该指标主要评价部门财政拨款的支出进度，通过财政拨款支出完成率来衡量。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财政拨款支出完成率=（部门决算财政拨款支出/部门决算财政拨款收入）*100%。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（5）“三公”经费控制率（3分）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该指标主要评价“三公”经费是否得到有效控制，通过“三公”经费控制率来衡量。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“三公”经费控制率=（实际支出数/预算数）*100%。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（6）政府采购执行率（3分）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该指标主要评价部门是否有效执行政府采购政策，通过政府采购执行率来衡量。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政府采购执行率=（实际政府采购金额/政府采购预算金额）*100%。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该指标实际得分为3分。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（7）资金使用合规性（3分）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该指标主要评价资金使用是否按照相关法律法规和资金管理办法规定的用途使用，财务管理是否符合相关会计准则和财务制度。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保定市徐水区民兵训练基地2019年明细账、会计凭证等相关资料，本单位资金使用符合相关会计准则和财务制度，资金拨付有完备的审批程序和手续，资金使用符合部门预算批复的用途，未发现截留、挤占、挪用财政资金的情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（8）决算真实性（3分）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该指标主要评价决算编制数据是否与账表一致，即决算报表数据与会计账簿数据是否一致。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经核查保定市徐水区民兵训练基地2019年决算文本、明细账及总账，本单位决算文本数据均与明细账、总账一致。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2.预算管理（16分）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（1）管理制度健全性（4分）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该指标主要评价部门是否制定资金管理办法、财务管理制度、会计核算制度等相关内部控制制度，制度执行是否得到有效执行。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保定市徐水区民兵训练基地工作制度涵盖了财务制度、网络安全制度、公务用车制度等相关制度，经检查本单位付款流程审批单、资产盘点表等资料，本单位已按照相关管理制度的规定执行。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（2）预决算信息公开性（4分）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该指标主要评价部门是否按照政府信息公开的有关要求在相关网站公开部门预算、预算执行情况、年度工作任务等相关信息。</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保定市徐水区民兵训练基地2019年按政府信息公开的有关要求在保定市徐水区人民政府网公开了2019年的预决算情况、部门责任清单、行政监督清单等相关信息。</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（3）基础信息完善性（4分）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该指标主要评价基础数据信息和财务信息资料是否真实、完整。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根据保定市徐水区民兵训练基地提供的会计账簿、凭证及其他相关资料，该单位会计信息资料真实完整，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（4）资产管理规范性（4分）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该指标主要评价资产管理是否规范，是否建立资产台账，新增资产是否符合规定程序和规定标准，资产的配置是否合规，资产保存是否完整。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保定市徐水区民兵训练基地没有固定资产。</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3.绩效评价（8分）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（1）绩效自评覆盖率（4分）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该指标主要评价部门是否按相关要求实施绩效自评，通过绩效自评覆盖率来衡量。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绩效自评覆盖率=（报送相关自评材料的数量/应实施项目绩效自评数量）*100%。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徐水区财政局《关于开展2019年度财政专项资金部门绩效自评价工作的通知》及保定市徐水区民兵训练基地2019年一般项目部门绩效自评表，保定市徐水区民兵训练基地2019年开展绩效自评的项目数为1个，年初预算文本项目数1个，要求自评项目个数1个，自评覆盖率为 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（2）绩效评价优等率（4分）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该指标主要评价部门开展的绩效评价项目的完成质量，通过绩效评价优等率来衡量。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绩效评价优等率=（结果达到优等的数量/参评数量）*100%。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保定市徐水区民兵训练基地2019年参评数量1个，绩效评价结果达到优等的数量1个，绩效评价优等率为90%。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该指标实际得分3分。</w:t>
      </w:r>
      <w:bookmarkEnd w:id="64"/>
      <w:bookmarkEnd w:id="65"/>
    </w:p>
    <w:p>
      <w:pPr>
        <w:pStyle w:val="4"/>
        <w:spacing w:before="0" w:after="0"/>
        <w:ind w:firstLine="643" w:firstLineChars="200"/>
        <w:jc w:val="both"/>
        <w:rPr>
          <w:rFonts w:ascii="楷体" w:hAnsi="楷体" w:eastAsia="楷体"/>
          <w:sz w:val="32"/>
        </w:rPr>
      </w:pPr>
      <w:bookmarkStart w:id="66" w:name="_Toc12330"/>
      <w:r>
        <w:rPr>
          <w:rFonts w:hint="eastAsia" w:ascii="楷体" w:hAnsi="楷体" w:eastAsia="楷体"/>
          <w:sz w:val="32"/>
        </w:rPr>
        <w:t>（三）产出（25分）</w:t>
      </w:r>
      <w:bookmarkEnd w:id="66"/>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该一级指标包含责任履行一个二级指标，主要反映结转结余率，项目资金使用率，完成及时率，质量达标率，重点工作办结率。</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表4  产出指标及得分情况表</w:t>
      </w:r>
    </w:p>
    <w:tbl>
      <w:tblPr>
        <w:tblStyle w:val="23"/>
        <w:tblW w:w="0" w:type="auto"/>
        <w:jc w:val="center"/>
        <w:tblLayout w:type="fixed"/>
        <w:tblCellMar>
          <w:top w:w="15" w:type="dxa"/>
          <w:left w:w="15" w:type="dxa"/>
          <w:bottom w:w="15" w:type="dxa"/>
          <w:right w:w="15" w:type="dxa"/>
        </w:tblCellMar>
      </w:tblPr>
      <w:tblGrid>
        <w:gridCol w:w="1577"/>
        <w:gridCol w:w="1004"/>
        <w:gridCol w:w="2536"/>
        <w:gridCol w:w="1125"/>
        <w:gridCol w:w="853"/>
      </w:tblGrid>
      <w:tr>
        <w:tblPrEx>
          <w:tblCellMar>
            <w:top w:w="15" w:type="dxa"/>
            <w:left w:w="15" w:type="dxa"/>
            <w:bottom w:w="15" w:type="dxa"/>
            <w:right w:w="15" w:type="dxa"/>
          </w:tblCellMar>
        </w:tblPrEx>
        <w:trPr>
          <w:trHeight w:val="397" w:hRule="exact"/>
          <w:jc w:val="center"/>
        </w:trPr>
        <w:tc>
          <w:tcPr>
            <w:tcW w:w="1577"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004"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CellMar>
            <w:top w:w="15" w:type="dxa"/>
            <w:left w:w="15" w:type="dxa"/>
            <w:bottom w:w="15" w:type="dxa"/>
            <w:right w:w="15" w:type="dxa"/>
          </w:tblCellMar>
        </w:tblPrEx>
        <w:trPr>
          <w:trHeight w:val="397" w:hRule="exact"/>
          <w:jc w:val="center"/>
        </w:trPr>
        <w:tc>
          <w:tcPr>
            <w:tcW w:w="1577" w:type="dxa"/>
            <w:vMerge w:val="restart"/>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产出</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（25分）</w:t>
            </w:r>
          </w:p>
        </w:tc>
        <w:tc>
          <w:tcPr>
            <w:tcW w:w="1004" w:type="dxa"/>
            <w:vMerge w:val="restart"/>
            <w:tcBorders>
              <w:top w:val="single" w:color="000000" w:sz="4" w:space="0"/>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责任履行（25分）</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结转结余率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项目资金使用率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完成及时率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质量达标率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重点工作办结率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tblPrEx>
          <w:tblCellMar>
            <w:top w:w="15" w:type="dxa"/>
            <w:left w:w="15" w:type="dxa"/>
            <w:bottom w:w="15" w:type="dxa"/>
            <w:right w:w="15" w:type="dxa"/>
          </w:tblCellMar>
        </w:tblPrEx>
        <w:trPr>
          <w:trHeight w:val="397" w:hRule="exact"/>
          <w:jc w:val="center"/>
        </w:trPr>
        <w:tc>
          <w:tcPr>
            <w:tcW w:w="2581" w:type="dxa"/>
            <w:gridSpan w:val="2"/>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25</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25</w:t>
            </w:r>
          </w:p>
        </w:tc>
      </w:tr>
    </w:tbl>
    <w:p>
      <w:pPr>
        <w:spacing w:after="0" w:line="360" w:lineRule="auto"/>
        <w:ind w:firstLine="640" w:firstLineChars="200"/>
        <w:jc w:val="both"/>
        <w:textAlignment w:val="baseline"/>
        <w:rPr>
          <w:rFonts w:ascii="仿宋_GB2312" w:eastAsia="仿宋_GB2312" w:cs="DengXian-Regular"/>
          <w:sz w:val="32"/>
          <w:szCs w:val="32"/>
        </w:rPr>
      </w:pPr>
      <w:bookmarkStart w:id="67" w:name="_Toc464638518"/>
      <w:bookmarkStart w:id="68" w:name="_Toc465149515"/>
      <w:r>
        <w:rPr>
          <w:rFonts w:hint="eastAsia" w:ascii="仿宋_GB2312" w:eastAsia="仿宋_GB2312" w:cs="DengXian-Regular"/>
          <w:sz w:val="32"/>
          <w:szCs w:val="32"/>
        </w:rPr>
        <w:t>1.结转结余率（5分）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该指标主要评价部门的结转结余情况，通过结转结余率衡量。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结转结余率=（本年结转结余数/决算收入数）*100%。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根据保定市徐水区民兵训练基地2019年决算文本及相关资料，保定市徐水区民兵训练基地2019年结转结余资金0万元，决算收入259.13万元，结转结余率0.0%。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2.项目资金使用率（5分）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该指标主要评价项目资金的使用效率，通过项目资金使用率来衡量。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项目资金使用率=（实际支出项目资金总额/计划完整项目资金总数）*100%。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保定市徐水区民兵训练基地2019年实际支出项目资金总额120万元，年初预算共1个项目，预算数120万元，年中追加项目资金0万元，项目资金使用率为100%。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3.完成及时率（5分）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该指标主要评价项目的完成及时情况，通过项目完成率来衡量。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完成及时率=（部门在规定时限内及时完成的实际项目数/计划项目数的比率）*100%。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本单位2019年年初预算项目及追加项目全部在规定时限内完成，完成及时率达到100%。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w:t>
      </w:r>
      <w:r>
        <w:rPr>
          <w:rFonts w:hint="eastAsia" w:cs="宋体" w:asciiTheme="minorEastAsia" w:hAnsiTheme="minorEastAsia" w:eastAsiaTheme="minorEastAsia"/>
          <w:sz w:val="21"/>
          <w:szCs w:val="21"/>
        </w:rPr>
        <w:t xml:space="preserve"> </w:t>
      </w:r>
      <w:r>
        <w:rPr>
          <w:rFonts w:hint="eastAsia" w:ascii="仿宋_GB2312" w:eastAsia="仿宋_GB2312" w:cs="DengXian-Regular"/>
          <w:sz w:val="32"/>
          <w:szCs w:val="32"/>
        </w:rPr>
        <w:t>质量达标率（5分）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该指标主要评价项目是否按照绩效标准</w:t>
      </w:r>
      <w:r>
        <w:rPr>
          <w:rFonts w:hint="eastAsia" w:ascii="仿宋_GB2312" w:eastAsia="仿宋_GB2312" w:cs="DengXian-Regular"/>
          <w:sz w:val="32"/>
          <w:szCs w:val="32"/>
          <w:lang w:eastAsia="zh-CN"/>
        </w:rPr>
        <w:t>实施</w:t>
      </w:r>
      <w:r>
        <w:rPr>
          <w:rFonts w:hint="eastAsia" w:ascii="仿宋_GB2312" w:eastAsia="仿宋_GB2312" w:cs="DengXian-Regular"/>
          <w:sz w:val="32"/>
          <w:szCs w:val="32"/>
        </w:rPr>
        <w:t>，通过达到绩效标准值的实际项目数与计划项目数的比率来衡量。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质量达标率=(达到绩效标准值的实际项目数/计划项目数的比率)*100%。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本单位2019年预算项目全部按照绩效标准</w:t>
      </w:r>
      <w:r>
        <w:rPr>
          <w:rFonts w:hint="eastAsia" w:ascii="仿宋_GB2312" w:eastAsia="仿宋_GB2312" w:cs="DengXian-Regular"/>
          <w:sz w:val="32"/>
          <w:szCs w:val="32"/>
          <w:lang w:eastAsia="zh-CN"/>
        </w:rPr>
        <w:t>实施</w:t>
      </w:r>
      <w:r>
        <w:rPr>
          <w:rFonts w:hint="eastAsia" w:ascii="仿宋_GB2312" w:eastAsia="仿宋_GB2312" w:cs="DengXian-Regular"/>
          <w:sz w:val="32"/>
          <w:szCs w:val="32"/>
        </w:rPr>
        <w:t>并全部完成，质量达标率100%。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5.重点工作办结率（5分）</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该指标主要评价重点工作办结情况，通过重点工作办结率来衡量。</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重点工作办结率=（部门（单位）年度重点工作实际完成数/交办或下达数的比率）*100%。</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本单位2019年无重点工作。</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该指标实际得分5分。</w:t>
      </w:r>
    </w:p>
    <w:p>
      <w:pPr>
        <w:pStyle w:val="4"/>
        <w:spacing w:before="0" w:after="0"/>
        <w:ind w:firstLine="643" w:firstLineChars="200"/>
        <w:jc w:val="both"/>
        <w:rPr>
          <w:rFonts w:ascii="楷体" w:hAnsi="楷体" w:eastAsia="楷体"/>
          <w:sz w:val="32"/>
        </w:rPr>
      </w:pPr>
      <w:bookmarkStart w:id="69" w:name="_Toc28363"/>
      <w:r>
        <w:rPr>
          <w:rFonts w:hint="eastAsia" w:ascii="楷体" w:hAnsi="楷体" w:eastAsia="楷体"/>
          <w:sz w:val="32"/>
        </w:rPr>
        <w:t>（四）效果</w:t>
      </w:r>
      <w:bookmarkEnd w:id="67"/>
      <w:bookmarkEnd w:id="68"/>
      <w:r>
        <w:rPr>
          <w:rFonts w:hint="eastAsia" w:ascii="楷体" w:hAnsi="楷体" w:eastAsia="楷体"/>
          <w:sz w:val="32"/>
        </w:rPr>
        <w:t>（15分）</w:t>
      </w:r>
      <w:bookmarkEnd w:id="69"/>
    </w:p>
    <w:p>
      <w:pPr>
        <w:spacing w:after="0" w:line="360" w:lineRule="auto"/>
        <w:ind w:firstLine="640" w:firstLineChars="200"/>
        <w:jc w:val="both"/>
        <w:textAlignment w:val="baseline"/>
        <w:rPr>
          <w:rFonts w:ascii="仿宋_GB2312" w:eastAsia="仿宋_GB2312" w:cs="DengXian-Regular"/>
          <w:sz w:val="32"/>
          <w:szCs w:val="32"/>
        </w:rPr>
      </w:pPr>
      <w:bookmarkStart w:id="70" w:name="_Toc464638520"/>
      <w:r>
        <w:rPr>
          <w:rFonts w:hint="eastAsia" w:ascii="仿宋_GB2312" w:eastAsia="仿宋_GB2312" w:cs="DengXian-Regular"/>
          <w:sz w:val="32"/>
          <w:szCs w:val="32"/>
        </w:rPr>
        <w:t>该一级指标包含履职效益一个二级指标。主要反映部门履行职责对社会发展所带来的直接或间接效益及社会公众或部门的服务对象对部门履职效果的满意程度。</w:t>
      </w:r>
    </w:p>
    <w:p>
      <w:pPr>
        <w:spacing w:after="0" w:line="360" w:lineRule="auto"/>
        <w:jc w:val="center"/>
        <w:textAlignment w:val="baseline"/>
        <w:rPr>
          <w:rFonts w:asciiTheme="minorEastAsia" w:hAnsiTheme="minorEastAsia" w:eastAsiaTheme="minorEastAsia" w:cstheme="minorEastAsia"/>
          <w:b/>
          <w:bCs/>
          <w:sz w:val="28"/>
          <w:szCs w:val="32"/>
        </w:rPr>
      </w:pPr>
      <w:r>
        <w:rPr>
          <w:rFonts w:hint="eastAsia" w:asciiTheme="minorEastAsia" w:hAnsiTheme="minorEastAsia" w:eastAsiaTheme="minorEastAsia" w:cstheme="minorEastAsia"/>
          <w:b/>
          <w:bCs/>
          <w:sz w:val="28"/>
          <w:szCs w:val="32"/>
        </w:rPr>
        <w:t>表5  效果指标及得分情况表</w:t>
      </w:r>
    </w:p>
    <w:tbl>
      <w:tblPr>
        <w:tblStyle w:val="23"/>
        <w:tblW w:w="0" w:type="auto"/>
        <w:jc w:val="center"/>
        <w:tblLayout w:type="fixed"/>
        <w:tblCellMar>
          <w:top w:w="15" w:type="dxa"/>
          <w:left w:w="15" w:type="dxa"/>
          <w:bottom w:w="15" w:type="dxa"/>
          <w:right w:w="15" w:type="dxa"/>
        </w:tblCellMar>
      </w:tblPr>
      <w:tblGrid>
        <w:gridCol w:w="1468"/>
        <w:gridCol w:w="1155"/>
        <w:gridCol w:w="2130"/>
        <w:gridCol w:w="1200"/>
        <w:gridCol w:w="1045"/>
      </w:tblGrid>
      <w:tr>
        <w:tblPrEx>
          <w:tblCellMar>
            <w:top w:w="15" w:type="dxa"/>
            <w:left w:w="15" w:type="dxa"/>
            <w:bottom w:w="15" w:type="dxa"/>
            <w:right w:w="15" w:type="dxa"/>
          </w:tblCellMar>
        </w:tblPrEx>
        <w:trPr>
          <w:trHeight w:val="397" w:hRule="exact"/>
          <w:jc w:val="center"/>
        </w:trPr>
        <w:tc>
          <w:tcPr>
            <w:tcW w:w="1468"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CellMar>
            <w:top w:w="15" w:type="dxa"/>
            <w:left w:w="15" w:type="dxa"/>
            <w:bottom w:w="15" w:type="dxa"/>
            <w:right w:w="15" w:type="dxa"/>
          </w:tblCellMar>
        </w:tblPrEx>
        <w:trPr>
          <w:trHeight w:val="397" w:hRule="exact"/>
          <w:jc w:val="center"/>
        </w:trPr>
        <w:tc>
          <w:tcPr>
            <w:tcW w:w="1468"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项目效果</w:t>
            </w:r>
          </w:p>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（15分）</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履职效益</w:t>
            </w:r>
          </w:p>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（15分）</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部门整体效益</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w:t>
            </w:r>
          </w:p>
        </w:tc>
      </w:tr>
      <w:tr>
        <w:tblPrEx>
          <w:tblCellMar>
            <w:top w:w="15" w:type="dxa"/>
            <w:left w:w="15" w:type="dxa"/>
            <w:bottom w:w="15" w:type="dxa"/>
            <w:right w:w="15" w:type="dxa"/>
          </w:tblCellMar>
        </w:tblPrEx>
        <w:trPr>
          <w:trHeight w:val="397" w:hRule="exact"/>
          <w:jc w:val="center"/>
        </w:trPr>
        <w:tc>
          <w:tcPr>
            <w:tcW w:w="1468"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考评满意度</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tblPrEx>
          <w:tblCellMar>
            <w:top w:w="15" w:type="dxa"/>
            <w:left w:w="15" w:type="dxa"/>
            <w:bottom w:w="15" w:type="dxa"/>
            <w:right w:w="15" w:type="dxa"/>
          </w:tblCellMar>
        </w:tblPrEx>
        <w:trPr>
          <w:trHeight w:val="397" w:hRule="exact"/>
          <w:jc w:val="center"/>
        </w:trPr>
        <w:tc>
          <w:tcPr>
            <w:tcW w:w="2623" w:type="dxa"/>
            <w:gridSpan w:val="2"/>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w:t>
            </w:r>
          </w:p>
        </w:tc>
      </w:tr>
      <w:bookmarkEnd w:id="70"/>
    </w:tbl>
    <w:p>
      <w:pPr>
        <w:spacing w:after="0" w:line="360" w:lineRule="auto"/>
        <w:ind w:firstLine="640" w:firstLineChars="200"/>
        <w:jc w:val="both"/>
        <w:textAlignment w:val="baseline"/>
        <w:rPr>
          <w:rFonts w:ascii="仿宋_GB2312" w:eastAsia="仿宋_GB2312" w:cs="DengXian-Regular"/>
          <w:sz w:val="32"/>
          <w:szCs w:val="32"/>
        </w:rPr>
      </w:pPr>
      <w:bookmarkStart w:id="71" w:name="_Toc465149516"/>
      <w:bookmarkStart w:id="72" w:name="_Toc492652784"/>
      <w:bookmarkStart w:id="73" w:name="_Toc464638561"/>
      <w:r>
        <w:rPr>
          <w:rFonts w:hint="eastAsia" w:ascii="仿宋_GB2312" w:eastAsia="仿宋_GB2312" w:cs="DengXian-Regular"/>
          <w:sz w:val="32"/>
          <w:szCs w:val="32"/>
        </w:rPr>
        <w:t>1.部门整体效益（10分）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该指标主要评价部门履行职责对社会发展所带来的直接或间接效益。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经查看本单位提供的相关资料，本单位履行职责对社会发展所带来的社会效益较显著，有效的达到强兵备战民兵的比例。</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该项指标实际得分10分。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2.考评满意度（5分）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该指标主要评价社会公众或部门的服务对象对部门履职效果的满意程度。</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针对该指标，我们随机选取了30个调查对象进行了问卷调查，具体调查情况如下：</w:t>
      </w:r>
    </w:p>
    <w:p>
      <w:pPr>
        <w:spacing w:after="0" w:line="360" w:lineRule="auto"/>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表6  服务对象满意度调查问卷汇总表</w:t>
      </w:r>
    </w:p>
    <w:p>
      <w:pPr>
        <w:spacing w:after="0" w:line="540" w:lineRule="exact"/>
        <w:ind w:firstLine="6930" w:firstLineChars="3300"/>
        <w:jc w:val="both"/>
        <w:textAlignment w:val="baseline"/>
        <w:rPr>
          <w:rFonts w:ascii="仿宋_GB2312" w:eastAsia="仿宋_GB2312" w:cs="Times New Roman" w:hAnsiTheme="minorEastAsia"/>
          <w:sz w:val="32"/>
          <w:szCs w:val="32"/>
          <w:u w:color="000000"/>
        </w:rPr>
      </w:pPr>
      <w:r>
        <w:rPr>
          <w:rFonts w:hint="eastAsia" w:asciiTheme="minorEastAsia" w:hAnsiTheme="minorEastAsia" w:eastAsiaTheme="minorEastAsia" w:cstheme="minorEastAsia"/>
          <w:sz w:val="21"/>
          <w:szCs w:val="21"/>
          <w:u w:color="000000"/>
        </w:rPr>
        <w:t>单位：人次</w:t>
      </w:r>
    </w:p>
    <w:tbl>
      <w:tblPr>
        <w:tblStyle w:val="23"/>
        <w:tblW w:w="7948" w:type="dxa"/>
        <w:jc w:val="center"/>
        <w:tblLayout w:type="fixed"/>
        <w:tblCellMar>
          <w:top w:w="15" w:type="dxa"/>
          <w:left w:w="15" w:type="dxa"/>
          <w:bottom w:w="15" w:type="dxa"/>
          <w:right w:w="15" w:type="dxa"/>
        </w:tblCellMar>
      </w:tblPr>
      <w:tblGrid>
        <w:gridCol w:w="2834"/>
        <w:gridCol w:w="1114"/>
        <w:gridCol w:w="1134"/>
        <w:gridCol w:w="1218"/>
        <w:gridCol w:w="767"/>
        <w:gridCol w:w="881"/>
      </w:tblGrid>
      <w:tr>
        <w:tblPrEx>
          <w:tblCellMar>
            <w:top w:w="15" w:type="dxa"/>
            <w:left w:w="15" w:type="dxa"/>
            <w:bottom w:w="15" w:type="dxa"/>
            <w:right w:w="15" w:type="dxa"/>
          </w:tblCellMar>
        </w:tblPrEx>
        <w:trPr>
          <w:trHeight w:val="525" w:hRule="atLeast"/>
          <w:jc w:val="center"/>
        </w:trPr>
        <w:tc>
          <w:tcPr>
            <w:tcW w:w="283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调查项目</w:t>
            </w:r>
          </w:p>
        </w:tc>
        <w:tc>
          <w:tcPr>
            <w:tcW w:w="111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满意</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一般</w:t>
            </w:r>
          </w:p>
        </w:tc>
        <w:tc>
          <w:tcPr>
            <w:tcW w:w="1218"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不满意</w:t>
            </w:r>
          </w:p>
        </w:tc>
        <w:tc>
          <w:tcPr>
            <w:tcW w:w="767"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合计</w:t>
            </w:r>
          </w:p>
        </w:tc>
        <w:tc>
          <w:tcPr>
            <w:tcW w:w="881"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单项得分</w:t>
            </w:r>
          </w:p>
        </w:tc>
      </w:tr>
      <w:tr>
        <w:tblPrEx>
          <w:tblCellMar>
            <w:top w:w="15" w:type="dxa"/>
            <w:left w:w="15" w:type="dxa"/>
            <w:bottom w:w="15" w:type="dxa"/>
            <w:right w:w="15" w:type="dxa"/>
          </w:tblCellMar>
        </w:tblPrEx>
        <w:trPr>
          <w:trHeight w:val="590"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某项具体工作</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100</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0</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0</w:t>
            </w: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100</w:t>
            </w:r>
          </w:p>
        </w:tc>
      </w:tr>
      <w:tr>
        <w:tblPrEx>
          <w:tblCellMar>
            <w:top w:w="15" w:type="dxa"/>
            <w:left w:w="15" w:type="dxa"/>
            <w:bottom w:w="15" w:type="dxa"/>
            <w:right w:w="15" w:type="dxa"/>
          </w:tblCellMar>
        </w:tblPrEx>
        <w:trPr>
          <w:trHeight w:val="510"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某项具体工作是否满意</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100</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0</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0</w:t>
            </w: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100</w:t>
            </w:r>
          </w:p>
        </w:tc>
      </w:tr>
      <w:tr>
        <w:tblPrEx>
          <w:tblCellMar>
            <w:top w:w="15" w:type="dxa"/>
            <w:left w:w="15" w:type="dxa"/>
            <w:bottom w:w="15" w:type="dxa"/>
            <w:right w:w="15" w:type="dxa"/>
          </w:tblCellMar>
        </w:tblPrEx>
        <w:trPr>
          <w:trHeight w:val="585"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您对某项具体工作了解程度如何</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100</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0</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0</w:t>
            </w: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100</w:t>
            </w:r>
          </w:p>
        </w:tc>
      </w:tr>
    </w:tbl>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调查问卷共分为3个单项，每个单项满分为100分。其中：每一单项满分为100分：满意为100分，一般为50分，不满意为0分。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单项满意度得分=总分数/总人数</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总体满意度得分=∑1/3各单项满意度得分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经计算，总体得分为100分，大于90分，评价等级为“优”。</w:t>
      </w:r>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该指标实际得分5分。</w:t>
      </w:r>
    </w:p>
    <w:p>
      <w:pPr>
        <w:pStyle w:val="3"/>
        <w:keepNext w:val="0"/>
        <w:keepLines w:val="0"/>
        <w:suppressLineNumbers/>
        <w:spacing w:before="0" w:after="0" w:line="360" w:lineRule="auto"/>
        <w:ind w:firstLine="643" w:firstLineChars="200"/>
        <w:rPr>
          <w:rFonts w:ascii="黑体"/>
        </w:rPr>
      </w:pPr>
      <w:bookmarkStart w:id="74" w:name="_Toc13757"/>
      <w:r>
        <w:rPr>
          <w:rFonts w:hint="eastAsia" w:ascii="黑体"/>
        </w:rPr>
        <w:t>五、绩效评价发现的问题</w:t>
      </w:r>
      <w:bookmarkEnd w:id="71"/>
      <w:bookmarkEnd w:id="72"/>
      <w:bookmarkEnd w:id="73"/>
      <w:bookmarkEnd w:id="74"/>
      <w:bookmarkStart w:id="75" w:name="_Toc492652789"/>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通过对各指标得分及扣分原因的分析，</w:t>
      </w:r>
      <w:r>
        <w:rPr>
          <w:rFonts w:hint="eastAsia" w:ascii="仿宋_GB2312" w:eastAsia="仿宋_GB2312" w:cs="DengXian-Regular"/>
          <w:sz w:val="32"/>
          <w:szCs w:val="32"/>
        </w:rPr>
        <w:t>保定市徐水区民兵训练基地</w:t>
      </w:r>
      <w:r>
        <w:rPr>
          <w:rFonts w:hint="eastAsia" w:ascii="仿宋_GB2312" w:eastAsia="仿宋_GB2312" w:cs="Times New Roman" w:hAnsiTheme="minorEastAsia"/>
          <w:sz w:val="32"/>
          <w:szCs w:val="32"/>
          <w:u w:color="000000"/>
        </w:rPr>
        <w:t>2019年部门整体支出基本按相关要求执行预算、决算，完成了绩效目标，资金使用效益良好。通过评价，也发现一些不足之处，具体情况如下：</w:t>
      </w:r>
      <w:bookmarkStart w:id="76" w:name="_Toc20723"/>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1.部分绩效指标方面：绩效指标设置应更加明确，增强绩效指标的针对性。</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2.预算决算比较：在预算执行过程中，应加强预算监控。</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3.预算追加方面：年初预算应更加细化，减少追加项目。</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4.政府采购方面：加强政府采购预算执行率。</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5.项目资金使用率方面：在预算执行过程中，应合理调度专项资金，提高项目资金的使用效益。</w:t>
      </w:r>
    </w:p>
    <w:bookmarkEnd w:id="75"/>
    <w:bookmarkEnd w:id="76"/>
    <w:p>
      <w:pPr>
        <w:spacing w:after="0" w:line="360" w:lineRule="auto"/>
        <w:jc w:val="both"/>
        <w:textAlignment w:val="baseline"/>
        <w:rPr>
          <w:rFonts w:hint="eastAsia" w:ascii="仿宋_GB2312" w:eastAsia="仿宋_GB2312" w:cs="Times New Roman" w:hAnsiTheme="minorEastAsia"/>
          <w:sz w:val="32"/>
          <w:szCs w:val="32"/>
          <w:u w:color="000000"/>
        </w:rPr>
      </w:pPr>
      <w:bookmarkStart w:id="77" w:name="_Toc465149521"/>
    </w:p>
    <w:p>
      <w:pPr>
        <w:spacing w:after="0" w:line="360" w:lineRule="auto"/>
        <w:jc w:val="both"/>
        <w:textAlignment w:val="baseline"/>
        <w:rPr>
          <w:rFonts w:hint="eastAsia"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附件：</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Times New Roman" w:hAnsiTheme="minorEastAsia"/>
          <w:sz w:val="32"/>
          <w:szCs w:val="32"/>
          <w:u w:color="000000"/>
        </w:rPr>
        <w:t>1.保定市徐水</w:t>
      </w:r>
      <w:r>
        <w:rPr>
          <w:rFonts w:hint="eastAsia" w:ascii="仿宋_GB2312" w:eastAsia="仿宋_GB2312" w:cs="DengXian-Regular"/>
          <w:sz w:val="32"/>
          <w:szCs w:val="32"/>
        </w:rPr>
        <w:t>区民兵训练基地职</w:t>
      </w:r>
      <w:r>
        <w:rPr>
          <w:rFonts w:ascii="仿宋_GB2312" w:eastAsia="仿宋_GB2312" w:cs="DengXian-Regular"/>
          <w:sz w:val="32"/>
          <w:szCs w:val="32"/>
        </w:rPr>
        <w:t>能配置</w:t>
      </w:r>
      <w:r>
        <w:rPr>
          <w:rFonts w:hint="eastAsia" w:ascii="仿宋_GB2312" w:eastAsia="仿宋_GB2312" w:cs="DengXian-Regular"/>
          <w:sz w:val="32"/>
          <w:szCs w:val="32"/>
        </w:rPr>
        <w:t>、</w:t>
      </w:r>
      <w:r>
        <w:rPr>
          <w:rFonts w:ascii="仿宋_GB2312" w:eastAsia="仿宋_GB2312" w:cs="DengXian-Regular"/>
          <w:sz w:val="32"/>
          <w:szCs w:val="32"/>
        </w:rPr>
        <w:t>内设机构和</w:t>
      </w:r>
      <w:r>
        <w:rPr>
          <w:rFonts w:hint="eastAsia" w:ascii="仿宋_GB2312" w:eastAsia="仿宋_GB2312" w:cs="DengXian-Regular"/>
          <w:sz w:val="32"/>
          <w:szCs w:val="32"/>
        </w:rPr>
        <w:t>人</w:t>
      </w:r>
      <w:r>
        <w:rPr>
          <w:rFonts w:ascii="仿宋_GB2312" w:eastAsia="仿宋_GB2312" w:cs="DengXian-Regular"/>
          <w:sz w:val="32"/>
          <w:szCs w:val="32"/>
        </w:rPr>
        <w:t>员编制方案</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2、2019年</w:t>
      </w:r>
      <w:r>
        <w:rPr>
          <w:rFonts w:ascii="仿宋_GB2312" w:eastAsia="仿宋_GB2312" w:cs="DengXian-Regular"/>
          <w:sz w:val="32"/>
          <w:szCs w:val="32"/>
        </w:rPr>
        <w:t>度保定市徐水区</w:t>
      </w:r>
      <w:r>
        <w:rPr>
          <w:rFonts w:hint="eastAsia" w:ascii="仿宋_GB2312" w:eastAsia="仿宋_GB2312" w:cs="DengXian-Regular"/>
          <w:sz w:val="32"/>
          <w:szCs w:val="32"/>
        </w:rPr>
        <w:t>民兵训练基地预算</w:t>
      </w:r>
      <w:r>
        <w:rPr>
          <w:rFonts w:ascii="仿宋_GB2312" w:eastAsia="仿宋_GB2312" w:cs="DengXian-Regular"/>
          <w:sz w:val="32"/>
          <w:szCs w:val="32"/>
        </w:rPr>
        <w:t>文本</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3、2019年</w:t>
      </w:r>
      <w:r>
        <w:rPr>
          <w:rFonts w:ascii="仿宋_GB2312" w:eastAsia="仿宋_GB2312" w:cs="DengXian-Regular"/>
          <w:sz w:val="32"/>
          <w:szCs w:val="32"/>
        </w:rPr>
        <w:t>度保定市徐水区</w:t>
      </w:r>
      <w:r>
        <w:rPr>
          <w:rFonts w:hint="eastAsia" w:ascii="仿宋_GB2312" w:eastAsia="仿宋_GB2312" w:cs="DengXian-Regular"/>
          <w:sz w:val="32"/>
          <w:szCs w:val="32"/>
        </w:rPr>
        <w:t>民兵训练基地部</w:t>
      </w:r>
      <w:r>
        <w:rPr>
          <w:rFonts w:ascii="仿宋_GB2312" w:eastAsia="仿宋_GB2312" w:cs="DengXian-Regular"/>
          <w:sz w:val="32"/>
          <w:szCs w:val="32"/>
        </w:rPr>
        <w:t>门决算报</w:t>
      </w:r>
      <w:r>
        <w:rPr>
          <w:rFonts w:hint="eastAsia" w:ascii="仿宋_GB2312" w:eastAsia="仿宋_GB2312" w:cs="DengXian-Regular"/>
          <w:sz w:val="32"/>
          <w:szCs w:val="32"/>
        </w:rPr>
        <w:t>表</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4、2019年</w:t>
      </w:r>
      <w:r>
        <w:rPr>
          <w:rFonts w:ascii="仿宋_GB2312" w:eastAsia="仿宋_GB2312" w:cs="DengXian-Regular"/>
          <w:sz w:val="32"/>
          <w:szCs w:val="32"/>
        </w:rPr>
        <w:t>度保定市徐水区</w:t>
      </w:r>
      <w:r>
        <w:rPr>
          <w:rFonts w:hint="eastAsia" w:ascii="仿宋_GB2312" w:eastAsia="仿宋_GB2312" w:cs="DengXian-Regular"/>
          <w:sz w:val="32"/>
          <w:szCs w:val="32"/>
        </w:rPr>
        <w:t>民兵训练基地预算政</w:t>
      </w:r>
      <w:r>
        <w:rPr>
          <w:rFonts w:ascii="仿宋_GB2312" w:eastAsia="仿宋_GB2312" w:cs="DengXian-Regular"/>
          <w:sz w:val="32"/>
          <w:szCs w:val="32"/>
        </w:rPr>
        <w:t>府</w:t>
      </w:r>
      <w:r>
        <w:rPr>
          <w:rFonts w:hint="eastAsia" w:ascii="仿宋_GB2312" w:eastAsia="仿宋_GB2312" w:cs="DengXian-Regular"/>
          <w:sz w:val="32"/>
          <w:szCs w:val="32"/>
        </w:rPr>
        <w:t>网</w:t>
      </w:r>
      <w:r>
        <w:rPr>
          <w:rFonts w:ascii="仿宋_GB2312" w:eastAsia="仿宋_GB2312" w:cs="DengXian-Regular"/>
          <w:sz w:val="32"/>
          <w:szCs w:val="32"/>
        </w:rPr>
        <w:t>站公开文</w:t>
      </w:r>
      <w:r>
        <w:rPr>
          <w:rFonts w:hint="eastAsia" w:ascii="仿宋_GB2312" w:eastAsia="仿宋_GB2312" w:cs="DengXian-Regular"/>
          <w:sz w:val="32"/>
          <w:szCs w:val="32"/>
        </w:rPr>
        <w:t>档</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5、2019年</w:t>
      </w:r>
      <w:r>
        <w:rPr>
          <w:rFonts w:ascii="仿宋_GB2312" w:eastAsia="仿宋_GB2312" w:cs="DengXian-Regular"/>
          <w:sz w:val="32"/>
          <w:szCs w:val="32"/>
        </w:rPr>
        <w:t>保定市徐水区</w:t>
      </w:r>
      <w:r>
        <w:rPr>
          <w:rFonts w:hint="eastAsia" w:ascii="仿宋_GB2312" w:eastAsia="仿宋_GB2312" w:cs="DengXian-Regular"/>
          <w:sz w:val="32"/>
          <w:szCs w:val="32"/>
        </w:rPr>
        <w:t>民兵训练基地</w:t>
      </w:r>
      <w:r>
        <w:rPr>
          <w:rFonts w:ascii="仿宋_GB2312" w:eastAsia="仿宋_GB2312" w:cs="DengXian-Regular"/>
          <w:sz w:val="32"/>
          <w:szCs w:val="32"/>
        </w:rPr>
        <w:t>财务收支内控制度、固定资产</w:t>
      </w:r>
      <w:r>
        <w:rPr>
          <w:rFonts w:hint="eastAsia" w:ascii="仿宋_GB2312" w:eastAsia="仿宋_GB2312" w:cs="DengXian-Regular"/>
          <w:sz w:val="32"/>
          <w:szCs w:val="32"/>
        </w:rPr>
        <w:t>管</w:t>
      </w:r>
      <w:r>
        <w:rPr>
          <w:rFonts w:ascii="仿宋_GB2312" w:eastAsia="仿宋_GB2312" w:cs="DengXian-Regular"/>
          <w:sz w:val="32"/>
          <w:szCs w:val="32"/>
        </w:rPr>
        <w:t>理制度、政府采购内控制度、预算管理内控</w:t>
      </w:r>
      <w:r>
        <w:rPr>
          <w:rFonts w:hint="eastAsia" w:ascii="仿宋_GB2312" w:eastAsia="仿宋_GB2312" w:cs="DengXian-Regular"/>
          <w:sz w:val="32"/>
          <w:szCs w:val="32"/>
        </w:rPr>
        <w:t>等</w:t>
      </w:r>
      <w:r>
        <w:rPr>
          <w:rFonts w:ascii="仿宋_GB2312" w:eastAsia="仿宋_GB2312" w:cs="DengXian-Regular"/>
          <w:sz w:val="32"/>
          <w:szCs w:val="32"/>
        </w:rPr>
        <w:t>制度</w:t>
      </w:r>
    </w:p>
    <w:p>
      <w:pPr>
        <w:spacing w:line="540" w:lineRule="exact"/>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rPr>
        <w:t>6、</w:t>
      </w:r>
      <w:r>
        <w:rPr>
          <w:rFonts w:hint="eastAsia" w:ascii="仿宋_GB2312" w:eastAsia="仿宋_GB2312" w:cs="Times New Roman" w:hAnsiTheme="minorEastAsia"/>
          <w:sz w:val="32"/>
          <w:szCs w:val="32"/>
          <w:u w:color="000000"/>
        </w:rPr>
        <w:t>2019年</w:t>
      </w:r>
      <w:r>
        <w:rPr>
          <w:rFonts w:ascii="仿宋_GB2312" w:eastAsia="仿宋_GB2312" w:cs="Times New Roman" w:hAnsiTheme="minorEastAsia"/>
          <w:sz w:val="32"/>
          <w:szCs w:val="32"/>
          <w:u w:color="000000"/>
        </w:rPr>
        <w:t>部门预算项目绩效自评表及自评报</w:t>
      </w:r>
      <w:r>
        <w:rPr>
          <w:rFonts w:hint="eastAsia" w:ascii="仿宋_GB2312" w:eastAsia="仿宋_GB2312" w:cs="Times New Roman" w:hAnsiTheme="minorEastAsia"/>
          <w:sz w:val="32"/>
          <w:szCs w:val="32"/>
          <w:u w:color="000000"/>
        </w:rPr>
        <w:t>告</w:t>
      </w:r>
    </w:p>
    <w:p>
      <w:pPr>
        <w:spacing w:after="0" w:line="540" w:lineRule="exact"/>
        <w:ind w:firstLine="640" w:firstLineChars="200"/>
        <w:jc w:val="both"/>
        <w:textAlignment w:val="baseline"/>
        <w:rPr>
          <w:rFonts w:ascii="仿宋_GB2312" w:eastAsia="仿宋_GB2312" w:cs="Times New Roman" w:hAnsiTheme="minorEastAsia"/>
          <w:sz w:val="32"/>
          <w:szCs w:val="32"/>
          <w:u w:color="000000"/>
        </w:rPr>
      </w:pPr>
      <w:bookmarkStart w:id="78" w:name="_Toc465149534"/>
      <w:r>
        <w:rPr>
          <w:rFonts w:hint="eastAsia" w:ascii="仿宋_GB2312" w:eastAsia="仿宋_GB2312" w:cs="Times New Roman" w:hAnsiTheme="minorEastAsia"/>
          <w:sz w:val="32"/>
          <w:szCs w:val="32"/>
          <w:u w:color="000000"/>
        </w:rPr>
        <w:t>7.</w:t>
      </w:r>
      <w:bookmarkEnd w:id="78"/>
      <w:r>
        <w:rPr>
          <w:rFonts w:hint="eastAsia" w:ascii="仿宋_GB2312" w:eastAsia="仿宋_GB2312" w:cs="Times New Roman" w:hAnsiTheme="minorEastAsia"/>
          <w:sz w:val="32"/>
          <w:szCs w:val="32"/>
          <w:u w:color="000000"/>
        </w:rPr>
        <w:t>部门整体支出绩效评价指标体系</w:t>
      </w:r>
    </w:p>
    <w:bookmarkEnd w:id="77"/>
    <w:sectPr>
      <w:footerReference r:id="rId5" w:type="default"/>
      <w:pgSz w:w="11906" w:h="16838"/>
      <w:pgMar w:top="1440" w:right="1797" w:bottom="1191" w:left="1797" w:header="709" w:footer="709"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DengXian-Regular">
    <w:altName w:val="宋体"/>
    <w:panose1 w:val="00000000000000000000"/>
    <w:charset w:val="86"/>
    <w:family w:val="auto"/>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书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31</w:t>
    </w:r>
    <w:r>
      <w:rPr>
        <w:lang w:val="zh-CN"/>
      </w:rPr>
      <w:fldChar w:fldCharType="end"/>
    </w:r>
  </w:p>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720"/>
  <w:noPunctuationKerning w:val="1"/>
  <w:characterSpacingControl w:val="doNotCompres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Y2MxOWFjYmI4YTVkMWY4OWFiZTVjZmE5OGZlYzMifQ=="/>
  </w:docVars>
  <w:rsids>
    <w:rsidRoot w:val="00D31D50"/>
    <w:rsid w:val="0000238E"/>
    <w:rsid w:val="00004179"/>
    <w:rsid w:val="0000439F"/>
    <w:rsid w:val="00007CA0"/>
    <w:rsid w:val="00015C39"/>
    <w:rsid w:val="000174D3"/>
    <w:rsid w:val="0002415F"/>
    <w:rsid w:val="00025620"/>
    <w:rsid w:val="0002705B"/>
    <w:rsid w:val="00031551"/>
    <w:rsid w:val="000317D7"/>
    <w:rsid w:val="00032B03"/>
    <w:rsid w:val="000334C2"/>
    <w:rsid w:val="0003450B"/>
    <w:rsid w:val="0003465E"/>
    <w:rsid w:val="00034910"/>
    <w:rsid w:val="0003506D"/>
    <w:rsid w:val="000409C0"/>
    <w:rsid w:val="0004123E"/>
    <w:rsid w:val="0004321E"/>
    <w:rsid w:val="00044599"/>
    <w:rsid w:val="000446E5"/>
    <w:rsid w:val="00044A25"/>
    <w:rsid w:val="00047D7B"/>
    <w:rsid w:val="000509B6"/>
    <w:rsid w:val="00050A62"/>
    <w:rsid w:val="000516BA"/>
    <w:rsid w:val="00051DBC"/>
    <w:rsid w:val="00052010"/>
    <w:rsid w:val="00061096"/>
    <w:rsid w:val="000612A2"/>
    <w:rsid w:val="00063117"/>
    <w:rsid w:val="00066AAA"/>
    <w:rsid w:val="00072BF5"/>
    <w:rsid w:val="000752C6"/>
    <w:rsid w:val="00075B78"/>
    <w:rsid w:val="00077648"/>
    <w:rsid w:val="00080E48"/>
    <w:rsid w:val="00081AD8"/>
    <w:rsid w:val="00084192"/>
    <w:rsid w:val="00091476"/>
    <w:rsid w:val="00091D50"/>
    <w:rsid w:val="000935D5"/>
    <w:rsid w:val="0009618D"/>
    <w:rsid w:val="00096195"/>
    <w:rsid w:val="0009756F"/>
    <w:rsid w:val="000A0D25"/>
    <w:rsid w:val="000A1F67"/>
    <w:rsid w:val="000A2079"/>
    <w:rsid w:val="000A5467"/>
    <w:rsid w:val="000B09F3"/>
    <w:rsid w:val="000B0C4A"/>
    <w:rsid w:val="000B23E8"/>
    <w:rsid w:val="000B62FE"/>
    <w:rsid w:val="000B72BC"/>
    <w:rsid w:val="000B78D7"/>
    <w:rsid w:val="000C1EA5"/>
    <w:rsid w:val="000C52FB"/>
    <w:rsid w:val="000C55E6"/>
    <w:rsid w:val="000C6D5A"/>
    <w:rsid w:val="000D09B2"/>
    <w:rsid w:val="000D39AD"/>
    <w:rsid w:val="000D7C38"/>
    <w:rsid w:val="000E0902"/>
    <w:rsid w:val="000E3830"/>
    <w:rsid w:val="000F070B"/>
    <w:rsid w:val="000F2779"/>
    <w:rsid w:val="000F3158"/>
    <w:rsid w:val="000F364D"/>
    <w:rsid w:val="000F4432"/>
    <w:rsid w:val="000F465E"/>
    <w:rsid w:val="000F5E8C"/>
    <w:rsid w:val="001000B2"/>
    <w:rsid w:val="00103BB4"/>
    <w:rsid w:val="00104C6C"/>
    <w:rsid w:val="0010560E"/>
    <w:rsid w:val="0010612A"/>
    <w:rsid w:val="00106FF7"/>
    <w:rsid w:val="00107111"/>
    <w:rsid w:val="001073D6"/>
    <w:rsid w:val="00107819"/>
    <w:rsid w:val="0011574B"/>
    <w:rsid w:val="00116132"/>
    <w:rsid w:val="00117B9C"/>
    <w:rsid w:val="00117E7D"/>
    <w:rsid w:val="00120EA6"/>
    <w:rsid w:val="00122196"/>
    <w:rsid w:val="0012439D"/>
    <w:rsid w:val="0012587C"/>
    <w:rsid w:val="00126A49"/>
    <w:rsid w:val="00132AE4"/>
    <w:rsid w:val="0013591D"/>
    <w:rsid w:val="001373C8"/>
    <w:rsid w:val="00141DE8"/>
    <w:rsid w:val="00144105"/>
    <w:rsid w:val="00145B4E"/>
    <w:rsid w:val="00147A7C"/>
    <w:rsid w:val="001544E1"/>
    <w:rsid w:val="001551CE"/>
    <w:rsid w:val="00156E03"/>
    <w:rsid w:val="0015724F"/>
    <w:rsid w:val="00163541"/>
    <w:rsid w:val="00164732"/>
    <w:rsid w:val="001648F0"/>
    <w:rsid w:val="00164FE1"/>
    <w:rsid w:val="001703D7"/>
    <w:rsid w:val="001719D0"/>
    <w:rsid w:val="00172245"/>
    <w:rsid w:val="0017403C"/>
    <w:rsid w:val="00174241"/>
    <w:rsid w:val="0017497B"/>
    <w:rsid w:val="00176E7D"/>
    <w:rsid w:val="001804B7"/>
    <w:rsid w:val="001827F5"/>
    <w:rsid w:val="00183C43"/>
    <w:rsid w:val="00185652"/>
    <w:rsid w:val="00187750"/>
    <w:rsid w:val="00190292"/>
    <w:rsid w:val="001926B8"/>
    <w:rsid w:val="0019341A"/>
    <w:rsid w:val="001952EC"/>
    <w:rsid w:val="001A0F7A"/>
    <w:rsid w:val="001A1677"/>
    <w:rsid w:val="001A5F7F"/>
    <w:rsid w:val="001A5FD3"/>
    <w:rsid w:val="001A6EE2"/>
    <w:rsid w:val="001B0380"/>
    <w:rsid w:val="001B04A4"/>
    <w:rsid w:val="001B1ADB"/>
    <w:rsid w:val="001B30D5"/>
    <w:rsid w:val="001B382A"/>
    <w:rsid w:val="001B5C88"/>
    <w:rsid w:val="001B6CE6"/>
    <w:rsid w:val="001C046D"/>
    <w:rsid w:val="001C1412"/>
    <w:rsid w:val="001C1BCB"/>
    <w:rsid w:val="001C391F"/>
    <w:rsid w:val="001C5135"/>
    <w:rsid w:val="001C796E"/>
    <w:rsid w:val="001D1367"/>
    <w:rsid w:val="001D5041"/>
    <w:rsid w:val="001D5A7C"/>
    <w:rsid w:val="001D76AA"/>
    <w:rsid w:val="001E21EA"/>
    <w:rsid w:val="001E288A"/>
    <w:rsid w:val="001E3ABB"/>
    <w:rsid w:val="001E4C24"/>
    <w:rsid w:val="001E5C43"/>
    <w:rsid w:val="001E6414"/>
    <w:rsid w:val="001F07B6"/>
    <w:rsid w:val="001F0A92"/>
    <w:rsid w:val="001F0B92"/>
    <w:rsid w:val="001F1094"/>
    <w:rsid w:val="001F2F0E"/>
    <w:rsid w:val="001F33AA"/>
    <w:rsid w:val="001F6236"/>
    <w:rsid w:val="00200051"/>
    <w:rsid w:val="00202D5A"/>
    <w:rsid w:val="00205F02"/>
    <w:rsid w:val="00210CF7"/>
    <w:rsid w:val="0021307B"/>
    <w:rsid w:val="002142B8"/>
    <w:rsid w:val="002161F4"/>
    <w:rsid w:val="00216E75"/>
    <w:rsid w:val="00221907"/>
    <w:rsid w:val="00222FA8"/>
    <w:rsid w:val="0022532A"/>
    <w:rsid w:val="00227AFB"/>
    <w:rsid w:val="00235741"/>
    <w:rsid w:val="00236B18"/>
    <w:rsid w:val="002401EA"/>
    <w:rsid w:val="00241B9D"/>
    <w:rsid w:val="002439D4"/>
    <w:rsid w:val="00245CB2"/>
    <w:rsid w:val="00246A44"/>
    <w:rsid w:val="00250BAC"/>
    <w:rsid w:val="0025128B"/>
    <w:rsid w:val="002552A4"/>
    <w:rsid w:val="00260245"/>
    <w:rsid w:val="0026252A"/>
    <w:rsid w:val="00262BB1"/>
    <w:rsid w:val="00263D3A"/>
    <w:rsid w:val="002643BE"/>
    <w:rsid w:val="00265325"/>
    <w:rsid w:val="00266E84"/>
    <w:rsid w:val="002715FC"/>
    <w:rsid w:val="002736FD"/>
    <w:rsid w:val="00274CFA"/>
    <w:rsid w:val="00274F76"/>
    <w:rsid w:val="00275677"/>
    <w:rsid w:val="00275A3F"/>
    <w:rsid w:val="00276127"/>
    <w:rsid w:val="0028068C"/>
    <w:rsid w:val="00282A89"/>
    <w:rsid w:val="00283F8F"/>
    <w:rsid w:val="00284510"/>
    <w:rsid w:val="002869F9"/>
    <w:rsid w:val="002871FB"/>
    <w:rsid w:val="00292F98"/>
    <w:rsid w:val="002939A0"/>
    <w:rsid w:val="002959A3"/>
    <w:rsid w:val="0029626E"/>
    <w:rsid w:val="00296E59"/>
    <w:rsid w:val="00296FDD"/>
    <w:rsid w:val="00297CEF"/>
    <w:rsid w:val="002A0364"/>
    <w:rsid w:val="002A1661"/>
    <w:rsid w:val="002A1A25"/>
    <w:rsid w:val="002A563C"/>
    <w:rsid w:val="002B05EF"/>
    <w:rsid w:val="002B2E34"/>
    <w:rsid w:val="002B5061"/>
    <w:rsid w:val="002B61E5"/>
    <w:rsid w:val="002B76FA"/>
    <w:rsid w:val="002C029E"/>
    <w:rsid w:val="002C2C71"/>
    <w:rsid w:val="002C4F7B"/>
    <w:rsid w:val="002C5A65"/>
    <w:rsid w:val="002C71F3"/>
    <w:rsid w:val="002D2112"/>
    <w:rsid w:val="002D5314"/>
    <w:rsid w:val="002D53D7"/>
    <w:rsid w:val="002D5508"/>
    <w:rsid w:val="002D5FC1"/>
    <w:rsid w:val="002D7AB3"/>
    <w:rsid w:val="002D7CB5"/>
    <w:rsid w:val="002E1D3C"/>
    <w:rsid w:val="002E1F73"/>
    <w:rsid w:val="002E269D"/>
    <w:rsid w:val="002E3460"/>
    <w:rsid w:val="002E70AE"/>
    <w:rsid w:val="002F0C41"/>
    <w:rsid w:val="002F2694"/>
    <w:rsid w:val="002F5B6A"/>
    <w:rsid w:val="002F5BF5"/>
    <w:rsid w:val="002F5ECA"/>
    <w:rsid w:val="00302B6A"/>
    <w:rsid w:val="00306572"/>
    <w:rsid w:val="003079C7"/>
    <w:rsid w:val="00313CB0"/>
    <w:rsid w:val="003169F3"/>
    <w:rsid w:val="00316D95"/>
    <w:rsid w:val="0032078D"/>
    <w:rsid w:val="00321CE0"/>
    <w:rsid w:val="0032231F"/>
    <w:rsid w:val="00323B43"/>
    <w:rsid w:val="00325BCC"/>
    <w:rsid w:val="003309A3"/>
    <w:rsid w:val="003345BC"/>
    <w:rsid w:val="00340BDD"/>
    <w:rsid w:val="00343662"/>
    <w:rsid w:val="003457BA"/>
    <w:rsid w:val="0035365E"/>
    <w:rsid w:val="00355403"/>
    <w:rsid w:val="00355AEA"/>
    <w:rsid w:val="003569A8"/>
    <w:rsid w:val="00357694"/>
    <w:rsid w:val="00361F94"/>
    <w:rsid w:val="00361FFF"/>
    <w:rsid w:val="00362340"/>
    <w:rsid w:val="003653A5"/>
    <w:rsid w:val="003668A3"/>
    <w:rsid w:val="00366971"/>
    <w:rsid w:val="00367DF7"/>
    <w:rsid w:val="00370AFA"/>
    <w:rsid w:val="0037120F"/>
    <w:rsid w:val="00371DD1"/>
    <w:rsid w:val="0037242E"/>
    <w:rsid w:val="003743E9"/>
    <w:rsid w:val="0037492F"/>
    <w:rsid w:val="0038005F"/>
    <w:rsid w:val="003803CC"/>
    <w:rsid w:val="00382949"/>
    <w:rsid w:val="00384F34"/>
    <w:rsid w:val="003879E9"/>
    <w:rsid w:val="0039000B"/>
    <w:rsid w:val="00391AE3"/>
    <w:rsid w:val="00396D4C"/>
    <w:rsid w:val="003A02BE"/>
    <w:rsid w:val="003A1765"/>
    <w:rsid w:val="003A3C32"/>
    <w:rsid w:val="003A41D2"/>
    <w:rsid w:val="003A4D02"/>
    <w:rsid w:val="003A4D52"/>
    <w:rsid w:val="003A536E"/>
    <w:rsid w:val="003B07E2"/>
    <w:rsid w:val="003B6DEC"/>
    <w:rsid w:val="003B79D3"/>
    <w:rsid w:val="003C2B92"/>
    <w:rsid w:val="003D126B"/>
    <w:rsid w:val="003D1D33"/>
    <w:rsid w:val="003D22C9"/>
    <w:rsid w:val="003D28AC"/>
    <w:rsid w:val="003D37D8"/>
    <w:rsid w:val="003D6312"/>
    <w:rsid w:val="003D7B2A"/>
    <w:rsid w:val="003E0854"/>
    <w:rsid w:val="003E266C"/>
    <w:rsid w:val="003E3C05"/>
    <w:rsid w:val="003F282F"/>
    <w:rsid w:val="00400871"/>
    <w:rsid w:val="00400E89"/>
    <w:rsid w:val="00401AB4"/>
    <w:rsid w:val="00402CA2"/>
    <w:rsid w:val="00402D95"/>
    <w:rsid w:val="00403ADD"/>
    <w:rsid w:val="0040619C"/>
    <w:rsid w:val="00407629"/>
    <w:rsid w:val="004108EE"/>
    <w:rsid w:val="00410F1A"/>
    <w:rsid w:val="00412A31"/>
    <w:rsid w:val="004200B9"/>
    <w:rsid w:val="00426133"/>
    <w:rsid w:val="004300B1"/>
    <w:rsid w:val="00430AF8"/>
    <w:rsid w:val="0043148F"/>
    <w:rsid w:val="0043326E"/>
    <w:rsid w:val="0043354D"/>
    <w:rsid w:val="00434EB0"/>
    <w:rsid w:val="004358AB"/>
    <w:rsid w:val="00435DA7"/>
    <w:rsid w:val="00436D8D"/>
    <w:rsid w:val="004370A2"/>
    <w:rsid w:val="00440084"/>
    <w:rsid w:val="004414FA"/>
    <w:rsid w:val="00445C28"/>
    <w:rsid w:val="004468B5"/>
    <w:rsid w:val="00446A96"/>
    <w:rsid w:val="00450A5C"/>
    <w:rsid w:val="00451E9F"/>
    <w:rsid w:val="004551F1"/>
    <w:rsid w:val="00456648"/>
    <w:rsid w:val="00457E00"/>
    <w:rsid w:val="0046193F"/>
    <w:rsid w:val="00461E7C"/>
    <w:rsid w:val="004639E0"/>
    <w:rsid w:val="00463A6D"/>
    <w:rsid w:val="00465A21"/>
    <w:rsid w:val="0047047F"/>
    <w:rsid w:val="00472C49"/>
    <w:rsid w:val="00474DE3"/>
    <w:rsid w:val="00477959"/>
    <w:rsid w:val="004800A9"/>
    <w:rsid w:val="004834CF"/>
    <w:rsid w:val="00486217"/>
    <w:rsid w:val="00486A56"/>
    <w:rsid w:val="00494D73"/>
    <w:rsid w:val="004A19C4"/>
    <w:rsid w:val="004A6EA4"/>
    <w:rsid w:val="004A7997"/>
    <w:rsid w:val="004B146A"/>
    <w:rsid w:val="004B1E69"/>
    <w:rsid w:val="004B334B"/>
    <w:rsid w:val="004B4146"/>
    <w:rsid w:val="004B5892"/>
    <w:rsid w:val="004B59DD"/>
    <w:rsid w:val="004B5E88"/>
    <w:rsid w:val="004B5EDE"/>
    <w:rsid w:val="004C0341"/>
    <w:rsid w:val="004C46D3"/>
    <w:rsid w:val="004C5D39"/>
    <w:rsid w:val="004C7656"/>
    <w:rsid w:val="004C7C48"/>
    <w:rsid w:val="004D21B9"/>
    <w:rsid w:val="004D21FF"/>
    <w:rsid w:val="004D2DD5"/>
    <w:rsid w:val="004D41F0"/>
    <w:rsid w:val="004D55F1"/>
    <w:rsid w:val="004D578A"/>
    <w:rsid w:val="004D656B"/>
    <w:rsid w:val="004D7523"/>
    <w:rsid w:val="004E0AA9"/>
    <w:rsid w:val="004E1AEF"/>
    <w:rsid w:val="004E3774"/>
    <w:rsid w:val="004E446B"/>
    <w:rsid w:val="004E5448"/>
    <w:rsid w:val="004E5DFC"/>
    <w:rsid w:val="004E5F01"/>
    <w:rsid w:val="004E642E"/>
    <w:rsid w:val="004E7ADC"/>
    <w:rsid w:val="004F1C58"/>
    <w:rsid w:val="004F4875"/>
    <w:rsid w:val="005031BA"/>
    <w:rsid w:val="005049A0"/>
    <w:rsid w:val="00507211"/>
    <w:rsid w:val="00507934"/>
    <w:rsid w:val="00507BF9"/>
    <w:rsid w:val="0051171B"/>
    <w:rsid w:val="00512D1D"/>
    <w:rsid w:val="005131A5"/>
    <w:rsid w:val="00515160"/>
    <w:rsid w:val="00516D5A"/>
    <w:rsid w:val="005170FB"/>
    <w:rsid w:val="0052300D"/>
    <w:rsid w:val="00523B77"/>
    <w:rsid w:val="0052474C"/>
    <w:rsid w:val="00525074"/>
    <w:rsid w:val="00525520"/>
    <w:rsid w:val="005319EE"/>
    <w:rsid w:val="00531BE2"/>
    <w:rsid w:val="005421AC"/>
    <w:rsid w:val="00543293"/>
    <w:rsid w:val="005432B2"/>
    <w:rsid w:val="00544C1A"/>
    <w:rsid w:val="00546D1B"/>
    <w:rsid w:val="00546ECB"/>
    <w:rsid w:val="0055027D"/>
    <w:rsid w:val="00552121"/>
    <w:rsid w:val="00554FA1"/>
    <w:rsid w:val="00556934"/>
    <w:rsid w:val="005607DF"/>
    <w:rsid w:val="00564377"/>
    <w:rsid w:val="00564538"/>
    <w:rsid w:val="00566A89"/>
    <w:rsid w:val="00567E07"/>
    <w:rsid w:val="005771F7"/>
    <w:rsid w:val="00577B7B"/>
    <w:rsid w:val="00583F7F"/>
    <w:rsid w:val="0058429D"/>
    <w:rsid w:val="00585648"/>
    <w:rsid w:val="0058600B"/>
    <w:rsid w:val="00587913"/>
    <w:rsid w:val="00593428"/>
    <w:rsid w:val="00593B65"/>
    <w:rsid w:val="005A15D6"/>
    <w:rsid w:val="005A1FD8"/>
    <w:rsid w:val="005A317D"/>
    <w:rsid w:val="005A79F9"/>
    <w:rsid w:val="005C3594"/>
    <w:rsid w:val="005C46B7"/>
    <w:rsid w:val="005C46E9"/>
    <w:rsid w:val="005C7C8B"/>
    <w:rsid w:val="005D5617"/>
    <w:rsid w:val="005D6591"/>
    <w:rsid w:val="005D6869"/>
    <w:rsid w:val="005D7446"/>
    <w:rsid w:val="005E1783"/>
    <w:rsid w:val="005E5F88"/>
    <w:rsid w:val="005F06F5"/>
    <w:rsid w:val="005F46C0"/>
    <w:rsid w:val="005F471D"/>
    <w:rsid w:val="005F720A"/>
    <w:rsid w:val="005F7467"/>
    <w:rsid w:val="005F78E7"/>
    <w:rsid w:val="006007F3"/>
    <w:rsid w:val="0060402C"/>
    <w:rsid w:val="0061252A"/>
    <w:rsid w:val="006135B3"/>
    <w:rsid w:val="006138D4"/>
    <w:rsid w:val="00616C03"/>
    <w:rsid w:val="00616F30"/>
    <w:rsid w:val="006215A2"/>
    <w:rsid w:val="00621F7D"/>
    <w:rsid w:val="00622AD1"/>
    <w:rsid w:val="00623267"/>
    <w:rsid w:val="00625428"/>
    <w:rsid w:val="0062670B"/>
    <w:rsid w:val="00630B86"/>
    <w:rsid w:val="00630F5B"/>
    <w:rsid w:val="00634C66"/>
    <w:rsid w:val="006352D1"/>
    <w:rsid w:val="00636E1A"/>
    <w:rsid w:val="00642BA5"/>
    <w:rsid w:val="006434E0"/>
    <w:rsid w:val="00650C90"/>
    <w:rsid w:val="0065172D"/>
    <w:rsid w:val="0065287D"/>
    <w:rsid w:val="0065671B"/>
    <w:rsid w:val="00656A5A"/>
    <w:rsid w:val="00663A42"/>
    <w:rsid w:val="0066418E"/>
    <w:rsid w:val="0066469F"/>
    <w:rsid w:val="00665EFF"/>
    <w:rsid w:val="00674C4B"/>
    <w:rsid w:val="0067780F"/>
    <w:rsid w:val="00685417"/>
    <w:rsid w:val="00686C30"/>
    <w:rsid w:val="00690FA3"/>
    <w:rsid w:val="0069331D"/>
    <w:rsid w:val="00696DF8"/>
    <w:rsid w:val="0069783E"/>
    <w:rsid w:val="00697E26"/>
    <w:rsid w:val="006A0330"/>
    <w:rsid w:val="006A3AE1"/>
    <w:rsid w:val="006A3B57"/>
    <w:rsid w:val="006A6AB2"/>
    <w:rsid w:val="006B117D"/>
    <w:rsid w:val="006B19B7"/>
    <w:rsid w:val="006B392C"/>
    <w:rsid w:val="006B4CC0"/>
    <w:rsid w:val="006B65B0"/>
    <w:rsid w:val="006C5198"/>
    <w:rsid w:val="006C6A07"/>
    <w:rsid w:val="006E0A3D"/>
    <w:rsid w:val="006E13F0"/>
    <w:rsid w:val="006E27F1"/>
    <w:rsid w:val="006E5BC8"/>
    <w:rsid w:val="006E6B33"/>
    <w:rsid w:val="006E7CBA"/>
    <w:rsid w:val="006F222F"/>
    <w:rsid w:val="006F768F"/>
    <w:rsid w:val="006F7B69"/>
    <w:rsid w:val="00700849"/>
    <w:rsid w:val="0070241F"/>
    <w:rsid w:val="007024A9"/>
    <w:rsid w:val="00703C96"/>
    <w:rsid w:val="00703D0F"/>
    <w:rsid w:val="007076D9"/>
    <w:rsid w:val="007130D7"/>
    <w:rsid w:val="0071315E"/>
    <w:rsid w:val="00713E98"/>
    <w:rsid w:val="00715591"/>
    <w:rsid w:val="00715AE8"/>
    <w:rsid w:val="0072516F"/>
    <w:rsid w:val="0073034D"/>
    <w:rsid w:val="00731ADC"/>
    <w:rsid w:val="007330F2"/>
    <w:rsid w:val="00733DB0"/>
    <w:rsid w:val="00735043"/>
    <w:rsid w:val="00740444"/>
    <w:rsid w:val="00740CA1"/>
    <w:rsid w:val="00744577"/>
    <w:rsid w:val="007452CF"/>
    <w:rsid w:val="00746055"/>
    <w:rsid w:val="00746DA9"/>
    <w:rsid w:val="00747086"/>
    <w:rsid w:val="007515E2"/>
    <w:rsid w:val="00756997"/>
    <w:rsid w:val="00756D66"/>
    <w:rsid w:val="00761D80"/>
    <w:rsid w:val="0076364A"/>
    <w:rsid w:val="00766FC5"/>
    <w:rsid w:val="00770E5B"/>
    <w:rsid w:val="00771AB4"/>
    <w:rsid w:val="00772930"/>
    <w:rsid w:val="00776E20"/>
    <w:rsid w:val="007814AF"/>
    <w:rsid w:val="007825F0"/>
    <w:rsid w:val="00787F88"/>
    <w:rsid w:val="0079721A"/>
    <w:rsid w:val="007A095C"/>
    <w:rsid w:val="007A0AF8"/>
    <w:rsid w:val="007A283A"/>
    <w:rsid w:val="007A65C8"/>
    <w:rsid w:val="007A6B16"/>
    <w:rsid w:val="007A7AC4"/>
    <w:rsid w:val="007B639C"/>
    <w:rsid w:val="007B7036"/>
    <w:rsid w:val="007C0870"/>
    <w:rsid w:val="007C20C8"/>
    <w:rsid w:val="007C2D10"/>
    <w:rsid w:val="007C457D"/>
    <w:rsid w:val="007C6927"/>
    <w:rsid w:val="007D02A9"/>
    <w:rsid w:val="007D166D"/>
    <w:rsid w:val="007D17C7"/>
    <w:rsid w:val="007D2766"/>
    <w:rsid w:val="007D2FF7"/>
    <w:rsid w:val="007D74D8"/>
    <w:rsid w:val="007E13A4"/>
    <w:rsid w:val="007E1EDA"/>
    <w:rsid w:val="007E20CA"/>
    <w:rsid w:val="007E3988"/>
    <w:rsid w:val="007E4698"/>
    <w:rsid w:val="007E6959"/>
    <w:rsid w:val="007E6991"/>
    <w:rsid w:val="007E6A1A"/>
    <w:rsid w:val="007E7A36"/>
    <w:rsid w:val="007F222D"/>
    <w:rsid w:val="007F3FB7"/>
    <w:rsid w:val="007F518D"/>
    <w:rsid w:val="007F68FE"/>
    <w:rsid w:val="007F7E7E"/>
    <w:rsid w:val="00803C29"/>
    <w:rsid w:val="00804E5E"/>
    <w:rsid w:val="00804FAA"/>
    <w:rsid w:val="00805678"/>
    <w:rsid w:val="00805D26"/>
    <w:rsid w:val="00810EDA"/>
    <w:rsid w:val="0081553D"/>
    <w:rsid w:val="00815BE9"/>
    <w:rsid w:val="00815C94"/>
    <w:rsid w:val="00815CF6"/>
    <w:rsid w:val="00816990"/>
    <w:rsid w:val="00817981"/>
    <w:rsid w:val="00822851"/>
    <w:rsid w:val="00824A75"/>
    <w:rsid w:val="0082509A"/>
    <w:rsid w:val="00825A51"/>
    <w:rsid w:val="00825D53"/>
    <w:rsid w:val="008272DF"/>
    <w:rsid w:val="0083008F"/>
    <w:rsid w:val="00831065"/>
    <w:rsid w:val="008337A7"/>
    <w:rsid w:val="00835BCB"/>
    <w:rsid w:val="00836773"/>
    <w:rsid w:val="00836E6A"/>
    <w:rsid w:val="008410D0"/>
    <w:rsid w:val="00841559"/>
    <w:rsid w:val="0084558B"/>
    <w:rsid w:val="00845924"/>
    <w:rsid w:val="00846107"/>
    <w:rsid w:val="00847E07"/>
    <w:rsid w:val="00851297"/>
    <w:rsid w:val="00852C43"/>
    <w:rsid w:val="00853737"/>
    <w:rsid w:val="008541B8"/>
    <w:rsid w:val="0085714D"/>
    <w:rsid w:val="00857249"/>
    <w:rsid w:val="00861067"/>
    <w:rsid w:val="00862AE2"/>
    <w:rsid w:val="00862C25"/>
    <w:rsid w:val="00863CA2"/>
    <w:rsid w:val="00864A80"/>
    <w:rsid w:val="008655ED"/>
    <w:rsid w:val="00866942"/>
    <w:rsid w:val="00871B0D"/>
    <w:rsid w:val="00871B14"/>
    <w:rsid w:val="008735A1"/>
    <w:rsid w:val="00875962"/>
    <w:rsid w:val="00880325"/>
    <w:rsid w:val="00882ABD"/>
    <w:rsid w:val="008844A4"/>
    <w:rsid w:val="008844CF"/>
    <w:rsid w:val="008857CC"/>
    <w:rsid w:val="0089314F"/>
    <w:rsid w:val="0089328E"/>
    <w:rsid w:val="00894929"/>
    <w:rsid w:val="0089513A"/>
    <w:rsid w:val="00896069"/>
    <w:rsid w:val="00896786"/>
    <w:rsid w:val="008976AB"/>
    <w:rsid w:val="008A2C15"/>
    <w:rsid w:val="008A3DBA"/>
    <w:rsid w:val="008A483E"/>
    <w:rsid w:val="008A5601"/>
    <w:rsid w:val="008A7984"/>
    <w:rsid w:val="008B69B6"/>
    <w:rsid w:val="008B7726"/>
    <w:rsid w:val="008C08EC"/>
    <w:rsid w:val="008C154C"/>
    <w:rsid w:val="008C2997"/>
    <w:rsid w:val="008C443B"/>
    <w:rsid w:val="008C538A"/>
    <w:rsid w:val="008D0618"/>
    <w:rsid w:val="008D1AEB"/>
    <w:rsid w:val="008D1E23"/>
    <w:rsid w:val="008D2A7C"/>
    <w:rsid w:val="008D3031"/>
    <w:rsid w:val="008D4F00"/>
    <w:rsid w:val="008D7DBC"/>
    <w:rsid w:val="008E08B2"/>
    <w:rsid w:val="008E0AFC"/>
    <w:rsid w:val="008E1E43"/>
    <w:rsid w:val="008E3116"/>
    <w:rsid w:val="008E637F"/>
    <w:rsid w:val="008E66FE"/>
    <w:rsid w:val="008F27DB"/>
    <w:rsid w:val="008F5B6F"/>
    <w:rsid w:val="008F6970"/>
    <w:rsid w:val="009002A3"/>
    <w:rsid w:val="0090038C"/>
    <w:rsid w:val="009007C7"/>
    <w:rsid w:val="009007EC"/>
    <w:rsid w:val="00900EF5"/>
    <w:rsid w:val="00901EE5"/>
    <w:rsid w:val="0090421D"/>
    <w:rsid w:val="00906447"/>
    <w:rsid w:val="0091349D"/>
    <w:rsid w:val="009141C7"/>
    <w:rsid w:val="009160EA"/>
    <w:rsid w:val="00920597"/>
    <w:rsid w:val="00921E42"/>
    <w:rsid w:val="00922872"/>
    <w:rsid w:val="0092425B"/>
    <w:rsid w:val="00924D39"/>
    <w:rsid w:val="00924FFE"/>
    <w:rsid w:val="009263C3"/>
    <w:rsid w:val="009268AB"/>
    <w:rsid w:val="009364FF"/>
    <w:rsid w:val="00942397"/>
    <w:rsid w:val="009425B4"/>
    <w:rsid w:val="009441FF"/>
    <w:rsid w:val="00945198"/>
    <w:rsid w:val="00946F52"/>
    <w:rsid w:val="00950F44"/>
    <w:rsid w:val="00952A7D"/>
    <w:rsid w:val="00952BF8"/>
    <w:rsid w:val="00953747"/>
    <w:rsid w:val="0095565A"/>
    <w:rsid w:val="00955918"/>
    <w:rsid w:val="00960439"/>
    <w:rsid w:val="00961D67"/>
    <w:rsid w:val="00962D93"/>
    <w:rsid w:val="009636EF"/>
    <w:rsid w:val="0096408D"/>
    <w:rsid w:val="009651A8"/>
    <w:rsid w:val="009657E9"/>
    <w:rsid w:val="0096666B"/>
    <w:rsid w:val="009719C3"/>
    <w:rsid w:val="0097578E"/>
    <w:rsid w:val="00976E55"/>
    <w:rsid w:val="009814B0"/>
    <w:rsid w:val="00983F5D"/>
    <w:rsid w:val="00984D41"/>
    <w:rsid w:val="009852BB"/>
    <w:rsid w:val="009853C4"/>
    <w:rsid w:val="0098547C"/>
    <w:rsid w:val="009860B4"/>
    <w:rsid w:val="00986724"/>
    <w:rsid w:val="0098718E"/>
    <w:rsid w:val="00994269"/>
    <w:rsid w:val="0099439A"/>
    <w:rsid w:val="00994737"/>
    <w:rsid w:val="009965BC"/>
    <w:rsid w:val="009A0F00"/>
    <w:rsid w:val="009A37AE"/>
    <w:rsid w:val="009A4059"/>
    <w:rsid w:val="009A47EF"/>
    <w:rsid w:val="009A619C"/>
    <w:rsid w:val="009B1979"/>
    <w:rsid w:val="009B1E1B"/>
    <w:rsid w:val="009B1E74"/>
    <w:rsid w:val="009B2CC0"/>
    <w:rsid w:val="009B4C38"/>
    <w:rsid w:val="009B566A"/>
    <w:rsid w:val="009C0523"/>
    <w:rsid w:val="009C0DAB"/>
    <w:rsid w:val="009C1E20"/>
    <w:rsid w:val="009D0378"/>
    <w:rsid w:val="009D0F18"/>
    <w:rsid w:val="009D1EFB"/>
    <w:rsid w:val="009D5964"/>
    <w:rsid w:val="009D6A0C"/>
    <w:rsid w:val="009D7184"/>
    <w:rsid w:val="009E0725"/>
    <w:rsid w:val="009E1492"/>
    <w:rsid w:val="009E4B3F"/>
    <w:rsid w:val="009E5877"/>
    <w:rsid w:val="009E6AEC"/>
    <w:rsid w:val="009E701C"/>
    <w:rsid w:val="009F5F5E"/>
    <w:rsid w:val="009F69B0"/>
    <w:rsid w:val="00A0310D"/>
    <w:rsid w:val="00A073F4"/>
    <w:rsid w:val="00A0760B"/>
    <w:rsid w:val="00A07BBE"/>
    <w:rsid w:val="00A16439"/>
    <w:rsid w:val="00A21057"/>
    <w:rsid w:val="00A217CE"/>
    <w:rsid w:val="00A21E86"/>
    <w:rsid w:val="00A22DFB"/>
    <w:rsid w:val="00A305E3"/>
    <w:rsid w:val="00A353F1"/>
    <w:rsid w:val="00A357B0"/>
    <w:rsid w:val="00A35B22"/>
    <w:rsid w:val="00A37088"/>
    <w:rsid w:val="00A42B99"/>
    <w:rsid w:val="00A479B6"/>
    <w:rsid w:val="00A50D3C"/>
    <w:rsid w:val="00A532E3"/>
    <w:rsid w:val="00A54D9C"/>
    <w:rsid w:val="00A57200"/>
    <w:rsid w:val="00A57865"/>
    <w:rsid w:val="00A62284"/>
    <w:rsid w:val="00A62B31"/>
    <w:rsid w:val="00A64850"/>
    <w:rsid w:val="00A64BD8"/>
    <w:rsid w:val="00A65003"/>
    <w:rsid w:val="00A65202"/>
    <w:rsid w:val="00A65611"/>
    <w:rsid w:val="00A65CFF"/>
    <w:rsid w:val="00A6687F"/>
    <w:rsid w:val="00A66B19"/>
    <w:rsid w:val="00A66D0D"/>
    <w:rsid w:val="00A73299"/>
    <w:rsid w:val="00A7536B"/>
    <w:rsid w:val="00A80356"/>
    <w:rsid w:val="00A816B6"/>
    <w:rsid w:val="00A82D81"/>
    <w:rsid w:val="00A87284"/>
    <w:rsid w:val="00A96E79"/>
    <w:rsid w:val="00AA2033"/>
    <w:rsid w:val="00AA4A07"/>
    <w:rsid w:val="00AA6230"/>
    <w:rsid w:val="00AB632D"/>
    <w:rsid w:val="00AC5444"/>
    <w:rsid w:val="00AC70E1"/>
    <w:rsid w:val="00AD1D29"/>
    <w:rsid w:val="00AD328E"/>
    <w:rsid w:val="00AD4618"/>
    <w:rsid w:val="00AD5147"/>
    <w:rsid w:val="00AE0837"/>
    <w:rsid w:val="00AE11C8"/>
    <w:rsid w:val="00AE355C"/>
    <w:rsid w:val="00AE4EFC"/>
    <w:rsid w:val="00AE5731"/>
    <w:rsid w:val="00AE7127"/>
    <w:rsid w:val="00AF6BA2"/>
    <w:rsid w:val="00AF7801"/>
    <w:rsid w:val="00B019E2"/>
    <w:rsid w:val="00B020ED"/>
    <w:rsid w:val="00B022E6"/>
    <w:rsid w:val="00B036CB"/>
    <w:rsid w:val="00B130D5"/>
    <w:rsid w:val="00B13566"/>
    <w:rsid w:val="00B13A54"/>
    <w:rsid w:val="00B14220"/>
    <w:rsid w:val="00B16868"/>
    <w:rsid w:val="00B17251"/>
    <w:rsid w:val="00B2159A"/>
    <w:rsid w:val="00B21D32"/>
    <w:rsid w:val="00B225D3"/>
    <w:rsid w:val="00B313B2"/>
    <w:rsid w:val="00B34A43"/>
    <w:rsid w:val="00B36912"/>
    <w:rsid w:val="00B404A0"/>
    <w:rsid w:val="00B4256A"/>
    <w:rsid w:val="00B432AB"/>
    <w:rsid w:val="00B54D75"/>
    <w:rsid w:val="00B552F4"/>
    <w:rsid w:val="00B60C2A"/>
    <w:rsid w:val="00B65FC0"/>
    <w:rsid w:val="00B707DD"/>
    <w:rsid w:val="00B719F4"/>
    <w:rsid w:val="00B72445"/>
    <w:rsid w:val="00B73995"/>
    <w:rsid w:val="00B74DBC"/>
    <w:rsid w:val="00B75E08"/>
    <w:rsid w:val="00B76684"/>
    <w:rsid w:val="00B7698F"/>
    <w:rsid w:val="00B84FA3"/>
    <w:rsid w:val="00B85F5F"/>
    <w:rsid w:val="00B86395"/>
    <w:rsid w:val="00B86E2B"/>
    <w:rsid w:val="00B87311"/>
    <w:rsid w:val="00B91DEC"/>
    <w:rsid w:val="00B92A56"/>
    <w:rsid w:val="00B931F8"/>
    <w:rsid w:val="00B95DB0"/>
    <w:rsid w:val="00B9722F"/>
    <w:rsid w:val="00B97741"/>
    <w:rsid w:val="00BA0721"/>
    <w:rsid w:val="00BA1883"/>
    <w:rsid w:val="00BA227D"/>
    <w:rsid w:val="00BA4C84"/>
    <w:rsid w:val="00BA6373"/>
    <w:rsid w:val="00BC09FC"/>
    <w:rsid w:val="00BC0DD5"/>
    <w:rsid w:val="00BC60E6"/>
    <w:rsid w:val="00BC7B04"/>
    <w:rsid w:val="00BE4424"/>
    <w:rsid w:val="00BE66AA"/>
    <w:rsid w:val="00BE73B9"/>
    <w:rsid w:val="00BF0886"/>
    <w:rsid w:val="00BF444F"/>
    <w:rsid w:val="00BF4FCC"/>
    <w:rsid w:val="00BF5274"/>
    <w:rsid w:val="00BF77F5"/>
    <w:rsid w:val="00C01D8A"/>
    <w:rsid w:val="00C023EF"/>
    <w:rsid w:val="00C1338D"/>
    <w:rsid w:val="00C15415"/>
    <w:rsid w:val="00C16FE4"/>
    <w:rsid w:val="00C172EB"/>
    <w:rsid w:val="00C22F98"/>
    <w:rsid w:val="00C2363B"/>
    <w:rsid w:val="00C26560"/>
    <w:rsid w:val="00C3062F"/>
    <w:rsid w:val="00C32E7A"/>
    <w:rsid w:val="00C3633B"/>
    <w:rsid w:val="00C408D9"/>
    <w:rsid w:val="00C42DB9"/>
    <w:rsid w:val="00C447FD"/>
    <w:rsid w:val="00C44B90"/>
    <w:rsid w:val="00C5112F"/>
    <w:rsid w:val="00C51434"/>
    <w:rsid w:val="00C51743"/>
    <w:rsid w:val="00C51A61"/>
    <w:rsid w:val="00C57393"/>
    <w:rsid w:val="00C64C71"/>
    <w:rsid w:val="00C6528B"/>
    <w:rsid w:val="00C661B3"/>
    <w:rsid w:val="00C70300"/>
    <w:rsid w:val="00C7037D"/>
    <w:rsid w:val="00C70637"/>
    <w:rsid w:val="00C71DC8"/>
    <w:rsid w:val="00C73E69"/>
    <w:rsid w:val="00C74592"/>
    <w:rsid w:val="00C761AD"/>
    <w:rsid w:val="00C767BA"/>
    <w:rsid w:val="00C8048C"/>
    <w:rsid w:val="00C80C68"/>
    <w:rsid w:val="00C86E9A"/>
    <w:rsid w:val="00C93A3D"/>
    <w:rsid w:val="00C94F0A"/>
    <w:rsid w:val="00CA3203"/>
    <w:rsid w:val="00CA6058"/>
    <w:rsid w:val="00CA6BD1"/>
    <w:rsid w:val="00CB1B1B"/>
    <w:rsid w:val="00CB3E03"/>
    <w:rsid w:val="00CB580D"/>
    <w:rsid w:val="00CB6098"/>
    <w:rsid w:val="00CB623E"/>
    <w:rsid w:val="00CC0BA5"/>
    <w:rsid w:val="00CC1F3E"/>
    <w:rsid w:val="00CC236E"/>
    <w:rsid w:val="00CC2B2A"/>
    <w:rsid w:val="00CC6011"/>
    <w:rsid w:val="00CC6216"/>
    <w:rsid w:val="00CC6A8D"/>
    <w:rsid w:val="00CC70FA"/>
    <w:rsid w:val="00CD37C3"/>
    <w:rsid w:val="00CD3911"/>
    <w:rsid w:val="00CD48EF"/>
    <w:rsid w:val="00CD4BA1"/>
    <w:rsid w:val="00CD59A6"/>
    <w:rsid w:val="00CE328A"/>
    <w:rsid w:val="00CE33C1"/>
    <w:rsid w:val="00CE3834"/>
    <w:rsid w:val="00CF148C"/>
    <w:rsid w:val="00CF3838"/>
    <w:rsid w:val="00CF3D94"/>
    <w:rsid w:val="00CF48A3"/>
    <w:rsid w:val="00CF5081"/>
    <w:rsid w:val="00D00377"/>
    <w:rsid w:val="00D058E4"/>
    <w:rsid w:val="00D07178"/>
    <w:rsid w:val="00D11C0B"/>
    <w:rsid w:val="00D11EE9"/>
    <w:rsid w:val="00D13F47"/>
    <w:rsid w:val="00D14E66"/>
    <w:rsid w:val="00D16E40"/>
    <w:rsid w:val="00D17631"/>
    <w:rsid w:val="00D17CD3"/>
    <w:rsid w:val="00D21B22"/>
    <w:rsid w:val="00D24AEB"/>
    <w:rsid w:val="00D24AFD"/>
    <w:rsid w:val="00D27902"/>
    <w:rsid w:val="00D27984"/>
    <w:rsid w:val="00D31D50"/>
    <w:rsid w:val="00D323E9"/>
    <w:rsid w:val="00D34F5B"/>
    <w:rsid w:val="00D35023"/>
    <w:rsid w:val="00D403B8"/>
    <w:rsid w:val="00D406D4"/>
    <w:rsid w:val="00D4108C"/>
    <w:rsid w:val="00D45C1B"/>
    <w:rsid w:val="00D45E14"/>
    <w:rsid w:val="00D51C9A"/>
    <w:rsid w:val="00D5318C"/>
    <w:rsid w:val="00D53371"/>
    <w:rsid w:val="00D53BD5"/>
    <w:rsid w:val="00D55621"/>
    <w:rsid w:val="00D6000E"/>
    <w:rsid w:val="00D713D6"/>
    <w:rsid w:val="00D727F1"/>
    <w:rsid w:val="00D72DAF"/>
    <w:rsid w:val="00D75BB9"/>
    <w:rsid w:val="00D76276"/>
    <w:rsid w:val="00D77919"/>
    <w:rsid w:val="00D8083C"/>
    <w:rsid w:val="00D80FFC"/>
    <w:rsid w:val="00D85F8D"/>
    <w:rsid w:val="00D872EC"/>
    <w:rsid w:val="00D87F81"/>
    <w:rsid w:val="00D90E39"/>
    <w:rsid w:val="00D97E89"/>
    <w:rsid w:val="00DA3A98"/>
    <w:rsid w:val="00DA45EE"/>
    <w:rsid w:val="00DA58A3"/>
    <w:rsid w:val="00DB2F5B"/>
    <w:rsid w:val="00DB46CB"/>
    <w:rsid w:val="00DB695F"/>
    <w:rsid w:val="00DC03E7"/>
    <w:rsid w:val="00DC3710"/>
    <w:rsid w:val="00DC3B9E"/>
    <w:rsid w:val="00DC4FB9"/>
    <w:rsid w:val="00DC545F"/>
    <w:rsid w:val="00DC54A9"/>
    <w:rsid w:val="00DC6139"/>
    <w:rsid w:val="00DC6686"/>
    <w:rsid w:val="00DC6D84"/>
    <w:rsid w:val="00DC7F68"/>
    <w:rsid w:val="00DD1D7F"/>
    <w:rsid w:val="00DD360A"/>
    <w:rsid w:val="00DD4B84"/>
    <w:rsid w:val="00DD7F91"/>
    <w:rsid w:val="00DE0985"/>
    <w:rsid w:val="00DE42BF"/>
    <w:rsid w:val="00DE4A1A"/>
    <w:rsid w:val="00DE4E11"/>
    <w:rsid w:val="00DE53FE"/>
    <w:rsid w:val="00DE6ED8"/>
    <w:rsid w:val="00DF0524"/>
    <w:rsid w:val="00E00A5F"/>
    <w:rsid w:val="00E01BA5"/>
    <w:rsid w:val="00E05D64"/>
    <w:rsid w:val="00E07ABB"/>
    <w:rsid w:val="00E07D8F"/>
    <w:rsid w:val="00E13762"/>
    <w:rsid w:val="00E14E2F"/>
    <w:rsid w:val="00E1552D"/>
    <w:rsid w:val="00E1640B"/>
    <w:rsid w:val="00E317A6"/>
    <w:rsid w:val="00E3190E"/>
    <w:rsid w:val="00E31F05"/>
    <w:rsid w:val="00E32285"/>
    <w:rsid w:val="00E34295"/>
    <w:rsid w:val="00E3667E"/>
    <w:rsid w:val="00E4088D"/>
    <w:rsid w:val="00E4228D"/>
    <w:rsid w:val="00E4254E"/>
    <w:rsid w:val="00E4608C"/>
    <w:rsid w:val="00E502A2"/>
    <w:rsid w:val="00E521B6"/>
    <w:rsid w:val="00E52931"/>
    <w:rsid w:val="00E53614"/>
    <w:rsid w:val="00E53ACE"/>
    <w:rsid w:val="00E5519B"/>
    <w:rsid w:val="00E55FEE"/>
    <w:rsid w:val="00E57BD3"/>
    <w:rsid w:val="00E57D38"/>
    <w:rsid w:val="00E65332"/>
    <w:rsid w:val="00E65F77"/>
    <w:rsid w:val="00E670CD"/>
    <w:rsid w:val="00E67EA9"/>
    <w:rsid w:val="00E7662D"/>
    <w:rsid w:val="00E7727F"/>
    <w:rsid w:val="00E83519"/>
    <w:rsid w:val="00E91889"/>
    <w:rsid w:val="00E91F0F"/>
    <w:rsid w:val="00E92C54"/>
    <w:rsid w:val="00E944E2"/>
    <w:rsid w:val="00E95C54"/>
    <w:rsid w:val="00E96103"/>
    <w:rsid w:val="00EA027D"/>
    <w:rsid w:val="00EB22CF"/>
    <w:rsid w:val="00EB3414"/>
    <w:rsid w:val="00EB39DD"/>
    <w:rsid w:val="00EB40E4"/>
    <w:rsid w:val="00EB483C"/>
    <w:rsid w:val="00EB61AF"/>
    <w:rsid w:val="00EB67BA"/>
    <w:rsid w:val="00EC16F8"/>
    <w:rsid w:val="00EC306F"/>
    <w:rsid w:val="00EC374C"/>
    <w:rsid w:val="00EC408E"/>
    <w:rsid w:val="00EC41F2"/>
    <w:rsid w:val="00EC4EB3"/>
    <w:rsid w:val="00EC5617"/>
    <w:rsid w:val="00EC7457"/>
    <w:rsid w:val="00EC7C9E"/>
    <w:rsid w:val="00ED230D"/>
    <w:rsid w:val="00ED2440"/>
    <w:rsid w:val="00ED6C43"/>
    <w:rsid w:val="00EE1C0B"/>
    <w:rsid w:val="00EE59D0"/>
    <w:rsid w:val="00EE7FF3"/>
    <w:rsid w:val="00EF1370"/>
    <w:rsid w:val="00EF26BF"/>
    <w:rsid w:val="00EF4861"/>
    <w:rsid w:val="00EF50C7"/>
    <w:rsid w:val="00EF5E19"/>
    <w:rsid w:val="00EF779D"/>
    <w:rsid w:val="00EF7E82"/>
    <w:rsid w:val="00F01970"/>
    <w:rsid w:val="00F01B91"/>
    <w:rsid w:val="00F06AF6"/>
    <w:rsid w:val="00F079A5"/>
    <w:rsid w:val="00F07F69"/>
    <w:rsid w:val="00F107F9"/>
    <w:rsid w:val="00F111E0"/>
    <w:rsid w:val="00F117D4"/>
    <w:rsid w:val="00F16475"/>
    <w:rsid w:val="00F166E5"/>
    <w:rsid w:val="00F21AC1"/>
    <w:rsid w:val="00F22D55"/>
    <w:rsid w:val="00F24A9A"/>
    <w:rsid w:val="00F2592D"/>
    <w:rsid w:val="00F25C5F"/>
    <w:rsid w:val="00F3182D"/>
    <w:rsid w:val="00F34EF2"/>
    <w:rsid w:val="00F3580F"/>
    <w:rsid w:val="00F406BB"/>
    <w:rsid w:val="00F44AD0"/>
    <w:rsid w:val="00F45A7A"/>
    <w:rsid w:val="00F50379"/>
    <w:rsid w:val="00F55102"/>
    <w:rsid w:val="00F56FEE"/>
    <w:rsid w:val="00F57115"/>
    <w:rsid w:val="00F6298B"/>
    <w:rsid w:val="00F63B02"/>
    <w:rsid w:val="00F65350"/>
    <w:rsid w:val="00F65C21"/>
    <w:rsid w:val="00F700A6"/>
    <w:rsid w:val="00F760D1"/>
    <w:rsid w:val="00F8151A"/>
    <w:rsid w:val="00F83788"/>
    <w:rsid w:val="00F84D69"/>
    <w:rsid w:val="00F85054"/>
    <w:rsid w:val="00F87AEF"/>
    <w:rsid w:val="00F87C14"/>
    <w:rsid w:val="00F94F61"/>
    <w:rsid w:val="00FA17B4"/>
    <w:rsid w:val="00FA1AD3"/>
    <w:rsid w:val="00FA3581"/>
    <w:rsid w:val="00FA648B"/>
    <w:rsid w:val="00FB10B8"/>
    <w:rsid w:val="00FB24BA"/>
    <w:rsid w:val="00FB28C8"/>
    <w:rsid w:val="00FB381D"/>
    <w:rsid w:val="00FB40AD"/>
    <w:rsid w:val="00FB6172"/>
    <w:rsid w:val="00FB6492"/>
    <w:rsid w:val="00FC007D"/>
    <w:rsid w:val="00FC131A"/>
    <w:rsid w:val="00FC224A"/>
    <w:rsid w:val="00FC43D6"/>
    <w:rsid w:val="00FC4AD3"/>
    <w:rsid w:val="00FD1ECF"/>
    <w:rsid w:val="00FD2208"/>
    <w:rsid w:val="00FD2EC4"/>
    <w:rsid w:val="00FD63D3"/>
    <w:rsid w:val="00FD717D"/>
    <w:rsid w:val="00FE14C7"/>
    <w:rsid w:val="00FE44CF"/>
    <w:rsid w:val="00FF1239"/>
    <w:rsid w:val="00FF1AC1"/>
    <w:rsid w:val="00FF5DE3"/>
    <w:rsid w:val="00FF62F7"/>
    <w:rsid w:val="00FF6EAF"/>
    <w:rsid w:val="00FF7408"/>
    <w:rsid w:val="01F65399"/>
    <w:rsid w:val="026A1A9F"/>
    <w:rsid w:val="03226A0E"/>
    <w:rsid w:val="04260169"/>
    <w:rsid w:val="04CC4830"/>
    <w:rsid w:val="050945F2"/>
    <w:rsid w:val="050E4034"/>
    <w:rsid w:val="056F4DC0"/>
    <w:rsid w:val="05F86FA8"/>
    <w:rsid w:val="06174B4A"/>
    <w:rsid w:val="06342461"/>
    <w:rsid w:val="065C2670"/>
    <w:rsid w:val="06677EA2"/>
    <w:rsid w:val="06F06056"/>
    <w:rsid w:val="07021FF9"/>
    <w:rsid w:val="071C7BC7"/>
    <w:rsid w:val="075A67A2"/>
    <w:rsid w:val="0840050B"/>
    <w:rsid w:val="086D38AF"/>
    <w:rsid w:val="08C44882"/>
    <w:rsid w:val="08C94E4D"/>
    <w:rsid w:val="0915227D"/>
    <w:rsid w:val="09164C3B"/>
    <w:rsid w:val="099842FD"/>
    <w:rsid w:val="0A3A2559"/>
    <w:rsid w:val="0A805158"/>
    <w:rsid w:val="0AF87126"/>
    <w:rsid w:val="0B4B1CD9"/>
    <w:rsid w:val="0B9B2EBC"/>
    <w:rsid w:val="0BA309DB"/>
    <w:rsid w:val="0BC90D6D"/>
    <w:rsid w:val="0BCB508B"/>
    <w:rsid w:val="0C070B14"/>
    <w:rsid w:val="0C1A22A8"/>
    <w:rsid w:val="0C26236E"/>
    <w:rsid w:val="0C9306BE"/>
    <w:rsid w:val="0CB05CD1"/>
    <w:rsid w:val="0D1B39E9"/>
    <w:rsid w:val="0DCB2021"/>
    <w:rsid w:val="0E3A01CC"/>
    <w:rsid w:val="0E9172D3"/>
    <w:rsid w:val="0EF1422C"/>
    <w:rsid w:val="0F3B23D4"/>
    <w:rsid w:val="0F3B3DD7"/>
    <w:rsid w:val="107B6AE8"/>
    <w:rsid w:val="11195DC6"/>
    <w:rsid w:val="115A70AD"/>
    <w:rsid w:val="116421D6"/>
    <w:rsid w:val="11EA1B00"/>
    <w:rsid w:val="121F5AC5"/>
    <w:rsid w:val="125037BB"/>
    <w:rsid w:val="12521250"/>
    <w:rsid w:val="12524B60"/>
    <w:rsid w:val="12E866AF"/>
    <w:rsid w:val="130C55D8"/>
    <w:rsid w:val="13244A23"/>
    <w:rsid w:val="13EE6B6B"/>
    <w:rsid w:val="1472386E"/>
    <w:rsid w:val="148F0FC6"/>
    <w:rsid w:val="151600A7"/>
    <w:rsid w:val="159F345A"/>
    <w:rsid w:val="15E43EF8"/>
    <w:rsid w:val="16A81136"/>
    <w:rsid w:val="16AC4207"/>
    <w:rsid w:val="178A56FB"/>
    <w:rsid w:val="17A8647B"/>
    <w:rsid w:val="18253B4C"/>
    <w:rsid w:val="190F1674"/>
    <w:rsid w:val="19132D2F"/>
    <w:rsid w:val="19210747"/>
    <w:rsid w:val="196E7CB2"/>
    <w:rsid w:val="198759D2"/>
    <w:rsid w:val="19D72BB5"/>
    <w:rsid w:val="1AD212BF"/>
    <w:rsid w:val="1AF900F3"/>
    <w:rsid w:val="1AFC6A2C"/>
    <w:rsid w:val="1BE0351A"/>
    <w:rsid w:val="1C120302"/>
    <w:rsid w:val="1C442FCB"/>
    <w:rsid w:val="1C532B00"/>
    <w:rsid w:val="1CCC12C5"/>
    <w:rsid w:val="1D1B1BAD"/>
    <w:rsid w:val="1D401A6B"/>
    <w:rsid w:val="1DCC5DA5"/>
    <w:rsid w:val="1E8A015B"/>
    <w:rsid w:val="1EA00E4A"/>
    <w:rsid w:val="1F4F1109"/>
    <w:rsid w:val="1F6A0646"/>
    <w:rsid w:val="206A0332"/>
    <w:rsid w:val="2091595B"/>
    <w:rsid w:val="20F51AC3"/>
    <w:rsid w:val="21AE6D2F"/>
    <w:rsid w:val="21C21552"/>
    <w:rsid w:val="21C3713A"/>
    <w:rsid w:val="24DA6297"/>
    <w:rsid w:val="252F3CBE"/>
    <w:rsid w:val="26694CDB"/>
    <w:rsid w:val="282C171E"/>
    <w:rsid w:val="2849297F"/>
    <w:rsid w:val="2936596A"/>
    <w:rsid w:val="2997006D"/>
    <w:rsid w:val="29AC5EF0"/>
    <w:rsid w:val="2B040631"/>
    <w:rsid w:val="2B0B5AF1"/>
    <w:rsid w:val="2B793244"/>
    <w:rsid w:val="2C094BA0"/>
    <w:rsid w:val="2C60205D"/>
    <w:rsid w:val="2C8F5C68"/>
    <w:rsid w:val="2CAD317E"/>
    <w:rsid w:val="2CC97424"/>
    <w:rsid w:val="2D2725F0"/>
    <w:rsid w:val="2D345768"/>
    <w:rsid w:val="2D73679B"/>
    <w:rsid w:val="2E994608"/>
    <w:rsid w:val="2E9C375A"/>
    <w:rsid w:val="2EA60EE0"/>
    <w:rsid w:val="2ED8262F"/>
    <w:rsid w:val="2F242CBD"/>
    <w:rsid w:val="2FB34058"/>
    <w:rsid w:val="300C74C4"/>
    <w:rsid w:val="304B3830"/>
    <w:rsid w:val="307D5A91"/>
    <w:rsid w:val="317B20C5"/>
    <w:rsid w:val="32A33E31"/>
    <w:rsid w:val="32D048D8"/>
    <w:rsid w:val="32D3622F"/>
    <w:rsid w:val="32D63CF2"/>
    <w:rsid w:val="32F26097"/>
    <w:rsid w:val="3341799D"/>
    <w:rsid w:val="337A399F"/>
    <w:rsid w:val="337F2EFA"/>
    <w:rsid w:val="339029A7"/>
    <w:rsid w:val="33CC5FD9"/>
    <w:rsid w:val="34697607"/>
    <w:rsid w:val="34DC6FBF"/>
    <w:rsid w:val="352019FA"/>
    <w:rsid w:val="35731520"/>
    <w:rsid w:val="35F436C6"/>
    <w:rsid w:val="36037C49"/>
    <w:rsid w:val="36B804EA"/>
    <w:rsid w:val="371766EB"/>
    <w:rsid w:val="3728049C"/>
    <w:rsid w:val="37CD3E9A"/>
    <w:rsid w:val="37D03480"/>
    <w:rsid w:val="37D87189"/>
    <w:rsid w:val="37E87EA7"/>
    <w:rsid w:val="37F761BE"/>
    <w:rsid w:val="380B1A51"/>
    <w:rsid w:val="382056BC"/>
    <w:rsid w:val="38AB6B19"/>
    <w:rsid w:val="39035D73"/>
    <w:rsid w:val="39144BF9"/>
    <w:rsid w:val="39236305"/>
    <w:rsid w:val="397D1814"/>
    <w:rsid w:val="3991694F"/>
    <w:rsid w:val="3A096C45"/>
    <w:rsid w:val="3B3315C9"/>
    <w:rsid w:val="3B3666AA"/>
    <w:rsid w:val="3B5D03F9"/>
    <w:rsid w:val="3B9C69ED"/>
    <w:rsid w:val="3C075E40"/>
    <w:rsid w:val="3C0F314C"/>
    <w:rsid w:val="3C8400FD"/>
    <w:rsid w:val="3C8D5215"/>
    <w:rsid w:val="3CB96E1E"/>
    <w:rsid w:val="3E2A5A13"/>
    <w:rsid w:val="3E6A5C1B"/>
    <w:rsid w:val="3E951BD3"/>
    <w:rsid w:val="3EB91E59"/>
    <w:rsid w:val="3FA23A80"/>
    <w:rsid w:val="3FB75DF9"/>
    <w:rsid w:val="418368ED"/>
    <w:rsid w:val="425C64FC"/>
    <w:rsid w:val="4278675D"/>
    <w:rsid w:val="431F105C"/>
    <w:rsid w:val="43F003B4"/>
    <w:rsid w:val="446458DA"/>
    <w:rsid w:val="446645C4"/>
    <w:rsid w:val="44E00C2F"/>
    <w:rsid w:val="44F12828"/>
    <w:rsid w:val="453F4EE8"/>
    <w:rsid w:val="457E0C0E"/>
    <w:rsid w:val="45A27895"/>
    <w:rsid w:val="45AC4DDC"/>
    <w:rsid w:val="4654463C"/>
    <w:rsid w:val="469D1E1F"/>
    <w:rsid w:val="4703453A"/>
    <w:rsid w:val="47401AE3"/>
    <w:rsid w:val="47847F9B"/>
    <w:rsid w:val="47B6276E"/>
    <w:rsid w:val="47D7714D"/>
    <w:rsid w:val="48CA305E"/>
    <w:rsid w:val="491D1161"/>
    <w:rsid w:val="4945471C"/>
    <w:rsid w:val="49C23604"/>
    <w:rsid w:val="4A6500D9"/>
    <w:rsid w:val="4B4D56DB"/>
    <w:rsid w:val="4BCB58DC"/>
    <w:rsid w:val="4BE87F26"/>
    <w:rsid w:val="4C081E20"/>
    <w:rsid w:val="4C3974A1"/>
    <w:rsid w:val="4C4D743A"/>
    <w:rsid w:val="4C561056"/>
    <w:rsid w:val="4CDC25C4"/>
    <w:rsid w:val="4D2A1AAB"/>
    <w:rsid w:val="4DBE15DE"/>
    <w:rsid w:val="4DFF45BC"/>
    <w:rsid w:val="4E61428A"/>
    <w:rsid w:val="4E7B705D"/>
    <w:rsid w:val="4ECB455C"/>
    <w:rsid w:val="4EF16D21"/>
    <w:rsid w:val="4F4E6BEF"/>
    <w:rsid w:val="4F6745C5"/>
    <w:rsid w:val="4F751E54"/>
    <w:rsid w:val="4FA9510C"/>
    <w:rsid w:val="50891C17"/>
    <w:rsid w:val="520E7D39"/>
    <w:rsid w:val="527310FD"/>
    <w:rsid w:val="52C145B3"/>
    <w:rsid w:val="532C19FA"/>
    <w:rsid w:val="536C046F"/>
    <w:rsid w:val="53777260"/>
    <w:rsid w:val="53BD324D"/>
    <w:rsid w:val="53DA3FDB"/>
    <w:rsid w:val="54B52F23"/>
    <w:rsid w:val="559025B5"/>
    <w:rsid w:val="55BE6F35"/>
    <w:rsid w:val="56AB5747"/>
    <w:rsid w:val="57466A30"/>
    <w:rsid w:val="57E7750E"/>
    <w:rsid w:val="582C3304"/>
    <w:rsid w:val="583E683E"/>
    <w:rsid w:val="584263FC"/>
    <w:rsid w:val="58AA248A"/>
    <w:rsid w:val="592757C1"/>
    <w:rsid w:val="5A097D45"/>
    <w:rsid w:val="5A232744"/>
    <w:rsid w:val="5A8E433F"/>
    <w:rsid w:val="5ACC5639"/>
    <w:rsid w:val="5AFE0937"/>
    <w:rsid w:val="5B022AFF"/>
    <w:rsid w:val="5B1C238B"/>
    <w:rsid w:val="5BB72396"/>
    <w:rsid w:val="5BDA2541"/>
    <w:rsid w:val="5C8E70AE"/>
    <w:rsid w:val="5C9700DF"/>
    <w:rsid w:val="5CFF5AEE"/>
    <w:rsid w:val="5D5260D6"/>
    <w:rsid w:val="5E4106DA"/>
    <w:rsid w:val="5E4B362D"/>
    <w:rsid w:val="5E4B3828"/>
    <w:rsid w:val="5EC32979"/>
    <w:rsid w:val="5EFC5263"/>
    <w:rsid w:val="5F2B51D9"/>
    <w:rsid w:val="5F37440C"/>
    <w:rsid w:val="609E7926"/>
    <w:rsid w:val="60CC769A"/>
    <w:rsid w:val="60F3280A"/>
    <w:rsid w:val="615A0826"/>
    <w:rsid w:val="616E5025"/>
    <w:rsid w:val="62117B48"/>
    <w:rsid w:val="6233066F"/>
    <w:rsid w:val="625714F8"/>
    <w:rsid w:val="62AF2B34"/>
    <w:rsid w:val="62D7081D"/>
    <w:rsid w:val="63687194"/>
    <w:rsid w:val="638E50BC"/>
    <w:rsid w:val="64D27A6F"/>
    <w:rsid w:val="65765688"/>
    <w:rsid w:val="65A40D91"/>
    <w:rsid w:val="66F55A6B"/>
    <w:rsid w:val="67327F2E"/>
    <w:rsid w:val="674609A7"/>
    <w:rsid w:val="67465B30"/>
    <w:rsid w:val="68082611"/>
    <w:rsid w:val="688C533B"/>
    <w:rsid w:val="692F0DD2"/>
    <w:rsid w:val="692F6DB1"/>
    <w:rsid w:val="696B16A5"/>
    <w:rsid w:val="69772905"/>
    <w:rsid w:val="6A360EF4"/>
    <w:rsid w:val="6A736A2C"/>
    <w:rsid w:val="6AC4173D"/>
    <w:rsid w:val="6B3F6E7C"/>
    <w:rsid w:val="6B4F76A1"/>
    <w:rsid w:val="6BB6746F"/>
    <w:rsid w:val="6BFD03AE"/>
    <w:rsid w:val="6BFF6077"/>
    <w:rsid w:val="6C2308EC"/>
    <w:rsid w:val="6C867767"/>
    <w:rsid w:val="6CA34648"/>
    <w:rsid w:val="6D031FFE"/>
    <w:rsid w:val="6D870368"/>
    <w:rsid w:val="6DEF74D5"/>
    <w:rsid w:val="6E9856D0"/>
    <w:rsid w:val="6EB840FC"/>
    <w:rsid w:val="6EE920DC"/>
    <w:rsid w:val="6F377C99"/>
    <w:rsid w:val="6F7E7DE2"/>
    <w:rsid w:val="6FAA433E"/>
    <w:rsid w:val="704F1D50"/>
    <w:rsid w:val="7062369D"/>
    <w:rsid w:val="70D8666D"/>
    <w:rsid w:val="70F82977"/>
    <w:rsid w:val="711203ED"/>
    <w:rsid w:val="712A76BE"/>
    <w:rsid w:val="716D6D00"/>
    <w:rsid w:val="719901C6"/>
    <w:rsid w:val="71B131C3"/>
    <w:rsid w:val="71CC5821"/>
    <w:rsid w:val="71F26BCA"/>
    <w:rsid w:val="720542F1"/>
    <w:rsid w:val="72380013"/>
    <w:rsid w:val="72540D30"/>
    <w:rsid w:val="73426C39"/>
    <w:rsid w:val="73594771"/>
    <w:rsid w:val="740F0E4D"/>
    <w:rsid w:val="7469799F"/>
    <w:rsid w:val="74A66F51"/>
    <w:rsid w:val="74E24705"/>
    <w:rsid w:val="750506F3"/>
    <w:rsid w:val="758944AE"/>
    <w:rsid w:val="758C4507"/>
    <w:rsid w:val="75AA1A6C"/>
    <w:rsid w:val="76C0735A"/>
    <w:rsid w:val="76DE39EB"/>
    <w:rsid w:val="774B42DA"/>
    <w:rsid w:val="77CC2AC5"/>
    <w:rsid w:val="78AC0F28"/>
    <w:rsid w:val="78AD7E4B"/>
    <w:rsid w:val="7922758B"/>
    <w:rsid w:val="79766799"/>
    <w:rsid w:val="79B255D2"/>
    <w:rsid w:val="79B45BBB"/>
    <w:rsid w:val="79D0307E"/>
    <w:rsid w:val="79DE121D"/>
    <w:rsid w:val="79E249A2"/>
    <w:rsid w:val="7A5C7B4D"/>
    <w:rsid w:val="7B1F1C18"/>
    <w:rsid w:val="7B387938"/>
    <w:rsid w:val="7C341C52"/>
    <w:rsid w:val="7D033238"/>
    <w:rsid w:val="7D2F6ABF"/>
    <w:rsid w:val="7D50024E"/>
    <w:rsid w:val="7D637EF4"/>
    <w:rsid w:val="7E341B98"/>
    <w:rsid w:val="7E51328E"/>
    <w:rsid w:val="7F14576E"/>
    <w:rsid w:val="7FB735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semiHidden="0"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31"/>
    <w:qFormat/>
    <w:uiPriority w:val="99"/>
    <w:pPr>
      <w:keepNext/>
      <w:keepLines/>
      <w:adjustRightInd/>
      <w:snapToGrid/>
      <w:spacing w:before="200" w:line="360" w:lineRule="auto"/>
      <w:jc w:val="center"/>
      <w:textAlignment w:val="baseline"/>
      <w:outlineLvl w:val="0"/>
    </w:pPr>
    <w:rPr>
      <w:rFonts w:ascii="Times New Roman" w:hAnsi="Times New Roman" w:eastAsia="黑体" w:cs="Times New Roman"/>
      <w:b/>
      <w:bCs/>
      <w:color w:val="000000"/>
      <w:kern w:val="44"/>
      <w:sz w:val="36"/>
      <w:szCs w:val="44"/>
      <w:u w:color="000000"/>
    </w:rPr>
  </w:style>
  <w:style w:type="paragraph" w:styleId="3">
    <w:name w:val="heading 2"/>
    <w:basedOn w:val="1"/>
    <w:next w:val="1"/>
    <w:link w:val="32"/>
    <w:qFormat/>
    <w:uiPriority w:val="99"/>
    <w:pPr>
      <w:keepNext/>
      <w:keepLines/>
      <w:widowControl w:val="0"/>
      <w:adjustRightInd/>
      <w:snapToGrid/>
      <w:spacing w:before="260" w:after="260" w:line="416" w:lineRule="auto"/>
      <w:jc w:val="both"/>
      <w:outlineLvl w:val="1"/>
    </w:pPr>
    <w:rPr>
      <w:rFonts w:ascii="Arial" w:hAnsi="Arial" w:eastAsia="黑体" w:cs="Times New Roman"/>
      <w:b/>
      <w:bCs/>
      <w:kern w:val="2"/>
      <w:sz w:val="32"/>
      <w:szCs w:val="32"/>
    </w:rPr>
  </w:style>
  <w:style w:type="paragraph" w:styleId="4">
    <w:name w:val="heading 3"/>
    <w:basedOn w:val="1"/>
    <w:next w:val="1"/>
    <w:link w:val="33"/>
    <w:qFormat/>
    <w:uiPriority w:val="99"/>
    <w:pPr>
      <w:keepNext/>
      <w:keepLines/>
      <w:adjustRightInd/>
      <w:snapToGrid/>
      <w:spacing w:before="260" w:after="260" w:line="360" w:lineRule="auto"/>
      <w:textAlignment w:val="baseline"/>
      <w:outlineLvl w:val="2"/>
    </w:pPr>
    <w:rPr>
      <w:rFonts w:ascii="Times New Roman" w:hAnsi="Times New Roman" w:eastAsia="仿宋_GB2312" w:cs="Times New Roman"/>
      <w:b/>
      <w:bCs/>
      <w:sz w:val="30"/>
      <w:szCs w:val="32"/>
      <w:u w:color="000000"/>
    </w:rPr>
  </w:style>
  <w:style w:type="paragraph" w:styleId="5">
    <w:name w:val="heading 4"/>
    <w:basedOn w:val="1"/>
    <w:next w:val="1"/>
    <w:link w:val="34"/>
    <w:unhideWhenUsed/>
    <w:qFormat/>
    <w:uiPriority w:val="0"/>
    <w:pPr>
      <w:keepNext/>
      <w:keepLines/>
      <w:widowControl w:val="0"/>
      <w:adjustRightInd/>
      <w:snapToGrid/>
      <w:spacing w:before="280" w:after="290" w:line="376" w:lineRule="auto"/>
      <w:jc w:val="both"/>
      <w:outlineLvl w:val="3"/>
    </w:pPr>
    <w:rPr>
      <w:rFonts w:asciiTheme="majorHAnsi" w:hAnsiTheme="majorHAnsi" w:eastAsiaTheme="majorEastAsia" w:cstheme="majorBidi"/>
      <w:b/>
      <w:bCs/>
      <w:kern w:val="2"/>
      <w:sz w:val="28"/>
      <w:szCs w:val="28"/>
    </w:rPr>
  </w:style>
  <w:style w:type="paragraph" w:styleId="6">
    <w:name w:val="heading 5"/>
    <w:basedOn w:val="1"/>
    <w:next w:val="1"/>
    <w:link w:val="35"/>
    <w:unhideWhenUsed/>
    <w:qFormat/>
    <w:uiPriority w:val="0"/>
    <w:pPr>
      <w:keepNext/>
      <w:keepLines/>
      <w:widowControl w:val="0"/>
      <w:adjustRightInd/>
      <w:snapToGrid/>
      <w:spacing w:before="280" w:after="290" w:line="376" w:lineRule="auto"/>
      <w:jc w:val="both"/>
      <w:outlineLvl w:val="4"/>
    </w:pPr>
    <w:rPr>
      <w:rFonts w:ascii="Times New Roman" w:hAnsi="Times New Roman" w:eastAsia="宋体" w:cs="Times New Roman"/>
      <w:b/>
      <w:bCs/>
      <w:kern w:val="2"/>
      <w:sz w:val="28"/>
      <w:szCs w:val="28"/>
    </w:rPr>
  </w:style>
  <w:style w:type="paragraph" w:styleId="7">
    <w:name w:val="heading 6"/>
    <w:basedOn w:val="1"/>
    <w:next w:val="1"/>
    <w:link w:val="36"/>
    <w:unhideWhenUsed/>
    <w:qFormat/>
    <w:uiPriority w:val="0"/>
    <w:pPr>
      <w:keepNext/>
      <w:keepLines/>
      <w:widowControl w:val="0"/>
      <w:adjustRightInd/>
      <w:snapToGrid/>
      <w:spacing w:before="240" w:after="64" w:line="320" w:lineRule="auto"/>
      <w:jc w:val="both"/>
      <w:outlineLvl w:val="5"/>
    </w:pPr>
    <w:rPr>
      <w:rFonts w:asciiTheme="majorHAnsi" w:hAnsiTheme="majorHAnsi" w:eastAsiaTheme="majorEastAsia" w:cstheme="majorBidi"/>
      <w:b/>
      <w:bCs/>
      <w:kern w:val="2"/>
      <w:sz w:val="24"/>
      <w:szCs w:val="24"/>
    </w:rPr>
  </w:style>
  <w:style w:type="character" w:default="1" w:styleId="24">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8">
    <w:name w:val="Document Map"/>
    <w:basedOn w:val="1"/>
    <w:link w:val="43"/>
    <w:semiHidden/>
    <w:qFormat/>
    <w:uiPriority w:val="99"/>
    <w:pPr>
      <w:widowControl w:val="0"/>
      <w:shd w:val="clear" w:color="auto" w:fill="000080"/>
      <w:adjustRightInd/>
      <w:snapToGrid/>
      <w:spacing w:after="0"/>
      <w:jc w:val="both"/>
    </w:pPr>
    <w:rPr>
      <w:rFonts w:ascii="Times New Roman" w:hAnsi="Times New Roman" w:eastAsia="宋体" w:cs="Times New Roman"/>
      <w:kern w:val="2"/>
      <w:sz w:val="21"/>
      <w:szCs w:val="24"/>
    </w:rPr>
  </w:style>
  <w:style w:type="paragraph" w:styleId="9">
    <w:name w:val="annotation text"/>
    <w:basedOn w:val="1"/>
    <w:link w:val="41"/>
    <w:unhideWhenUsed/>
    <w:qFormat/>
    <w:uiPriority w:val="99"/>
  </w:style>
  <w:style w:type="paragraph" w:styleId="10">
    <w:name w:val="Body Text"/>
    <w:basedOn w:val="1"/>
    <w:link w:val="44"/>
    <w:qFormat/>
    <w:uiPriority w:val="99"/>
    <w:pPr>
      <w:widowControl w:val="0"/>
      <w:adjustRightInd/>
      <w:snapToGrid/>
      <w:spacing w:after="120"/>
      <w:jc w:val="both"/>
    </w:pPr>
    <w:rPr>
      <w:rFonts w:ascii="Times New Roman" w:hAnsi="Times New Roman" w:eastAsia="宋体" w:cs="Times New Roman"/>
      <w:kern w:val="2"/>
      <w:sz w:val="21"/>
      <w:szCs w:val="24"/>
    </w:rPr>
  </w:style>
  <w:style w:type="paragraph" w:styleId="11">
    <w:name w:val="toc 3"/>
    <w:basedOn w:val="1"/>
    <w:next w:val="1"/>
    <w:qFormat/>
    <w:uiPriority w:val="39"/>
    <w:pPr>
      <w:widowControl w:val="0"/>
      <w:adjustRightInd/>
      <w:snapToGrid/>
      <w:spacing w:after="0"/>
      <w:ind w:left="840" w:leftChars="400"/>
      <w:jc w:val="both"/>
    </w:pPr>
    <w:rPr>
      <w:rFonts w:ascii="Times New Roman" w:hAnsi="Times New Roman" w:eastAsia="宋体" w:cs="Times New Roman"/>
      <w:kern w:val="2"/>
      <w:sz w:val="28"/>
      <w:szCs w:val="24"/>
    </w:rPr>
  </w:style>
  <w:style w:type="paragraph" w:styleId="12">
    <w:name w:val="Plain Text"/>
    <w:basedOn w:val="1"/>
    <w:link w:val="45"/>
    <w:qFormat/>
    <w:uiPriority w:val="99"/>
    <w:pPr>
      <w:adjustRightInd/>
      <w:snapToGrid/>
      <w:spacing w:after="0" w:line="351" w:lineRule="atLeast"/>
      <w:ind w:firstLine="419"/>
      <w:jc w:val="both"/>
      <w:textAlignment w:val="baseline"/>
    </w:pPr>
    <w:rPr>
      <w:rFonts w:ascii="宋体" w:hAnsi="Times New Roman" w:eastAsia="宋体" w:cs="Times New Roman"/>
      <w:color w:val="000000"/>
      <w:sz w:val="21"/>
      <w:szCs w:val="20"/>
      <w:u w:color="000000"/>
    </w:rPr>
  </w:style>
  <w:style w:type="paragraph" w:styleId="13">
    <w:name w:val="Balloon Text"/>
    <w:basedOn w:val="1"/>
    <w:link w:val="46"/>
    <w:qFormat/>
    <w:uiPriority w:val="99"/>
    <w:pPr>
      <w:widowControl w:val="0"/>
      <w:adjustRightInd/>
      <w:snapToGrid/>
      <w:spacing w:after="0"/>
      <w:jc w:val="both"/>
    </w:pPr>
    <w:rPr>
      <w:rFonts w:ascii="Times New Roman" w:hAnsi="Times New Roman" w:eastAsia="宋体" w:cs="Times New Roman"/>
      <w:kern w:val="2"/>
      <w:sz w:val="18"/>
      <w:szCs w:val="18"/>
    </w:rPr>
  </w:style>
  <w:style w:type="paragraph" w:styleId="14">
    <w:name w:val="footer"/>
    <w:basedOn w:val="1"/>
    <w:link w:val="38"/>
    <w:unhideWhenUsed/>
    <w:qFormat/>
    <w:uiPriority w:val="99"/>
    <w:pPr>
      <w:tabs>
        <w:tab w:val="center" w:pos="4153"/>
        <w:tab w:val="right" w:pos="8306"/>
      </w:tabs>
    </w:pPr>
    <w:rPr>
      <w:sz w:val="18"/>
      <w:szCs w:val="18"/>
    </w:rPr>
  </w:style>
  <w:style w:type="paragraph" w:styleId="15">
    <w:name w:val="header"/>
    <w:basedOn w:val="1"/>
    <w:link w:val="37"/>
    <w:unhideWhenUsed/>
    <w:qFormat/>
    <w:uiPriority w:val="99"/>
    <w:pPr>
      <w:pBdr>
        <w:bottom w:val="single" w:color="auto" w:sz="6" w:space="1"/>
      </w:pBdr>
      <w:tabs>
        <w:tab w:val="center" w:pos="4153"/>
        <w:tab w:val="right" w:pos="8306"/>
      </w:tabs>
      <w:jc w:val="center"/>
    </w:pPr>
    <w:rPr>
      <w:sz w:val="18"/>
      <w:szCs w:val="18"/>
    </w:rPr>
  </w:style>
  <w:style w:type="paragraph" w:styleId="16">
    <w:name w:val="toc 1"/>
    <w:basedOn w:val="1"/>
    <w:next w:val="1"/>
    <w:qFormat/>
    <w:uiPriority w:val="39"/>
    <w:pPr>
      <w:widowControl w:val="0"/>
      <w:tabs>
        <w:tab w:val="right" w:leader="dot" w:pos="8777"/>
      </w:tabs>
      <w:adjustRightInd/>
      <w:snapToGrid/>
      <w:spacing w:after="0" w:line="360" w:lineRule="auto"/>
      <w:jc w:val="both"/>
    </w:pPr>
    <w:rPr>
      <w:rFonts w:ascii="Times New Roman" w:hAnsi="Times New Roman" w:eastAsia="黑体" w:cs="Times New Roman"/>
      <w:kern w:val="2"/>
      <w:sz w:val="32"/>
      <w:szCs w:val="32"/>
    </w:rPr>
  </w:style>
  <w:style w:type="paragraph" w:styleId="17">
    <w:name w:val="footnote text"/>
    <w:basedOn w:val="1"/>
    <w:link w:val="47"/>
    <w:qFormat/>
    <w:uiPriority w:val="99"/>
    <w:pPr>
      <w:widowControl w:val="0"/>
      <w:adjustRightInd/>
      <w:spacing w:after="0"/>
    </w:pPr>
    <w:rPr>
      <w:rFonts w:ascii="Times New Roman" w:hAnsi="Times New Roman" w:eastAsia="宋体" w:cs="Times New Roman"/>
      <w:kern w:val="2"/>
      <w:sz w:val="18"/>
      <w:szCs w:val="18"/>
    </w:rPr>
  </w:style>
  <w:style w:type="paragraph" w:styleId="18">
    <w:name w:val="toc 2"/>
    <w:basedOn w:val="1"/>
    <w:next w:val="1"/>
    <w:qFormat/>
    <w:uiPriority w:val="39"/>
    <w:pPr>
      <w:widowControl w:val="0"/>
      <w:adjustRightInd/>
      <w:snapToGrid/>
      <w:spacing w:after="0"/>
      <w:ind w:left="420" w:leftChars="200"/>
      <w:jc w:val="both"/>
    </w:pPr>
    <w:rPr>
      <w:rFonts w:ascii="Times New Roman" w:hAnsi="Times New Roman" w:eastAsia="宋体" w:cs="Times New Roman"/>
      <w:kern w:val="2"/>
      <w:sz w:val="30"/>
      <w:szCs w:val="24"/>
    </w:rPr>
  </w:style>
  <w:style w:type="paragraph" w:styleId="19">
    <w:name w:val="HTML Preformatted"/>
    <w:basedOn w:val="1"/>
    <w:link w:val="48"/>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hAnsi="宋体" w:eastAsia="宋体" w:cs="宋体"/>
      <w:sz w:val="24"/>
      <w:szCs w:val="24"/>
    </w:rPr>
  </w:style>
  <w:style w:type="paragraph" w:styleId="20">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paragraph" w:styleId="21">
    <w:name w:val="Title"/>
    <w:basedOn w:val="1"/>
    <w:next w:val="1"/>
    <w:link w:val="70"/>
    <w:qFormat/>
    <w:uiPriority w:val="0"/>
    <w:pPr>
      <w:widowControl w:val="0"/>
      <w:adjustRightInd/>
      <w:snapToGrid/>
      <w:spacing w:before="240" w:after="60"/>
      <w:jc w:val="center"/>
      <w:outlineLvl w:val="0"/>
    </w:pPr>
    <w:rPr>
      <w:rFonts w:eastAsia="宋体" w:asciiTheme="majorHAnsi" w:hAnsiTheme="majorHAnsi" w:cstheme="majorBidi"/>
      <w:b/>
      <w:bCs/>
      <w:kern w:val="2"/>
      <w:sz w:val="32"/>
      <w:szCs w:val="32"/>
    </w:rPr>
  </w:style>
  <w:style w:type="paragraph" w:styleId="22">
    <w:name w:val="annotation subject"/>
    <w:basedOn w:val="9"/>
    <w:next w:val="9"/>
    <w:link w:val="42"/>
    <w:qFormat/>
    <w:uiPriority w:val="99"/>
    <w:pPr>
      <w:widowControl w:val="0"/>
      <w:adjustRightInd/>
      <w:snapToGrid/>
      <w:spacing w:after="0"/>
    </w:pPr>
    <w:rPr>
      <w:rFonts w:ascii="Times New Roman" w:hAnsi="Times New Roman" w:eastAsia="宋体" w:cs="Times New Roman"/>
      <w:b/>
      <w:bCs/>
      <w:kern w:val="2"/>
      <w:sz w:val="21"/>
      <w:szCs w:val="24"/>
    </w:rPr>
  </w:style>
  <w:style w:type="character" w:styleId="25">
    <w:name w:val="page number"/>
    <w:basedOn w:val="24"/>
    <w:qFormat/>
    <w:uiPriority w:val="99"/>
  </w:style>
  <w:style w:type="character" w:styleId="26">
    <w:name w:val="FollowedHyperlink"/>
    <w:basedOn w:val="24"/>
    <w:unhideWhenUsed/>
    <w:qFormat/>
    <w:uiPriority w:val="99"/>
    <w:rPr>
      <w:color w:val="800080"/>
      <w:u w:val="single"/>
    </w:rPr>
  </w:style>
  <w:style w:type="character" w:styleId="27">
    <w:name w:val="Emphasis"/>
    <w:qFormat/>
    <w:uiPriority w:val="99"/>
    <w:rPr>
      <w:color w:val="CC0000"/>
    </w:rPr>
  </w:style>
  <w:style w:type="character" w:styleId="28">
    <w:name w:val="Hyperlink"/>
    <w:qFormat/>
    <w:uiPriority w:val="99"/>
    <w:rPr>
      <w:color w:val="0000FF"/>
      <w:u w:val="single"/>
    </w:rPr>
  </w:style>
  <w:style w:type="character" w:styleId="29">
    <w:name w:val="annotation reference"/>
    <w:basedOn w:val="24"/>
    <w:qFormat/>
    <w:uiPriority w:val="99"/>
    <w:rPr>
      <w:sz w:val="21"/>
      <w:szCs w:val="21"/>
    </w:rPr>
  </w:style>
  <w:style w:type="character" w:styleId="30">
    <w:name w:val="footnote reference"/>
    <w:basedOn w:val="24"/>
    <w:qFormat/>
    <w:uiPriority w:val="99"/>
    <w:rPr>
      <w:vertAlign w:val="superscript"/>
    </w:rPr>
  </w:style>
  <w:style w:type="character" w:customStyle="1" w:styleId="31">
    <w:name w:val="标题 1 Char"/>
    <w:basedOn w:val="24"/>
    <w:link w:val="2"/>
    <w:qFormat/>
    <w:uiPriority w:val="99"/>
    <w:rPr>
      <w:rFonts w:ascii="Times New Roman" w:hAnsi="Times New Roman" w:eastAsia="黑体" w:cs="Times New Roman"/>
      <w:b/>
      <w:bCs/>
      <w:color w:val="000000"/>
      <w:kern w:val="44"/>
      <w:sz w:val="36"/>
      <w:szCs w:val="44"/>
      <w:u w:color="000000"/>
    </w:rPr>
  </w:style>
  <w:style w:type="character" w:customStyle="1" w:styleId="32">
    <w:name w:val="标题 2 Char"/>
    <w:basedOn w:val="24"/>
    <w:link w:val="3"/>
    <w:qFormat/>
    <w:uiPriority w:val="99"/>
    <w:rPr>
      <w:rFonts w:ascii="Arial" w:hAnsi="Arial" w:eastAsia="黑体" w:cs="Times New Roman"/>
      <w:b/>
      <w:bCs/>
      <w:kern w:val="2"/>
      <w:sz w:val="32"/>
      <w:szCs w:val="32"/>
    </w:rPr>
  </w:style>
  <w:style w:type="character" w:customStyle="1" w:styleId="33">
    <w:name w:val="标题 3 Char"/>
    <w:basedOn w:val="24"/>
    <w:link w:val="4"/>
    <w:qFormat/>
    <w:uiPriority w:val="99"/>
    <w:rPr>
      <w:rFonts w:ascii="Times New Roman" w:hAnsi="Times New Roman" w:eastAsia="仿宋_GB2312" w:cs="Times New Roman"/>
      <w:b/>
      <w:bCs/>
      <w:sz w:val="30"/>
      <w:szCs w:val="32"/>
      <w:u w:color="000000"/>
    </w:rPr>
  </w:style>
  <w:style w:type="character" w:customStyle="1" w:styleId="34">
    <w:name w:val="标题 4 Char"/>
    <w:basedOn w:val="24"/>
    <w:link w:val="5"/>
    <w:qFormat/>
    <w:uiPriority w:val="0"/>
    <w:rPr>
      <w:rFonts w:asciiTheme="majorHAnsi" w:hAnsiTheme="majorHAnsi" w:eastAsiaTheme="majorEastAsia" w:cstheme="majorBidi"/>
      <w:b/>
      <w:bCs/>
      <w:kern w:val="2"/>
      <w:sz w:val="28"/>
      <w:szCs w:val="28"/>
    </w:rPr>
  </w:style>
  <w:style w:type="character" w:customStyle="1" w:styleId="35">
    <w:name w:val="标题 5 Char"/>
    <w:basedOn w:val="24"/>
    <w:link w:val="6"/>
    <w:qFormat/>
    <w:uiPriority w:val="0"/>
    <w:rPr>
      <w:rFonts w:ascii="Times New Roman" w:hAnsi="Times New Roman" w:eastAsia="宋体" w:cs="Times New Roman"/>
      <w:b/>
      <w:bCs/>
      <w:kern w:val="2"/>
      <w:sz w:val="28"/>
      <w:szCs w:val="28"/>
    </w:rPr>
  </w:style>
  <w:style w:type="character" w:customStyle="1" w:styleId="36">
    <w:name w:val="标题 6 Char"/>
    <w:basedOn w:val="24"/>
    <w:link w:val="7"/>
    <w:qFormat/>
    <w:uiPriority w:val="0"/>
    <w:rPr>
      <w:rFonts w:asciiTheme="majorHAnsi" w:hAnsiTheme="majorHAnsi" w:eastAsiaTheme="majorEastAsia" w:cstheme="majorBidi"/>
      <w:b/>
      <w:bCs/>
      <w:kern w:val="2"/>
      <w:sz w:val="24"/>
      <w:szCs w:val="24"/>
    </w:rPr>
  </w:style>
  <w:style w:type="character" w:customStyle="1" w:styleId="37">
    <w:name w:val="页眉 Char"/>
    <w:basedOn w:val="24"/>
    <w:link w:val="15"/>
    <w:qFormat/>
    <w:uiPriority w:val="99"/>
    <w:rPr>
      <w:rFonts w:ascii="Tahoma" w:hAnsi="Tahoma"/>
      <w:sz w:val="18"/>
      <w:szCs w:val="18"/>
    </w:rPr>
  </w:style>
  <w:style w:type="character" w:customStyle="1" w:styleId="38">
    <w:name w:val="页脚 Char"/>
    <w:basedOn w:val="24"/>
    <w:link w:val="14"/>
    <w:qFormat/>
    <w:uiPriority w:val="99"/>
    <w:rPr>
      <w:rFonts w:ascii="Tahoma" w:hAnsi="Tahoma"/>
      <w:sz w:val="18"/>
      <w:szCs w:val="18"/>
    </w:rPr>
  </w:style>
  <w:style w:type="paragraph" w:customStyle="1" w:styleId="39">
    <w:name w:val="标题1"/>
    <w:basedOn w:val="1"/>
    <w:qFormat/>
    <w:uiPriority w:val="0"/>
    <w:pPr>
      <w:widowControl w:val="0"/>
      <w:adjustRightInd/>
      <w:snapToGrid/>
      <w:spacing w:after="0"/>
      <w:ind w:firstLine="640" w:firstLineChars="200"/>
      <w:jc w:val="center"/>
    </w:pPr>
    <w:rPr>
      <w:rFonts w:ascii="Times New Roman" w:hAnsi="Times New Roman" w:eastAsia="黑体" w:cs="Times New Roman"/>
      <w:kern w:val="2"/>
      <w:sz w:val="32"/>
      <w:szCs w:val="21"/>
    </w:rPr>
  </w:style>
  <w:style w:type="paragraph" w:styleId="40">
    <w:name w:val="List Paragraph"/>
    <w:basedOn w:val="1"/>
    <w:qFormat/>
    <w:uiPriority w:val="99"/>
    <w:pPr>
      <w:ind w:firstLine="420" w:firstLineChars="200"/>
    </w:pPr>
  </w:style>
  <w:style w:type="character" w:customStyle="1" w:styleId="41">
    <w:name w:val="批注文字 Char"/>
    <w:basedOn w:val="24"/>
    <w:link w:val="9"/>
    <w:qFormat/>
    <w:uiPriority w:val="99"/>
    <w:rPr>
      <w:rFonts w:ascii="Tahoma" w:hAnsi="Tahoma"/>
    </w:rPr>
  </w:style>
  <w:style w:type="character" w:customStyle="1" w:styleId="42">
    <w:name w:val="批注主题 Char"/>
    <w:basedOn w:val="41"/>
    <w:link w:val="22"/>
    <w:qFormat/>
    <w:uiPriority w:val="99"/>
    <w:rPr>
      <w:rFonts w:ascii="Times New Roman" w:hAnsi="Times New Roman" w:eastAsia="宋体" w:cs="Times New Roman"/>
      <w:b/>
      <w:bCs/>
      <w:kern w:val="2"/>
      <w:sz w:val="21"/>
      <w:szCs w:val="24"/>
    </w:rPr>
  </w:style>
  <w:style w:type="character" w:customStyle="1" w:styleId="43">
    <w:name w:val="文档结构图 Char"/>
    <w:basedOn w:val="24"/>
    <w:link w:val="8"/>
    <w:semiHidden/>
    <w:qFormat/>
    <w:uiPriority w:val="99"/>
    <w:rPr>
      <w:rFonts w:ascii="Times New Roman" w:hAnsi="Times New Roman" w:eastAsia="宋体" w:cs="Times New Roman"/>
      <w:kern w:val="2"/>
      <w:sz w:val="21"/>
      <w:szCs w:val="24"/>
      <w:shd w:val="clear" w:color="auto" w:fill="000080"/>
    </w:rPr>
  </w:style>
  <w:style w:type="character" w:customStyle="1" w:styleId="44">
    <w:name w:val="正文文本 Char"/>
    <w:basedOn w:val="24"/>
    <w:link w:val="10"/>
    <w:qFormat/>
    <w:uiPriority w:val="99"/>
    <w:rPr>
      <w:rFonts w:ascii="Times New Roman" w:hAnsi="Times New Roman" w:eastAsia="宋体" w:cs="Times New Roman"/>
      <w:kern w:val="2"/>
      <w:sz w:val="21"/>
      <w:szCs w:val="24"/>
    </w:rPr>
  </w:style>
  <w:style w:type="character" w:customStyle="1" w:styleId="45">
    <w:name w:val="纯文本 Char"/>
    <w:basedOn w:val="24"/>
    <w:link w:val="12"/>
    <w:qFormat/>
    <w:uiPriority w:val="99"/>
    <w:rPr>
      <w:rFonts w:ascii="宋体" w:hAnsi="Times New Roman" w:eastAsia="宋体" w:cs="Times New Roman"/>
      <w:color w:val="000000"/>
      <w:sz w:val="21"/>
      <w:szCs w:val="20"/>
      <w:u w:color="000000"/>
    </w:rPr>
  </w:style>
  <w:style w:type="character" w:customStyle="1" w:styleId="46">
    <w:name w:val="批注框文本 Char"/>
    <w:basedOn w:val="24"/>
    <w:link w:val="13"/>
    <w:qFormat/>
    <w:uiPriority w:val="99"/>
    <w:rPr>
      <w:rFonts w:ascii="Times New Roman" w:hAnsi="Times New Roman" w:eastAsia="宋体" w:cs="Times New Roman"/>
      <w:kern w:val="2"/>
      <w:sz w:val="18"/>
      <w:szCs w:val="18"/>
    </w:rPr>
  </w:style>
  <w:style w:type="character" w:customStyle="1" w:styleId="47">
    <w:name w:val="脚注文本 Char"/>
    <w:basedOn w:val="24"/>
    <w:link w:val="17"/>
    <w:qFormat/>
    <w:uiPriority w:val="99"/>
    <w:rPr>
      <w:rFonts w:ascii="Times New Roman" w:hAnsi="Times New Roman" w:eastAsia="宋体" w:cs="Times New Roman"/>
      <w:kern w:val="2"/>
      <w:sz w:val="18"/>
      <w:szCs w:val="18"/>
    </w:rPr>
  </w:style>
  <w:style w:type="character" w:customStyle="1" w:styleId="48">
    <w:name w:val="HTML 预设格式 Char"/>
    <w:basedOn w:val="24"/>
    <w:link w:val="19"/>
    <w:qFormat/>
    <w:uiPriority w:val="0"/>
    <w:rPr>
      <w:rFonts w:ascii="宋体" w:hAnsi="宋体" w:eastAsia="宋体" w:cs="宋体"/>
      <w:sz w:val="24"/>
      <w:szCs w:val="24"/>
    </w:rPr>
  </w:style>
  <w:style w:type="paragraph" w:customStyle="1" w:styleId="49">
    <w:name w:val="xl69"/>
    <w:basedOn w:val="1"/>
    <w:qFormat/>
    <w:uiPriority w:val="99"/>
    <w:pPr>
      <w:pBdr>
        <w:top w:val="single" w:color="auto" w:sz="8" w:space="0"/>
        <w:left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0">
    <w:name w:val="xl74"/>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1">
    <w:name w:val="xl70"/>
    <w:basedOn w:val="1"/>
    <w:qFormat/>
    <w:uiPriority w:val="99"/>
    <w:pPr>
      <w:pBdr>
        <w:left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2">
    <w:name w:val="font7"/>
    <w:basedOn w:val="1"/>
    <w:qFormat/>
    <w:uiPriority w:val="99"/>
    <w:pPr>
      <w:adjustRightInd/>
      <w:snapToGrid/>
      <w:spacing w:before="100" w:beforeAutospacing="1" w:after="100" w:afterAutospacing="1"/>
    </w:pPr>
    <w:rPr>
      <w:rFonts w:ascii="宋体" w:hAnsi="宋体" w:eastAsia="宋体" w:cs="宋体"/>
      <w:color w:val="000000"/>
      <w:sz w:val="24"/>
      <w:szCs w:val="24"/>
    </w:rPr>
  </w:style>
  <w:style w:type="paragraph" w:customStyle="1" w:styleId="53">
    <w:name w:val="xl72"/>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54">
    <w:name w:val="xl67"/>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5">
    <w:name w:val="font5"/>
    <w:basedOn w:val="1"/>
    <w:qFormat/>
    <w:uiPriority w:val="99"/>
    <w:pPr>
      <w:adjustRightInd/>
      <w:snapToGrid/>
      <w:spacing w:before="100" w:beforeAutospacing="1" w:after="100" w:afterAutospacing="1"/>
    </w:pPr>
    <w:rPr>
      <w:rFonts w:ascii="宋体" w:hAnsi="宋体" w:eastAsia="宋体" w:cs="宋体"/>
      <w:b/>
      <w:bCs/>
      <w:color w:val="000000"/>
      <w:sz w:val="24"/>
      <w:szCs w:val="24"/>
    </w:rPr>
  </w:style>
  <w:style w:type="paragraph" w:customStyle="1" w:styleId="56">
    <w:name w:val="xl65"/>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57">
    <w:name w:val="font6"/>
    <w:basedOn w:val="1"/>
    <w:qFormat/>
    <w:uiPriority w:val="99"/>
    <w:pPr>
      <w:adjustRightInd/>
      <w:snapToGrid/>
      <w:spacing w:before="100" w:beforeAutospacing="1" w:after="100" w:afterAutospacing="1"/>
    </w:pPr>
    <w:rPr>
      <w:rFonts w:ascii="宋体" w:hAnsi="宋体" w:eastAsia="宋体" w:cs="宋体"/>
      <w:color w:val="000000"/>
    </w:rPr>
  </w:style>
  <w:style w:type="paragraph" w:customStyle="1" w:styleId="58">
    <w:name w:val="xl75"/>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9">
    <w:name w:val="Char Char Char Char Char Char1 Char"/>
    <w:basedOn w:val="1"/>
    <w:qFormat/>
    <w:uiPriority w:val="99"/>
    <w:pPr>
      <w:adjustRightInd/>
      <w:snapToGrid/>
      <w:spacing w:after="160" w:line="240" w:lineRule="exact"/>
    </w:pPr>
    <w:rPr>
      <w:rFonts w:ascii="Times New Roman" w:hAnsi="Times New Roman" w:eastAsia="宋体" w:cs="Times New Roman"/>
      <w:kern w:val="2"/>
      <w:sz w:val="21"/>
      <w:szCs w:val="24"/>
    </w:rPr>
  </w:style>
  <w:style w:type="paragraph" w:customStyle="1" w:styleId="60">
    <w:name w:val="xl68"/>
    <w:basedOn w:val="1"/>
    <w:qFormat/>
    <w:uiPriority w:val="99"/>
    <w:pPr>
      <w:pBdr>
        <w:bottom w:val="single" w:color="auto" w:sz="8" w:space="0"/>
        <w:right w:val="single" w:color="auto" w:sz="8" w:space="0"/>
      </w:pBdr>
      <w:adjustRightInd/>
      <w:snapToGrid/>
      <w:spacing w:before="100" w:beforeAutospacing="1" w:after="100" w:afterAutospacing="1"/>
      <w:jc w:val="center"/>
      <w:textAlignment w:val="top"/>
    </w:pPr>
    <w:rPr>
      <w:rFonts w:ascii="宋体" w:hAnsi="宋体" w:eastAsia="宋体" w:cs="宋体"/>
    </w:rPr>
  </w:style>
  <w:style w:type="paragraph" w:customStyle="1" w:styleId="61">
    <w:name w:val="xl66"/>
    <w:basedOn w:val="1"/>
    <w:qFormat/>
    <w:uiPriority w:val="99"/>
    <w:pPr>
      <w:pBdr>
        <w:top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2">
    <w:name w:val="xl73"/>
    <w:basedOn w:val="1"/>
    <w:qFormat/>
    <w:uiPriority w:val="99"/>
    <w:pPr>
      <w:pBdr>
        <w:top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3">
    <w:name w:val="xl71"/>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64">
    <w:name w:val="样式 标题 2 + 行距: 固定值 30 磅"/>
    <w:basedOn w:val="3"/>
    <w:qFormat/>
    <w:uiPriority w:val="99"/>
    <w:pPr>
      <w:widowControl/>
      <w:spacing w:line="600" w:lineRule="exact"/>
      <w:jc w:val="left"/>
      <w:textAlignment w:val="baseline"/>
    </w:pPr>
    <w:rPr>
      <w:rFonts w:eastAsia="楷体_GB2312" w:cs="宋体"/>
      <w:color w:val="000000"/>
      <w:kern w:val="0"/>
      <w:szCs w:val="20"/>
      <w:u w:color="000000"/>
    </w:rPr>
  </w:style>
  <w:style w:type="paragraph" w:customStyle="1" w:styleId="65">
    <w:name w:val="列出段落1"/>
    <w:basedOn w:val="1"/>
    <w:qFormat/>
    <w:uiPriority w:val="99"/>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66">
    <w:name w:val="Char Char"/>
    <w:basedOn w:val="1"/>
    <w:qFormat/>
    <w:uiPriority w:val="0"/>
    <w:pPr>
      <w:widowControl w:val="0"/>
      <w:adjustRightInd/>
      <w:snapToGrid/>
      <w:spacing w:after="0"/>
      <w:jc w:val="both"/>
    </w:pPr>
    <w:rPr>
      <w:rFonts w:ascii="Times New Roman" w:hAnsi="Times New Roman" w:eastAsia="宋体" w:cs="Times New Roman"/>
      <w:kern w:val="2"/>
      <w:sz w:val="21"/>
      <w:szCs w:val="24"/>
    </w:rPr>
  </w:style>
  <w:style w:type="paragraph" w:customStyle="1" w:styleId="67">
    <w:name w:val="Char"/>
    <w:basedOn w:val="1"/>
    <w:qFormat/>
    <w:uiPriority w:val="99"/>
    <w:pPr>
      <w:adjustRightInd/>
      <w:snapToGrid/>
      <w:spacing w:after="160" w:line="240" w:lineRule="exact"/>
    </w:pPr>
    <w:rPr>
      <w:rFonts w:ascii="Calibri" w:hAnsi="Calibri" w:eastAsia="宋体" w:cs="Times New Roman"/>
      <w:kern w:val="2"/>
      <w:sz w:val="21"/>
    </w:rPr>
  </w:style>
  <w:style w:type="paragraph" w:customStyle="1" w:styleId="68">
    <w:name w:val="p"/>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69">
    <w:name w:val="默认段落字体 Para Char Char Char Char"/>
    <w:basedOn w:val="1"/>
    <w:qFormat/>
    <w:uiPriority w:val="99"/>
    <w:pPr>
      <w:widowControl w:val="0"/>
      <w:adjustRightInd/>
      <w:snapToGrid/>
      <w:spacing w:after="0"/>
      <w:jc w:val="both"/>
    </w:pPr>
    <w:rPr>
      <w:rFonts w:ascii="Times New Roman" w:hAnsi="Times New Roman" w:eastAsia="宋体" w:cs="Times New Roman"/>
      <w:sz w:val="21"/>
      <w:szCs w:val="20"/>
      <w:lang w:eastAsia="en-US"/>
    </w:rPr>
  </w:style>
  <w:style w:type="character" w:customStyle="1" w:styleId="70">
    <w:name w:val="标题 Char"/>
    <w:basedOn w:val="24"/>
    <w:link w:val="21"/>
    <w:qFormat/>
    <w:uiPriority w:val="0"/>
    <w:rPr>
      <w:rFonts w:eastAsia="宋体" w:asciiTheme="majorHAnsi" w:hAnsiTheme="majorHAnsi" w:cstheme="majorBidi"/>
      <w:b/>
      <w:bCs/>
      <w:kern w:val="2"/>
      <w:sz w:val="32"/>
      <w:szCs w:val="32"/>
    </w:rPr>
  </w:style>
  <w:style w:type="paragraph" w:customStyle="1" w:styleId="71">
    <w:name w:val="TOC 标题1"/>
    <w:basedOn w:val="2"/>
    <w:next w:val="1"/>
    <w:unhideWhenUsed/>
    <w:qFormat/>
    <w:uiPriority w:val="39"/>
    <w:pPr>
      <w:spacing w:before="480" w:after="0" w:line="276" w:lineRule="auto"/>
      <w:jc w:val="left"/>
      <w:textAlignment w:val="auto"/>
      <w:outlineLvl w:val="9"/>
    </w:pPr>
    <w:rPr>
      <w:rFonts w:asciiTheme="majorHAnsi" w:hAnsiTheme="majorHAnsi" w:eastAsiaTheme="majorEastAsia" w:cstheme="majorBidi"/>
      <w:color w:val="376092" w:themeColor="accent1" w:themeShade="BF"/>
      <w:kern w:val="0"/>
      <w:sz w:val="28"/>
      <w:szCs w:val="28"/>
    </w:rPr>
  </w:style>
  <w:style w:type="character" w:customStyle="1" w:styleId="72">
    <w:name w:val="font01"/>
    <w:basedOn w:val="24"/>
    <w:qFormat/>
    <w:uiPriority w:val="0"/>
    <w:rPr>
      <w:rFonts w:hint="eastAsia" w:ascii="宋体" w:hAnsi="宋体" w:eastAsia="宋体" w:cs="宋体"/>
      <w:b/>
      <w:color w:val="000000"/>
      <w:sz w:val="32"/>
      <w:szCs w:val="32"/>
      <w:u w:val="none"/>
    </w:rPr>
  </w:style>
  <w:style w:type="character" w:customStyle="1" w:styleId="73">
    <w:name w:val="font21"/>
    <w:basedOn w:val="24"/>
    <w:qFormat/>
    <w:uiPriority w:val="0"/>
    <w:rPr>
      <w:rFonts w:hint="default" w:ascii="Times New Roman" w:hAnsi="Times New Roman" w:cs="Times New Roman"/>
      <w:b/>
      <w:color w:val="000000"/>
      <w:sz w:val="32"/>
      <w:szCs w:val="32"/>
      <w:u w:val="none"/>
    </w:rPr>
  </w:style>
  <w:style w:type="paragraph" w:customStyle="1" w:styleId="74">
    <w:name w:val="[Normal]"/>
    <w:uiPriority w:val="99"/>
    <w:pPr>
      <w:widowControl w:val="0"/>
      <w:autoSpaceDE w:val="0"/>
      <w:autoSpaceDN w:val="0"/>
      <w:adjustRightInd w:val="0"/>
    </w:pPr>
    <w:rPr>
      <w:rFonts w:ascii="宋体" w:hAnsi="Times New Roman"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H:\&#39292;&#29366;&#22270;&#12289;&#26609;&#29366;&#22270;.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a:t>2019</a:t>
            </a:r>
            <a:r>
              <a:rPr lang="zh-CN" altLang="en-US"/>
              <a:t>年度决算收入结构图</a:t>
            </a:r>
            <a:endParaRPr lang="zh-CN" altLang="en-US"/>
          </a:p>
        </c:rich>
      </c:tx>
      <c:layout/>
      <c:overlay val="0"/>
    </c:title>
    <c:autoTitleDeleted val="0"/>
    <c:plotArea>
      <c:layout/>
      <c:pieChart>
        <c:varyColors val="1"/>
        <c:ser>
          <c:idx val="0"/>
          <c:order val="0"/>
          <c:explosion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Pt>
            <c:idx val="9"/>
            <c:bubble3D val="0"/>
          </c:dPt>
          <c:dPt>
            <c:idx val="10"/>
            <c:bubble3D val="0"/>
          </c:dPt>
          <c:dLbls>
            <c:dLbl>
              <c:idx val="1"/>
              <c:delete val="1"/>
            </c:dLbl>
            <c:dLbl>
              <c:idx val="2"/>
              <c:delete val="1"/>
            </c:dLbl>
            <c:dLbl>
              <c:idx val="3"/>
              <c:delete val="1"/>
            </c:dLbl>
            <c:dLbl>
              <c:idx val="6"/>
              <c:delete val="1"/>
            </c:dLbl>
            <c:dLbl>
              <c:idx val="7"/>
              <c:delete val="1"/>
            </c:dLbl>
            <c:dLbl>
              <c:idx val="8"/>
              <c:delete val="1"/>
            </c:dLbl>
            <c:dLbl>
              <c:idx val="10"/>
              <c:delete val="1"/>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Sheet1!$A$2:$A$12</c:f>
              <c:strCache>
                <c:ptCount val="10"/>
                <c:pt idx="0">
                  <c:v>一般公共服务支出</c:v>
                </c:pt>
                <c:pt idx="4">
                  <c:v>社会保障和就业支出</c:v>
                </c:pt>
                <c:pt idx="5">
                  <c:v>卫生健康支出</c:v>
                </c:pt>
                <c:pt idx="9">
                  <c:v>住房保障支出</c:v>
                </c:pt>
              </c:strCache>
            </c:strRef>
          </c:cat>
          <c:val>
            <c:numRef>
              <c:f>Sheet1!$B$2:$B$12</c:f>
              <c:numCache>
                <c:formatCode>0.00%</c:formatCode>
                <c:ptCount val="11"/>
                <c:pt idx="0">
                  <c:v>0.869</c:v>
                </c:pt>
                <c:pt idx="4">
                  <c:v>0.081</c:v>
                </c:pt>
                <c:pt idx="5">
                  <c:v>0.017</c:v>
                </c:pt>
                <c:pt idx="9">
                  <c:v>0.033</c:v>
                </c:pt>
              </c:numCache>
            </c:numRef>
          </c:val>
        </c:ser>
        <c:dLbls>
          <c:showLegendKey val="0"/>
          <c:showVal val="0"/>
          <c:showCatName val="0"/>
          <c:showSerName val="0"/>
          <c:showPercent val="1"/>
          <c:showBubbleSize val="0"/>
          <c:showLeaderLines val="1"/>
        </c:dLbls>
        <c:firstSliceAng val="0"/>
      </c:pieChart>
    </c:plotArea>
    <c:legend>
      <c:legendPos val="r"/>
      <c:legendEntry>
        <c:idx val="1"/>
        <c:delete val="1"/>
      </c:legendEntry>
      <c:legendEntry>
        <c:idx val="2"/>
        <c:delete val="1"/>
      </c:legendEntry>
      <c:legendEntry>
        <c:idx val="3"/>
        <c:delete val="1"/>
      </c:legendEntry>
      <c:legendEntry>
        <c:idx val="6"/>
        <c:delete val="1"/>
      </c:legendEntry>
      <c:legendEntry>
        <c:idx val="7"/>
        <c:delete val="1"/>
      </c:legendEntry>
      <c:legendEntry>
        <c:idx val="8"/>
        <c:delete val="1"/>
      </c:legendEntry>
      <c:legendEntry>
        <c:idx val="10"/>
        <c:delete val="1"/>
      </c:legendEntry>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a:t>2019</a:t>
            </a:r>
            <a:r>
              <a:rPr lang="zh-CN" altLang="en-US"/>
              <a:t>年度预算收入与决算收入对比图</a:t>
            </a:r>
            <a:endParaRPr lang="zh-CN" altLang="en-US"/>
          </a:p>
        </c:rich>
      </c:tx>
      <c:layout>
        <c:manualLayout>
          <c:xMode val="edge"/>
          <c:yMode val="edge"/>
          <c:x val="0.2027969348659"/>
          <c:y val="0.0241874527588813"/>
        </c:manualLayout>
      </c:layout>
      <c:overlay val="0"/>
    </c:title>
    <c:autoTitleDeleted val="0"/>
    <c:plotArea>
      <c:layout/>
      <c:barChart>
        <c:barDir val="col"/>
        <c:grouping val="clustered"/>
        <c:varyColors val="0"/>
        <c:ser>
          <c:idx val="0"/>
          <c:order val="0"/>
          <c:tx>
            <c:strRef>
              <c:f>Sheet1!$B$42</c:f>
              <c:strCache>
                <c:ptCount val="1"/>
                <c:pt idx="0">
                  <c:v>预算收入(万元)</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Sheet1!$A$43:$A$53</c:f>
              <c:strCache>
                <c:ptCount val="10"/>
                <c:pt idx="0">
                  <c:v>一般公共服务支出</c:v>
                </c:pt>
                <c:pt idx="4">
                  <c:v>社会保障和就业支出</c:v>
                </c:pt>
                <c:pt idx="5">
                  <c:v>卫生健康支出</c:v>
                </c:pt>
                <c:pt idx="9">
                  <c:v>住房保障支出</c:v>
                </c:pt>
              </c:strCache>
            </c:strRef>
          </c:cat>
          <c:val>
            <c:numRef>
              <c:f>Sheet1!$B$43:$B$53</c:f>
              <c:numCache>
                <c:formatCode>General</c:formatCode>
                <c:ptCount val="11"/>
                <c:pt idx="0">
                  <c:v>235.73</c:v>
                </c:pt>
                <c:pt idx="4">
                  <c:v>17.34</c:v>
                </c:pt>
                <c:pt idx="5">
                  <c:v>5.46</c:v>
                </c:pt>
                <c:pt idx="9">
                  <c:v>8.71</c:v>
                </c:pt>
              </c:numCache>
            </c:numRef>
          </c:val>
        </c:ser>
        <c:ser>
          <c:idx val="1"/>
          <c:order val="1"/>
          <c:tx>
            <c:strRef>
              <c:f>Sheet1!$C$42</c:f>
              <c:strCache>
                <c:ptCount val="1"/>
                <c:pt idx="0">
                  <c:v>决算收入（万元）</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Sheet1!$A$43:$A$53</c:f>
              <c:strCache>
                <c:ptCount val="10"/>
                <c:pt idx="0">
                  <c:v>一般公共服务支出</c:v>
                </c:pt>
                <c:pt idx="4">
                  <c:v>社会保障和就业支出</c:v>
                </c:pt>
                <c:pt idx="5">
                  <c:v>卫生健康支出</c:v>
                </c:pt>
                <c:pt idx="9">
                  <c:v>住房保障支出</c:v>
                </c:pt>
              </c:strCache>
            </c:strRef>
          </c:cat>
          <c:val>
            <c:numRef>
              <c:f>Sheet1!$C$43:$C$53</c:f>
              <c:numCache>
                <c:formatCode>General</c:formatCode>
                <c:ptCount val="11"/>
                <c:pt idx="0">
                  <c:v>226.7</c:v>
                </c:pt>
                <c:pt idx="4">
                  <c:v>21.13</c:v>
                </c:pt>
                <c:pt idx="5">
                  <c:v>4.39</c:v>
                </c:pt>
                <c:pt idx="9">
                  <c:v>8.71</c:v>
                </c:pt>
              </c:numCache>
            </c:numRef>
          </c:val>
        </c:ser>
        <c:dLbls>
          <c:showLegendKey val="0"/>
          <c:showVal val="0"/>
          <c:showCatName val="0"/>
          <c:showSerName val="0"/>
          <c:showPercent val="0"/>
          <c:showBubbleSize val="0"/>
        </c:dLbls>
        <c:gapWidth val="150"/>
        <c:axId val="157951488"/>
        <c:axId val="157953024"/>
      </c:barChart>
      <c:catAx>
        <c:axId val="157951488"/>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57953024"/>
        <c:crosses val="autoZero"/>
        <c:auto val="1"/>
        <c:lblAlgn val="ctr"/>
        <c:lblOffset val="100"/>
        <c:noMultiLvlLbl val="0"/>
      </c:catAx>
      <c:valAx>
        <c:axId val="157953024"/>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5795148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a:t>2019</a:t>
            </a:r>
            <a:r>
              <a:rPr lang="zh-CN" altLang="en-US"/>
              <a:t>年度决算支出结构图</a:t>
            </a:r>
            <a:endParaRPr lang="zh-CN" altLang="en-US"/>
          </a:p>
        </c:rich>
      </c:tx>
      <c:layout>
        <c:manualLayout>
          <c:xMode val="edge"/>
          <c:yMode val="edge"/>
          <c:x val="0.238712299951676"/>
          <c:y val="0.0178507675830061"/>
        </c:manualLayout>
      </c:layout>
      <c:overlay val="0"/>
    </c:title>
    <c:autoTitleDeleted val="0"/>
    <c:plotArea>
      <c:layout/>
      <c:pieChart>
        <c:varyColors val="1"/>
        <c:ser>
          <c:idx val="0"/>
          <c:order val="0"/>
          <c:explosion val="0"/>
          <c:dPt>
            <c:idx val="0"/>
            <c:bubble3D val="0"/>
          </c:dPt>
          <c:dPt>
            <c:idx val="1"/>
            <c:bubble3D val="0"/>
          </c:dPt>
          <c:dPt>
            <c:idx val="2"/>
            <c:bubble3D val="0"/>
          </c:dPt>
          <c:dPt>
            <c:idx val="3"/>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Sheet1!$A$2:$A$5</c:f>
              <c:strCache>
                <c:ptCount val="4"/>
                <c:pt idx="0">
                  <c:v>一般公共服务支出</c:v>
                </c:pt>
                <c:pt idx="1">
                  <c:v>社会保障和就业支出</c:v>
                </c:pt>
                <c:pt idx="2">
                  <c:v>卫生健康支出</c:v>
                </c:pt>
                <c:pt idx="3">
                  <c:v>住房保障支出</c:v>
                </c:pt>
              </c:strCache>
            </c:strRef>
          </c:cat>
          <c:val>
            <c:numRef>
              <c:f>Sheet1!$B$2:$B$5</c:f>
              <c:numCache>
                <c:formatCode>0.00%</c:formatCode>
                <c:ptCount val="4"/>
                <c:pt idx="0">
                  <c:v>0.8688</c:v>
                </c:pt>
                <c:pt idx="1">
                  <c:v>0.081</c:v>
                </c:pt>
                <c:pt idx="2">
                  <c:v>0.0168</c:v>
                </c:pt>
                <c:pt idx="3">
                  <c:v>0.0334</c:v>
                </c:pt>
              </c:numCache>
            </c:numRef>
          </c:val>
        </c:ser>
        <c:dLbls>
          <c:showLegendKey val="0"/>
          <c:showVal val="0"/>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a:t>2019</a:t>
            </a:r>
            <a:r>
              <a:rPr lang="zh-CN" altLang="en-US"/>
              <a:t>年度预算支出与决算支出对比图</a:t>
            </a:r>
            <a:endParaRPr lang="zh-CN" altLang="en-US"/>
          </a:p>
        </c:rich>
      </c:tx>
      <c:layout/>
      <c:overlay val="0"/>
    </c:title>
    <c:autoTitleDeleted val="0"/>
    <c:plotArea>
      <c:layout/>
      <c:barChart>
        <c:barDir val="col"/>
        <c:grouping val="clustered"/>
        <c:varyColors val="0"/>
        <c:ser>
          <c:idx val="0"/>
          <c:order val="0"/>
          <c:tx>
            <c:strRef>
              <c:f>Sheet1!$B$42</c:f>
              <c:strCache>
                <c:ptCount val="1"/>
                <c:pt idx="0">
                  <c:v>预算支出(万元)</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Sheet1!$A$43:$A$46</c:f>
              <c:strCache>
                <c:ptCount val="4"/>
                <c:pt idx="0">
                  <c:v>一般公共服务支出</c:v>
                </c:pt>
                <c:pt idx="1">
                  <c:v>社会保障和就业支出</c:v>
                </c:pt>
                <c:pt idx="2">
                  <c:v>卫生健康支出</c:v>
                </c:pt>
                <c:pt idx="3">
                  <c:v>住房保障支出</c:v>
                </c:pt>
              </c:strCache>
            </c:strRef>
          </c:cat>
          <c:val>
            <c:numRef>
              <c:f>Sheet1!$B$43:$B$46</c:f>
              <c:numCache>
                <c:formatCode>General</c:formatCode>
                <c:ptCount val="4"/>
                <c:pt idx="0">
                  <c:v>235.73</c:v>
                </c:pt>
                <c:pt idx="1">
                  <c:v>17.34</c:v>
                </c:pt>
                <c:pt idx="2">
                  <c:v>5.46</c:v>
                </c:pt>
                <c:pt idx="3">
                  <c:v>8.71</c:v>
                </c:pt>
              </c:numCache>
            </c:numRef>
          </c:val>
        </c:ser>
        <c:ser>
          <c:idx val="1"/>
          <c:order val="1"/>
          <c:tx>
            <c:strRef>
              <c:f>Sheet1!$C$42</c:f>
              <c:strCache>
                <c:ptCount val="1"/>
                <c:pt idx="0">
                  <c:v>决算支出（万元）</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Sheet1!$A$43:$A$46</c:f>
              <c:strCache>
                <c:ptCount val="4"/>
                <c:pt idx="0">
                  <c:v>一般公共服务支出</c:v>
                </c:pt>
                <c:pt idx="1">
                  <c:v>社会保障和就业支出</c:v>
                </c:pt>
                <c:pt idx="2">
                  <c:v>卫生健康支出</c:v>
                </c:pt>
                <c:pt idx="3">
                  <c:v>住房保障支出</c:v>
                </c:pt>
              </c:strCache>
            </c:strRef>
          </c:cat>
          <c:val>
            <c:numRef>
              <c:f>Sheet1!$C$43:$C$46</c:f>
              <c:numCache>
                <c:formatCode>General</c:formatCode>
                <c:ptCount val="4"/>
                <c:pt idx="0">
                  <c:v>226.7</c:v>
                </c:pt>
                <c:pt idx="1">
                  <c:v>21.13</c:v>
                </c:pt>
                <c:pt idx="2">
                  <c:v>4.39</c:v>
                </c:pt>
                <c:pt idx="3">
                  <c:v>8.71</c:v>
                </c:pt>
              </c:numCache>
            </c:numRef>
          </c:val>
        </c:ser>
        <c:dLbls>
          <c:showLegendKey val="0"/>
          <c:showVal val="0"/>
          <c:showCatName val="0"/>
          <c:showSerName val="0"/>
          <c:showPercent val="0"/>
          <c:showBubbleSize val="0"/>
        </c:dLbls>
        <c:gapWidth val="150"/>
        <c:axId val="158046080"/>
        <c:axId val="158047616"/>
      </c:barChart>
      <c:catAx>
        <c:axId val="158046080"/>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58047616"/>
        <c:crosses val="autoZero"/>
        <c:auto val="1"/>
        <c:lblAlgn val="ctr"/>
        <c:lblOffset val="100"/>
        <c:noMultiLvlLbl val="0"/>
      </c:catAx>
      <c:valAx>
        <c:axId val="158047616"/>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58046080"/>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83949-2E5C-4485-A4E7-BB986F7E89A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33</Pages>
  <Words>2120</Words>
  <Characters>12086</Characters>
  <Lines>100</Lines>
  <Paragraphs>28</Paragraphs>
  <TotalTime>3368</TotalTime>
  <ScaleCrop>false</ScaleCrop>
  <LinksUpToDate>false</LinksUpToDate>
  <CharactersWithSpaces>14178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2019-11-18T06:52:00Z</dcterms:created>
  <dc:creator>Administrator</dc:creator>
  <cp:lastModifiedBy>Administrator</cp:lastModifiedBy>
  <cp:lastPrinted>2020-11-26T08:04:00Z</cp:lastPrinted>
  <dcterms:modified xsi:type="dcterms:W3CDTF">2023-11-14T05:02:54Z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5E4857591A074BC7B9650600013DB984_12</vt:lpwstr>
  </property>
</Properties>
</file>