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大因镇20</w:t>
      </w:r>
      <w:r>
        <w:rPr>
          <w:rFonts w:hint="default" w:asciiTheme="minorEastAsia" w:hAnsiTheme="minorEastAsia"/>
          <w:b/>
          <w:sz w:val="48"/>
          <w:szCs w:val="48"/>
          <w:lang w:val="en-US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年总决算</w:t>
      </w:r>
      <w:r>
        <w:rPr>
          <w:rFonts w:asciiTheme="minorEastAsia" w:hAnsiTheme="minorEastAsia"/>
          <w:b/>
          <w:sz w:val="48"/>
          <w:szCs w:val="48"/>
        </w:rPr>
        <w:t>情况说明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一</w:t>
      </w:r>
      <w:r>
        <w:rPr>
          <w:rFonts w:asciiTheme="minorEastAsia" w:hAnsiTheme="minorEastAsia"/>
          <w:b/>
          <w:sz w:val="36"/>
          <w:szCs w:val="36"/>
        </w:rPr>
        <w:t>、</w:t>
      </w:r>
      <w:r>
        <w:rPr>
          <w:rFonts w:hint="eastAsia" w:asciiTheme="minorEastAsia" w:hAnsiTheme="minorEastAsia"/>
          <w:b/>
          <w:sz w:val="36"/>
          <w:szCs w:val="36"/>
        </w:rPr>
        <w:t>“三公”经费情况</w:t>
      </w:r>
      <w:r>
        <w:rPr>
          <w:rFonts w:asciiTheme="minorEastAsia" w:hAnsiTheme="minorEastAsia"/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(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)</w:t>
      </w: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因公出国（境）费。本部门2020年因公出国（境）费支出0万元，完成预算的0%。因公出国（境）团组0个、共0人、参加其他单位组织的因公出国（境）团组0个、共0人/无本单位组织的出国（境）团组。因公出国（境）费支出较预算增加0万元，增长0%,主要是未发生此类支出，无增减变化；较上年增加0万元，增长0%,主要是未发生此类支出，无增减变化。</w:t>
      </w:r>
    </w:p>
    <w:p>
      <w:pPr>
        <w:spacing w:line="560" w:lineRule="exact"/>
        <w:ind w:firstLine="600" w:firstLineChars="200"/>
        <w:rPr>
          <w:rFonts w:hint="eastAsia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(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二</w:t>
      </w: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)</w:t>
      </w: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公务用车购置及运行维护费。本部门2020年公务用车购置及运行维护费支出12.23万元，完成预算的58.24%，较预算减少8.77万元，降低41.76%,主要是认真贯彻落实中央八项规定精神和厉行节约要求，从严控制“三公”经费开支，全年实际支出比预算有所节约；较上年减少4万元，降低24.65%,主要是认真贯彻落实中央八项规定精神和厉行节约要求，从严控制“三公”经费开支，全年实际支出比预算有所节约。</w:t>
      </w:r>
    </w:p>
    <w:p>
      <w:pPr>
        <w:spacing w:line="560" w:lineRule="exact"/>
        <w:ind w:firstLine="600" w:firstLineChars="20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其中：</w:t>
      </w:r>
    </w:p>
    <w:p>
      <w:pPr>
        <w:spacing w:line="560" w:lineRule="exact"/>
        <w:ind w:firstLine="600" w:firstLineChars="20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公务用车购置费支出：本部门2020年度公务用车购置量</w:t>
      </w: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0</w:t>
      </w: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辆，发生“公务用车购置”经费支出0万元。公务用车购置费支出较预算增加0万元，增长0%,主要是未发生此类支出，无增减变化；较上年增加0万元，增长0%,主要是未发生“公务用车购置”经费支出，与年初预算持平。</w:t>
      </w:r>
    </w:p>
    <w:p>
      <w:pPr>
        <w:spacing w:line="560" w:lineRule="exact"/>
        <w:ind w:firstLine="600" w:firstLineChars="20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eastAsia" w:asciiTheme="minorEastAsia" w:hAnsiTheme="minorEastAsia"/>
          <w:sz w:val="30"/>
          <w:szCs w:val="30"/>
          <w:highlight w:val="none"/>
          <w:lang w:val="en-US"/>
        </w:rPr>
        <w:t>公务用车运行维护费支出：本部门2020年度单位公务用车保有量0辆,发生运行维护费支出12.23万元。公车运行维护费支出较预算减少8.77万元，降低41.76%,主要是认真贯彻落实中央八项规定精神和厉行节约要求，从严控制“三公”经费开支，全年实际支出比预算有所节约；较上年减少4万元，降低24.65%，主要是认真贯彻落实中央八项规定精神和厉行节约要求，从严控制“三公”经费开支，全年实际支出比预算有所节约。</w:t>
      </w:r>
    </w:p>
    <w:p>
      <w:pPr>
        <w:spacing w:line="560" w:lineRule="exact"/>
        <w:ind w:firstLine="600" w:firstLineChars="200"/>
        <w:rPr>
          <w:rFonts w:asciiTheme="minorEastAsia" w:hAnsiTheme="minorEastAsia"/>
          <w:snapToGrid w:val="0"/>
          <w:kern w:val="0"/>
          <w:sz w:val="28"/>
          <w:szCs w:val="28"/>
          <w:highlight w:val="yellow"/>
        </w:rPr>
      </w:pP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(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Theme="minorEastAsia" w:hAnsiTheme="minorEastAsia"/>
          <w:sz w:val="30"/>
          <w:szCs w:val="30"/>
          <w:highlight w:val="none"/>
          <w:lang w:val="en-US"/>
        </w:rPr>
        <w:t>)</w:t>
      </w:r>
      <w:r>
        <w:rPr>
          <w:rFonts w:hint="eastAsia" w:asciiTheme="minorEastAsia" w:hAnsiTheme="minorEastAsia"/>
          <w:sz w:val="30"/>
          <w:szCs w:val="30"/>
          <w:highlight w:val="none"/>
        </w:rPr>
        <w:t>公务接待费。本部门2020年公务接待费支出1.23万元，完成预算的20.50%。发生公务接待共16批次、420人次。公务接待费支出较预算减少4.77万元，降低79.50%,主要是认真贯彻落实中央八项规定精神和厉行节约要求，从严控制“三公”经费开支，全年实际支出比预算有所节约；较上年度减少2.63万元，降低68.13%,主要是认真贯彻落实中央八项规定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  <w:highlight w:val="none"/>
        </w:rPr>
        <w:t>精神和厉行节约要求，从严控制“三公”经费开支，全年实际支出比预算有所节约。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sz w:val="36"/>
          <w:szCs w:val="36"/>
          <w:highlight w:val="none"/>
        </w:rPr>
        <w:t>二</w:t>
      </w:r>
      <w:r>
        <w:rPr>
          <w:rFonts w:asciiTheme="minorEastAsia" w:hAnsiTheme="minorEastAsia"/>
          <w:b/>
          <w:sz w:val="36"/>
          <w:szCs w:val="36"/>
          <w:highlight w:val="none"/>
        </w:rPr>
        <w:t>、</w:t>
      </w:r>
      <w:r>
        <w:rPr>
          <w:rFonts w:hint="eastAsia" w:asciiTheme="minorEastAsia" w:hAnsiTheme="minorEastAsia"/>
          <w:b/>
          <w:sz w:val="36"/>
          <w:szCs w:val="36"/>
          <w:highlight w:val="none"/>
        </w:rPr>
        <w:t>举</w:t>
      </w:r>
      <w:r>
        <w:rPr>
          <w:rFonts w:asciiTheme="minorEastAsia" w:hAnsiTheme="minorEastAsia"/>
          <w:b/>
          <w:sz w:val="36"/>
          <w:szCs w:val="36"/>
          <w:highlight w:val="none"/>
        </w:rPr>
        <w:t>借债务情况说明</w:t>
      </w:r>
    </w:p>
    <w:p>
      <w:pPr>
        <w:spacing w:line="560" w:lineRule="exact"/>
        <w:ind w:firstLine="600" w:firstLineChars="200"/>
        <w:rPr>
          <w:rFonts w:asciiTheme="minorEastAsia" w:hAnsi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/>
          <w:sz w:val="30"/>
          <w:szCs w:val="30"/>
          <w:highlight w:val="none"/>
          <w:lang w:eastAsia="zh-CN"/>
        </w:rPr>
        <w:t>20</w:t>
      </w:r>
      <w:r>
        <w:rPr>
          <w:rFonts w:hint="default" w:asciiTheme="minorEastAsia" w:hAnsiTheme="minorEastAsia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30"/>
          <w:szCs w:val="30"/>
          <w:highlight w:val="none"/>
        </w:rPr>
        <w:t>年</w:t>
      </w:r>
      <w:r>
        <w:rPr>
          <w:rFonts w:asciiTheme="minorEastAsia" w:hAnsiTheme="minorEastAsia"/>
          <w:sz w:val="30"/>
          <w:szCs w:val="30"/>
          <w:highlight w:val="none"/>
        </w:rPr>
        <w:t>，</w:t>
      </w:r>
      <w:r>
        <w:rPr>
          <w:rFonts w:hint="eastAsia" w:asciiTheme="minorEastAsia" w:hAnsiTheme="minorEastAsia"/>
          <w:sz w:val="30"/>
          <w:szCs w:val="30"/>
          <w:highlight w:val="none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rFonts w:asciiTheme="minorEastAsia" w:hAnsiTheme="minorEastAsia"/>
          <w:sz w:val="30"/>
          <w:szCs w:val="30"/>
          <w:highlight w:val="none"/>
        </w:rPr>
        <w:t>举借债务情况</w:t>
      </w:r>
      <w:r>
        <w:rPr>
          <w:rFonts w:hint="eastAsia" w:asciiTheme="minorEastAsia" w:hAnsiTheme="minorEastAsia"/>
          <w:sz w:val="30"/>
          <w:szCs w:val="30"/>
          <w:highlight w:val="none"/>
        </w:rPr>
        <w:t>如</w:t>
      </w:r>
      <w:r>
        <w:rPr>
          <w:rFonts w:asciiTheme="minorEastAsia" w:hAnsiTheme="minorEastAsia"/>
          <w:sz w:val="30"/>
          <w:szCs w:val="30"/>
          <w:highlight w:val="none"/>
        </w:rPr>
        <w:t>下：</w:t>
      </w:r>
      <w:r>
        <w:rPr>
          <w:rFonts w:hint="eastAsia" w:asciiTheme="minorEastAsia" w:hAnsiTheme="minorEastAsia"/>
          <w:sz w:val="30"/>
          <w:szCs w:val="30"/>
          <w:highlight w:val="none"/>
        </w:rPr>
        <w:t>截止</w:t>
      </w:r>
      <w:r>
        <w:rPr>
          <w:rFonts w:hint="eastAsia" w:asciiTheme="minorEastAsia" w:hAnsiTheme="minorEastAsia"/>
          <w:sz w:val="30"/>
          <w:szCs w:val="30"/>
          <w:highlight w:val="none"/>
          <w:lang w:eastAsia="zh-CN"/>
        </w:rPr>
        <w:t>20</w:t>
      </w:r>
      <w:r>
        <w:rPr>
          <w:rFonts w:hint="default" w:asciiTheme="minorEastAsia" w:hAnsiTheme="minorEastAsia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30"/>
          <w:szCs w:val="30"/>
          <w:highlight w:val="none"/>
        </w:rPr>
        <w:t>年</w:t>
      </w:r>
      <w:r>
        <w:rPr>
          <w:rFonts w:asciiTheme="minorEastAsia" w:hAnsiTheme="minorEastAsia"/>
          <w:sz w:val="30"/>
          <w:szCs w:val="30"/>
          <w:highlight w:val="none"/>
        </w:rPr>
        <w:t>底，</w:t>
      </w:r>
      <w:r>
        <w:rPr>
          <w:rFonts w:hint="eastAsia" w:asciiTheme="minorEastAsia" w:hAnsiTheme="minorEastAsia"/>
          <w:sz w:val="30"/>
          <w:szCs w:val="30"/>
          <w:highlight w:val="none"/>
        </w:rPr>
        <w:t>我镇地方</w:t>
      </w:r>
      <w:r>
        <w:rPr>
          <w:rFonts w:asciiTheme="minorEastAsia" w:hAnsiTheme="minorEastAsia"/>
          <w:sz w:val="30"/>
          <w:szCs w:val="30"/>
          <w:highlight w:val="none"/>
        </w:rPr>
        <w:t>政府债务余额</w:t>
      </w:r>
      <w:r>
        <w:rPr>
          <w:rFonts w:hint="eastAsia" w:asciiTheme="minorEastAsia" w:hAnsiTheme="minorEastAsia"/>
          <w:sz w:val="30"/>
          <w:szCs w:val="30"/>
          <w:highlight w:val="none"/>
        </w:rPr>
        <w:t>0万元</w:t>
      </w:r>
      <w:r>
        <w:rPr>
          <w:rFonts w:asciiTheme="minorEastAsia" w:hAnsiTheme="minorEastAsia"/>
          <w:sz w:val="30"/>
          <w:szCs w:val="30"/>
          <w:highlight w:val="none"/>
        </w:rPr>
        <w:t>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sz w:val="36"/>
          <w:szCs w:val="36"/>
          <w:highlight w:val="none"/>
        </w:rPr>
        <w:t>三</w:t>
      </w:r>
      <w:r>
        <w:rPr>
          <w:rFonts w:asciiTheme="minorEastAsia" w:hAnsiTheme="minorEastAsia"/>
          <w:b/>
          <w:sz w:val="36"/>
          <w:szCs w:val="36"/>
          <w:highlight w:val="none"/>
        </w:rPr>
        <w:t>、</w:t>
      </w:r>
      <w:r>
        <w:rPr>
          <w:rFonts w:hint="eastAsia" w:asciiTheme="minorEastAsia" w:hAnsiTheme="minorEastAsia"/>
          <w:b/>
          <w:sz w:val="36"/>
          <w:szCs w:val="36"/>
          <w:highlight w:val="none"/>
        </w:rPr>
        <w:t>转移</w:t>
      </w:r>
      <w:r>
        <w:rPr>
          <w:rFonts w:asciiTheme="minorEastAsia" w:hAnsiTheme="minorEastAsia"/>
          <w:b/>
          <w:sz w:val="36"/>
          <w:szCs w:val="36"/>
          <w:highlight w:val="none"/>
        </w:rPr>
        <w:t>支付情况</w:t>
      </w:r>
      <w:r>
        <w:rPr>
          <w:rFonts w:hint="eastAsia" w:asciiTheme="minorEastAsia" w:hAnsiTheme="minorEastAsia"/>
          <w:b/>
          <w:sz w:val="36"/>
          <w:szCs w:val="36"/>
          <w:highlight w:val="none"/>
        </w:rPr>
        <w:t>说明</w:t>
      </w:r>
    </w:p>
    <w:p>
      <w:pPr>
        <w:widowControl/>
        <w:spacing w:line="580" w:lineRule="atLeast"/>
        <w:ind w:firstLine="600" w:firstLineChars="200"/>
        <w:jc w:val="left"/>
        <w:rPr>
          <w:rFonts w:asciiTheme="minorEastAsia" w:hAnsiTheme="minorEastAsia"/>
          <w:sz w:val="30"/>
          <w:szCs w:val="30"/>
          <w:highlight w:val="none"/>
        </w:rPr>
      </w:pPr>
      <w:r>
        <w:rPr>
          <w:rFonts w:hint="eastAsia" w:asciiTheme="minorEastAsia" w:hAnsiTheme="minorEastAsia"/>
          <w:sz w:val="30"/>
          <w:szCs w:val="30"/>
          <w:highlight w:val="none"/>
          <w:lang w:eastAsia="zh-CN"/>
        </w:rPr>
        <w:t>20</w:t>
      </w:r>
      <w:r>
        <w:rPr>
          <w:rFonts w:hint="default" w:asciiTheme="minorEastAsia" w:hAnsiTheme="minorEastAsia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30"/>
          <w:szCs w:val="30"/>
          <w:highlight w:val="none"/>
        </w:rPr>
        <w:t>年</w:t>
      </w:r>
      <w:r>
        <w:rPr>
          <w:rFonts w:asciiTheme="minorEastAsia" w:hAnsiTheme="minorEastAsia"/>
          <w:sz w:val="30"/>
          <w:szCs w:val="30"/>
          <w:highlight w:val="none"/>
        </w:rPr>
        <w:t>，</w:t>
      </w:r>
      <w:r>
        <w:rPr>
          <w:rFonts w:hint="eastAsia" w:asciiTheme="minorEastAsia" w:hAnsiTheme="minorEastAsia"/>
          <w:sz w:val="30"/>
          <w:szCs w:val="30"/>
          <w:highlight w:val="none"/>
        </w:rPr>
        <w:t>认真</w:t>
      </w:r>
      <w:r>
        <w:rPr>
          <w:rFonts w:asciiTheme="minorEastAsia" w:hAnsiTheme="minorEastAsia"/>
          <w:sz w:val="30"/>
          <w:szCs w:val="30"/>
          <w:highlight w:val="none"/>
        </w:rPr>
        <w:t>贯彻</w:t>
      </w:r>
      <w:r>
        <w:rPr>
          <w:rFonts w:hint="eastAsia" w:asciiTheme="minorEastAsia" w:hAnsiTheme="minorEastAsia"/>
          <w:sz w:val="30"/>
          <w:szCs w:val="30"/>
          <w:highlight w:val="none"/>
        </w:rPr>
        <w:t>党的十八届六中全会和中央、省、市经济工作会议精神，以《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中华人民共和国</w:t>
      </w:r>
      <w:r>
        <w:rPr>
          <w:rFonts w:hint="eastAsia" w:asciiTheme="minorEastAsia" w:hAnsiTheme="minorEastAsia"/>
          <w:sz w:val="30"/>
          <w:szCs w:val="30"/>
          <w:highlight w:val="none"/>
        </w:rPr>
        <w:t>预算法》为依据，坚持保工资、保运转、保民生，坚持</w:t>
      </w:r>
      <w:r>
        <w:rPr>
          <w:rFonts w:asciiTheme="minorEastAsia" w:hAnsiTheme="minorEastAsia"/>
          <w:sz w:val="30"/>
          <w:szCs w:val="30"/>
          <w:highlight w:val="none"/>
        </w:rPr>
        <w:t>依法理财，</w:t>
      </w:r>
      <w:r>
        <w:rPr>
          <w:rFonts w:hint="eastAsia" w:asciiTheme="minorEastAsia" w:hAnsiTheme="minorEastAsia"/>
          <w:sz w:val="30"/>
          <w:szCs w:val="30"/>
          <w:highlight w:val="none"/>
        </w:rPr>
        <w:t>推进绩效预算管理改革，确保</w:t>
      </w:r>
      <w:r>
        <w:rPr>
          <w:rFonts w:asciiTheme="minorEastAsia" w:hAnsiTheme="minorEastAsia"/>
          <w:sz w:val="30"/>
          <w:szCs w:val="30"/>
          <w:highlight w:val="none"/>
        </w:rPr>
        <w:t>全年预算平</w:t>
      </w:r>
      <w:r>
        <w:rPr>
          <w:rFonts w:hint="eastAsia" w:asciiTheme="minorEastAsia" w:hAnsiTheme="minorEastAsia"/>
          <w:sz w:val="30"/>
          <w:szCs w:val="30"/>
          <w:highlight w:val="none"/>
        </w:rPr>
        <w:t>稳</w:t>
      </w:r>
      <w:r>
        <w:rPr>
          <w:rFonts w:asciiTheme="minorEastAsia" w:hAnsiTheme="minorEastAsia"/>
          <w:sz w:val="30"/>
          <w:szCs w:val="30"/>
          <w:highlight w:val="none"/>
        </w:rPr>
        <w:t>运行</w:t>
      </w:r>
      <w:r>
        <w:rPr>
          <w:rFonts w:hint="eastAsia" w:asciiTheme="minorEastAsia" w:hAnsiTheme="minorEastAsia"/>
          <w:sz w:val="30"/>
          <w:szCs w:val="30"/>
          <w:highlight w:val="none"/>
        </w:rPr>
        <w:t>。</w:t>
      </w:r>
    </w:p>
    <w:p>
      <w:pPr>
        <w:widowControl/>
        <w:spacing w:line="580" w:lineRule="atLeast"/>
        <w:ind w:firstLine="600" w:firstLineChars="200"/>
        <w:jc w:val="left"/>
        <w:rPr>
          <w:rFonts w:hint="eastAsia" w:cs="宋体" w:asciiTheme="minorEastAsia" w:hAnsiTheme="minorEastAsia" w:eastAsiaTheme="minorEastAsia"/>
          <w:kern w:val="0"/>
          <w:sz w:val="30"/>
          <w:szCs w:val="30"/>
          <w:highlight w:val="none"/>
          <w:lang w:eastAsia="zh-CN"/>
        </w:rPr>
      </w:pPr>
      <w:r>
        <w:rPr>
          <w:rFonts w:hint="eastAsia" w:cs="宋体" w:asciiTheme="minorEastAsia" w:hAnsiTheme="minorEastAsia"/>
          <w:kern w:val="0"/>
          <w:sz w:val="30"/>
          <w:szCs w:val="30"/>
          <w:highlight w:val="none"/>
        </w:rPr>
        <w:t>上级补助收入</w:t>
      </w:r>
      <w:r>
        <w:rPr>
          <w:rFonts w:hint="default" w:cs="宋体" w:asciiTheme="minorEastAsia" w:hAnsiTheme="minorEastAsia"/>
          <w:kern w:val="0"/>
          <w:sz w:val="30"/>
          <w:szCs w:val="30"/>
          <w:highlight w:val="none"/>
          <w:lang w:val="en-US" w:eastAsia="zh-CN"/>
        </w:rPr>
        <w:t>1693.8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</w:rPr>
        <w:t>万元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</w:rPr>
        <w:t>其中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  <w:lang w:eastAsia="zh-CN"/>
        </w:rPr>
        <w:t>一般性转移支付收入</w:t>
      </w:r>
      <w:r>
        <w:rPr>
          <w:rFonts w:hint="default" w:cs="宋体" w:asciiTheme="minorEastAsia" w:hAnsiTheme="minorEastAsia"/>
          <w:kern w:val="0"/>
          <w:sz w:val="30"/>
          <w:szCs w:val="30"/>
          <w:highlight w:val="none"/>
          <w:lang w:val="en-US" w:eastAsia="zh-CN"/>
        </w:rPr>
        <w:t>1595.1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</w:rPr>
        <w:t>万元，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  <w:lang w:eastAsia="zh-CN"/>
        </w:rPr>
        <w:t>专项转移支付收入</w:t>
      </w:r>
      <w:r>
        <w:rPr>
          <w:rFonts w:hint="default" w:cs="宋体" w:asciiTheme="minorEastAsia" w:hAnsiTheme="minorEastAsia"/>
          <w:kern w:val="0"/>
          <w:sz w:val="30"/>
          <w:szCs w:val="30"/>
          <w:highlight w:val="none"/>
          <w:lang w:val="en-US" w:eastAsia="zh-CN"/>
        </w:rPr>
        <w:t>98.7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</w:rPr>
        <w:t>万元</w:t>
      </w:r>
      <w:r>
        <w:rPr>
          <w:rFonts w:hint="eastAsia" w:cs="宋体" w:asciiTheme="minorEastAsia" w:hAnsiTheme="minorEastAsia"/>
          <w:kern w:val="0"/>
          <w:sz w:val="30"/>
          <w:szCs w:val="30"/>
          <w:highlight w:val="none"/>
          <w:lang w:eastAsia="zh-CN"/>
        </w:rPr>
        <w:t>。</w:t>
      </w:r>
    </w:p>
    <w:p>
      <w:pPr>
        <w:spacing w:line="560" w:lineRule="exact"/>
        <w:ind w:firstLine="723" w:firstLineChars="200"/>
        <w:rPr>
          <w:rFonts w:asciiTheme="minorEastAsia" w:hAnsi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sz w:val="36"/>
          <w:szCs w:val="36"/>
          <w:highlight w:val="none"/>
        </w:rPr>
        <w:t>四</w:t>
      </w:r>
      <w:r>
        <w:rPr>
          <w:rFonts w:asciiTheme="minorEastAsia" w:hAnsiTheme="minorEastAsia"/>
          <w:b/>
          <w:sz w:val="36"/>
          <w:szCs w:val="36"/>
          <w:highlight w:val="none"/>
        </w:rPr>
        <w:t>、本级政府采购情况说明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Theme="minorEastAsia" w:hAnsiTheme="minorEastAsia" w:eastAsiaTheme="minorEastAsia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asciiTheme="minorEastAsia" w:hAnsiTheme="minorEastAsia"/>
          <w:snapToGrid w:val="0"/>
          <w:kern w:val="0"/>
          <w:sz w:val="28"/>
          <w:szCs w:val="28"/>
          <w:highlight w:val="none"/>
        </w:rPr>
        <w:t>政府采购情况说明</w:t>
      </w:r>
      <w:r>
        <w:rPr>
          <w:rFonts w:hint="eastAsia" w:asciiTheme="minorEastAsia" w:hAnsiTheme="minorEastAsia"/>
          <w:snapToGrid w:val="0"/>
          <w:kern w:val="0"/>
          <w:sz w:val="28"/>
          <w:szCs w:val="28"/>
          <w:highlight w:val="none"/>
          <w:lang w:eastAsia="zh-CN"/>
        </w:rPr>
        <w:t>：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rFonts w:hint="eastAsia" w:asciiTheme="minorEastAsia" w:hAnsiTheme="minorEastAsia"/>
          <w:snapToGrid w:val="0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/>
          <w:snapToGrid w:val="0"/>
          <w:kern w:val="0"/>
          <w:sz w:val="28"/>
          <w:szCs w:val="28"/>
          <w:highlight w:val="none"/>
        </w:rPr>
        <w:t>本部门2020年度政府采购支出总额28.78万元，从采购类型来看，政府采购货物支出9.23 万元、政府采购工程支出0万元、政府采购服务支出 19.55万元。授予中小企业合同金27.77万元，占政府采购支出总额的96.49%，其中授予小微企业合同金额27.27万元，占政府采购支出总额的 94.75%。</w:t>
      </w:r>
    </w:p>
    <w:p>
      <w:pPr>
        <w:spacing w:line="560" w:lineRule="exact"/>
        <w:ind w:firstLine="723" w:firstLineChars="200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五</w:t>
      </w:r>
      <w:r>
        <w:rPr>
          <w:b/>
          <w:sz w:val="36"/>
          <w:szCs w:val="36"/>
          <w:highlight w:val="none"/>
        </w:rPr>
        <w:t>、</w:t>
      </w:r>
      <w:r>
        <w:rPr>
          <w:rFonts w:hint="eastAsia"/>
          <w:b/>
          <w:sz w:val="36"/>
          <w:szCs w:val="36"/>
          <w:highlight w:val="none"/>
        </w:rPr>
        <w:t>绩效</w:t>
      </w:r>
      <w:r>
        <w:rPr>
          <w:b/>
          <w:sz w:val="36"/>
          <w:szCs w:val="36"/>
          <w:highlight w:val="none"/>
        </w:rPr>
        <w:t>预算工作开展情况说明</w:t>
      </w:r>
    </w:p>
    <w:p>
      <w:pPr>
        <w:spacing w:line="560" w:lineRule="exact"/>
        <w:ind w:firstLine="478" w:firstLineChars="171"/>
        <w:rPr>
          <w:highlight w:val="none"/>
        </w:rPr>
      </w:pPr>
      <w:r>
        <w:rPr>
          <w:rFonts w:hint="eastAsia"/>
          <w:snapToGrid w:val="0"/>
          <w:kern w:val="0"/>
          <w:sz w:val="28"/>
          <w:szCs w:val="28"/>
          <w:highlight w:val="none"/>
        </w:rPr>
        <w:t>我单位</w:t>
      </w:r>
      <w:r>
        <w:rPr>
          <w:snapToGrid w:val="0"/>
          <w:kern w:val="0"/>
          <w:sz w:val="28"/>
          <w:szCs w:val="28"/>
          <w:highlight w:val="none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确定</w:t>
      </w:r>
      <w:r>
        <w:rPr>
          <w:snapToGrid w:val="0"/>
          <w:kern w:val="0"/>
          <w:sz w:val="28"/>
          <w:szCs w:val="28"/>
          <w:highlight w:val="none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。如我单位</w:t>
      </w:r>
      <w:r>
        <w:rPr>
          <w:snapToGrid w:val="0"/>
          <w:kern w:val="0"/>
          <w:sz w:val="28"/>
          <w:szCs w:val="28"/>
          <w:highlight w:val="none"/>
        </w:rPr>
        <w:t>的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中央补助地方美术馆、公共图书馆、文化馆（站）免费开放专项资金项目</w:t>
      </w:r>
      <w:r>
        <w:rPr>
          <w:snapToGrid w:val="0"/>
          <w:kern w:val="0"/>
          <w:sz w:val="28"/>
          <w:szCs w:val="28"/>
          <w:highlight w:val="none"/>
        </w:rPr>
        <w:t>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该项目</w:t>
      </w:r>
      <w:r>
        <w:rPr>
          <w:snapToGrid w:val="0"/>
          <w:kern w:val="0"/>
          <w:sz w:val="28"/>
          <w:szCs w:val="28"/>
          <w:highlight w:val="none"/>
        </w:rPr>
        <w:t>年初预算安排</w:t>
      </w:r>
      <w:r>
        <w:rPr>
          <w:rFonts w:hint="default"/>
          <w:snapToGrid w:val="0"/>
          <w:kern w:val="0"/>
          <w:sz w:val="28"/>
          <w:szCs w:val="28"/>
          <w:highlight w:val="none"/>
          <w:lang w:val="en-US" w:eastAsia="zh-CN"/>
        </w:rPr>
        <w:t>2.5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万元</w:t>
      </w:r>
      <w:r>
        <w:rPr>
          <w:snapToGrid w:val="0"/>
          <w:kern w:val="0"/>
          <w:sz w:val="28"/>
          <w:szCs w:val="28"/>
          <w:highlight w:val="none"/>
        </w:rPr>
        <w:t>，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截至年末</w:t>
      </w:r>
      <w:r>
        <w:rPr>
          <w:snapToGrid w:val="0"/>
          <w:kern w:val="0"/>
          <w:sz w:val="28"/>
          <w:szCs w:val="28"/>
          <w:highlight w:val="none"/>
        </w:rPr>
        <w:t>实际支出</w:t>
      </w:r>
      <w:r>
        <w:rPr>
          <w:rFonts w:hint="default"/>
          <w:snapToGrid w:val="0"/>
          <w:kern w:val="0"/>
          <w:sz w:val="28"/>
          <w:szCs w:val="28"/>
          <w:highlight w:val="none"/>
          <w:lang w:val="en-US" w:eastAsia="zh-CN"/>
        </w:rPr>
        <w:t>2.5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万元</w:t>
      </w:r>
      <w:r>
        <w:rPr>
          <w:snapToGrid w:val="0"/>
          <w:kern w:val="0"/>
          <w:sz w:val="28"/>
          <w:szCs w:val="28"/>
          <w:highlight w:val="none"/>
        </w:rPr>
        <w:t>。取得了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我镇辖区内的公共文化设施达标，机构和队伍健全的</w:t>
      </w:r>
      <w:r>
        <w:rPr>
          <w:snapToGrid w:val="0"/>
          <w:kern w:val="0"/>
          <w:sz w:val="28"/>
          <w:szCs w:val="28"/>
          <w:highlight w:val="none"/>
        </w:rPr>
        <w:t>成果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，</w:t>
      </w:r>
      <w:r>
        <w:rPr>
          <w:snapToGrid w:val="0"/>
          <w:kern w:val="0"/>
          <w:sz w:val="28"/>
          <w:szCs w:val="28"/>
          <w:highlight w:val="none"/>
        </w:rPr>
        <w:t>较好的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实现了</w:t>
      </w:r>
      <w:r>
        <w:rPr>
          <w:snapToGrid w:val="0"/>
          <w:kern w:val="0"/>
          <w:sz w:val="28"/>
          <w:szCs w:val="28"/>
          <w:highlight w:val="none"/>
        </w:rPr>
        <w:t>预算项目绩效</w:t>
      </w:r>
      <w:r>
        <w:rPr>
          <w:rFonts w:hint="eastAsia"/>
          <w:snapToGrid w:val="0"/>
          <w:kern w:val="0"/>
          <w:sz w:val="28"/>
          <w:szCs w:val="28"/>
          <w:highlight w:val="none"/>
        </w:rPr>
        <w:t>目标</w:t>
      </w:r>
      <w:r>
        <w:rPr>
          <w:snapToGrid w:val="0"/>
          <w:kern w:val="0"/>
          <w:sz w:val="28"/>
          <w:szCs w:val="28"/>
          <w:highlight w:val="none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六、其他重要事项的解释说明</w:t>
      </w:r>
    </w:p>
    <w:p>
      <w:pPr>
        <w:spacing w:line="560" w:lineRule="exact"/>
        <w:ind w:firstLine="560" w:firstLineChars="200"/>
        <w:rPr>
          <w:rFonts w:hint="eastAsia"/>
          <w:snapToGrid w:val="0"/>
          <w:kern w:val="0"/>
          <w:sz w:val="28"/>
          <w:szCs w:val="28"/>
          <w:highlight w:val="none"/>
        </w:rPr>
      </w:pPr>
      <w:r>
        <w:rPr>
          <w:rFonts w:hint="eastAsia"/>
          <w:snapToGrid w:val="0"/>
          <w:kern w:val="0"/>
          <w:sz w:val="28"/>
          <w:szCs w:val="28"/>
          <w:highlight w:val="none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F"/>
    <w:rsid w:val="000276CF"/>
    <w:rsid w:val="000C7114"/>
    <w:rsid w:val="0017624B"/>
    <w:rsid w:val="00177BAF"/>
    <w:rsid w:val="001B5462"/>
    <w:rsid w:val="001C2C94"/>
    <w:rsid w:val="002973F4"/>
    <w:rsid w:val="002E78CA"/>
    <w:rsid w:val="00311C68"/>
    <w:rsid w:val="0034451D"/>
    <w:rsid w:val="00372612"/>
    <w:rsid w:val="003A2B96"/>
    <w:rsid w:val="00481BDB"/>
    <w:rsid w:val="005200E3"/>
    <w:rsid w:val="00723DE0"/>
    <w:rsid w:val="007B31D3"/>
    <w:rsid w:val="00836BAA"/>
    <w:rsid w:val="008B75DC"/>
    <w:rsid w:val="008F4EC3"/>
    <w:rsid w:val="00912A92"/>
    <w:rsid w:val="00925B8D"/>
    <w:rsid w:val="009873AA"/>
    <w:rsid w:val="00A16113"/>
    <w:rsid w:val="00AE2C34"/>
    <w:rsid w:val="00AE54E8"/>
    <w:rsid w:val="00B549B5"/>
    <w:rsid w:val="00B708F2"/>
    <w:rsid w:val="00B93EB2"/>
    <w:rsid w:val="00BA2502"/>
    <w:rsid w:val="00BB6274"/>
    <w:rsid w:val="00D2711B"/>
    <w:rsid w:val="00D32C29"/>
    <w:rsid w:val="00DA0B11"/>
    <w:rsid w:val="00DD54AE"/>
    <w:rsid w:val="00DE0DBD"/>
    <w:rsid w:val="00E7738D"/>
    <w:rsid w:val="00E94CC7"/>
    <w:rsid w:val="00E9592E"/>
    <w:rsid w:val="00EA3D7D"/>
    <w:rsid w:val="00F11DE7"/>
    <w:rsid w:val="00F82681"/>
    <w:rsid w:val="00F97753"/>
    <w:rsid w:val="25426047"/>
    <w:rsid w:val="28BC03AC"/>
    <w:rsid w:val="36437C97"/>
    <w:rsid w:val="3B5975D2"/>
    <w:rsid w:val="3CCF7CA4"/>
    <w:rsid w:val="3E922025"/>
    <w:rsid w:val="3F352082"/>
    <w:rsid w:val="43F26D25"/>
    <w:rsid w:val="46373DF5"/>
    <w:rsid w:val="499424FF"/>
    <w:rsid w:val="50565A4C"/>
    <w:rsid w:val="5CD42F17"/>
    <w:rsid w:val="6A3C1987"/>
    <w:rsid w:val="6E7550DD"/>
    <w:rsid w:val="6EA515A0"/>
    <w:rsid w:val="799744E8"/>
    <w:rsid w:val="7F1B4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14</TotalTime>
  <ScaleCrop>false</ScaleCrop>
  <LinksUpToDate>false</LinksUpToDate>
  <CharactersWithSpaces>1018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2023-11-14T05:00:12Z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FA05C68B7E93432D81FB8062E79920CA</vt:lpwstr>
  </property>
</Properties>
</file>