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1782" w14:textId="77777777" w:rsidR="00B25C95" w:rsidRDefault="00AE360C">
      <w:pPr>
        <w:spacing w:line="360" w:lineRule="auto"/>
        <w:jc w:val="center"/>
        <w:rPr>
          <w:rFonts w:ascii="宋体" w:eastAsia="宋体" w:hAnsi="宋体"/>
          <w:b/>
          <w:sz w:val="44"/>
          <w:szCs w:val="44"/>
        </w:rPr>
      </w:pPr>
      <w:r>
        <w:rPr>
          <w:rFonts w:ascii="宋体" w:eastAsia="宋体" w:hAnsi="宋体" w:hint="eastAsia"/>
          <w:b/>
          <w:sz w:val="44"/>
          <w:szCs w:val="44"/>
        </w:rPr>
        <w:t>保定市徐水区市场监督管理局</w:t>
      </w:r>
    </w:p>
    <w:p w14:paraId="46DCC1D3" w14:textId="77777777" w:rsidR="00B25C95" w:rsidRDefault="00AE360C">
      <w:pPr>
        <w:spacing w:line="360" w:lineRule="auto"/>
        <w:jc w:val="center"/>
        <w:rPr>
          <w:rFonts w:ascii="宋体" w:eastAsia="宋体" w:hAnsi="宋体"/>
          <w:b/>
          <w:sz w:val="44"/>
          <w:szCs w:val="44"/>
        </w:rPr>
      </w:pPr>
      <w:r>
        <w:rPr>
          <w:rFonts w:ascii="宋体" w:eastAsia="宋体" w:hAnsi="宋体"/>
          <w:b/>
          <w:sz w:val="44"/>
          <w:szCs w:val="44"/>
        </w:rPr>
        <w:t>2021</w:t>
      </w:r>
      <w:r>
        <w:rPr>
          <w:rFonts w:ascii="宋体" w:eastAsia="宋体" w:hAnsi="宋体"/>
          <w:b/>
          <w:sz w:val="44"/>
          <w:szCs w:val="44"/>
        </w:rPr>
        <w:t>年部门预算公开说明</w:t>
      </w:r>
    </w:p>
    <w:p w14:paraId="1E048F33" w14:textId="77777777" w:rsidR="00B25C95" w:rsidRDefault="00AE360C">
      <w:pPr>
        <w:tabs>
          <w:tab w:val="left" w:pos="5274"/>
        </w:tabs>
        <w:spacing w:line="360" w:lineRule="auto"/>
        <w:ind w:firstLineChars="200" w:firstLine="640"/>
        <w:rPr>
          <w:rFonts w:ascii="仿宋" w:eastAsia="仿宋" w:hAnsi="仿宋"/>
          <w:sz w:val="32"/>
          <w:szCs w:val="32"/>
        </w:rPr>
      </w:pPr>
      <w:r>
        <w:rPr>
          <w:rFonts w:ascii="仿宋" w:eastAsia="仿宋" w:hAnsi="仿宋"/>
          <w:sz w:val="32"/>
          <w:szCs w:val="32"/>
        </w:rPr>
        <w:tab/>
      </w:r>
    </w:p>
    <w:p w14:paraId="2FF65F4F" w14:textId="66AF07F5" w:rsidR="00B25C95" w:rsidRDefault="00AE360C">
      <w:pPr>
        <w:spacing w:line="360" w:lineRule="auto"/>
        <w:ind w:firstLineChars="200" w:firstLine="640"/>
        <w:rPr>
          <w:rFonts w:ascii="仿宋" w:eastAsia="仿宋" w:hAnsi="仿宋"/>
          <w:sz w:val="32"/>
          <w:szCs w:val="32"/>
        </w:rPr>
      </w:pPr>
      <w:r>
        <w:rPr>
          <w:rFonts w:ascii="仿宋" w:eastAsia="仿宋" w:hAnsi="仿宋" w:hint="eastAsia"/>
          <w:sz w:val="32"/>
          <w:szCs w:val="32"/>
        </w:rPr>
        <w:t>按照</w:t>
      </w:r>
      <w:r w:rsidR="00A03BAE" w:rsidRPr="00A03BAE">
        <w:rPr>
          <w:rFonts w:ascii="仿宋" w:eastAsia="仿宋" w:hAnsi="仿宋" w:hint="eastAsia"/>
          <w:sz w:val="32"/>
          <w:szCs w:val="32"/>
        </w:rPr>
        <w:t>《中华人民共和国预算法》</w:t>
      </w:r>
      <w:r>
        <w:rPr>
          <w:rFonts w:ascii="仿宋" w:eastAsia="仿宋" w:hAnsi="仿宋" w:hint="eastAsia"/>
          <w:sz w:val="32"/>
          <w:szCs w:val="32"/>
        </w:rPr>
        <w:t>、《地方预决算公开操作规程》等文件规定，现将</w:t>
      </w:r>
      <w:proofErr w:type="gramStart"/>
      <w:r>
        <w:rPr>
          <w:rFonts w:ascii="仿宋" w:eastAsia="仿宋" w:hAnsi="仿宋" w:hint="eastAsia"/>
          <w:sz w:val="32"/>
          <w:szCs w:val="32"/>
        </w:rPr>
        <w:t>我部门</w:t>
      </w:r>
      <w:proofErr w:type="gramEnd"/>
      <w:r>
        <w:rPr>
          <w:rFonts w:ascii="仿宋" w:eastAsia="仿宋" w:hAnsi="仿宋" w:hint="eastAsia"/>
          <w:sz w:val="32"/>
          <w:szCs w:val="32"/>
        </w:rPr>
        <w:t>预算信息公开如下：</w:t>
      </w:r>
    </w:p>
    <w:p w14:paraId="19B333FE"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t>第一部分</w:t>
      </w:r>
      <w:r>
        <w:rPr>
          <w:rFonts w:ascii="方正小标宋_GBK" w:eastAsia="方正小标宋_GBK"/>
          <w:sz w:val="44"/>
        </w:rPr>
        <w:t>:</w:t>
      </w:r>
      <w:r>
        <w:rPr>
          <w:rFonts w:ascii="方正小标宋_GBK" w:eastAsia="方正小标宋_GBK"/>
          <w:sz w:val="44"/>
        </w:rPr>
        <w:t>部门职责及机构设置情况</w:t>
      </w:r>
    </w:p>
    <w:p w14:paraId="0ADE4608" w14:textId="77777777" w:rsidR="00B25C95" w:rsidRDefault="00AE360C">
      <w:pPr>
        <w:spacing w:line="360" w:lineRule="auto"/>
        <w:ind w:firstLineChars="200" w:firstLine="643"/>
        <w:rPr>
          <w:rFonts w:ascii="仿宋" w:eastAsia="仿宋" w:hAnsi="仿宋"/>
          <w:b/>
          <w:sz w:val="32"/>
          <w:szCs w:val="32"/>
        </w:rPr>
      </w:pPr>
      <w:r>
        <w:rPr>
          <w:rFonts w:ascii="仿宋" w:eastAsia="仿宋" w:hAnsi="仿宋" w:hint="eastAsia"/>
          <w:b/>
          <w:sz w:val="32"/>
          <w:szCs w:val="32"/>
        </w:rPr>
        <w:t>一、部门职责</w:t>
      </w:r>
    </w:p>
    <w:p w14:paraId="0C316193" w14:textId="77777777" w:rsidR="00B25C95" w:rsidRDefault="00AE360C">
      <w:pPr>
        <w:spacing w:line="500" w:lineRule="exact"/>
        <w:ind w:firstLineChars="200" w:firstLine="560"/>
        <w:jc w:val="left"/>
        <w:rPr>
          <w:rFonts w:ascii="Times New Roman" w:eastAsia="宋体" w:hAnsi="宋体"/>
          <w:sz w:val="28"/>
        </w:rPr>
      </w:pPr>
      <w:r>
        <w:rPr>
          <w:rFonts w:ascii="Times New Roman" w:eastAsia="方正仿宋_GBK" w:hint="eastAsia"/>
          <w:sz w:val="28"/>
        </w:rPr>
        <w:t>根据《保定市徐水区市场监督管理局职能配置、内设机构和人员编制规定》，</w:t>
      </w:r>
      <w:r>
        <w:rPr>
          <w:rFonts w:ascii="Times New Roman" w:eastAsia="方正仿宋_GBK"/>
          <w:sz w:val="28"/>
        </w:rPr>
        <w:t xml:space="preserve"> </w:t>
      </w:r>
      <w:r>
        <w:rPr>
          <w:rFonts w:ascii="Times New Roman" w:eastAsia="方正仿宋_GBK"/>
          <w:sz w:val="28"/>
        </w:rPr>
        <w:t>保定市徐水区市场监督管理局的主要职责是：</w:t>
      </w:r>
    </w:p>
    <w:p w14:paraId="5D78EE83"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保定市徐水区市场监督管理局（简称区市场监督管理局）是区政府工作部门，为正科级，加挂保定市徐水区知识产权局牌子。</w:t>
      </w:r>
    </w:p>
    <w:p w14:paraId="0362F494"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贯彻落实党中央、省委、市委、区委关于市场监督管理工作的方针政策和决策部署，坚持和加强党对市场监督管理工作的集中统一领导。主要职责是：</w:t>
      </w:r>
    </w:p>
    <w:p w14:paraId="064D9534"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（一）负责全区市场综合监督管理。贯彻执行国家和省、市、区有关市场监督管理的法律法规和方针政策；组</w:t>
      </w:r>
      <w:r>
        <w:rPr>
          <w:rFonts w:ascii="Times New Roman" w:eastAsia="方正仿宋_GBK"/>
          <w:sz w:val="28"/>
        </w:rPr>
        <w:lastRenderedPageBreak/>
        <w:t>织实施质量强区战略、食品安全战略、标准化战略、知识产权战略；落实市市场监督管理局、市政府食品安全委员会办公室工作部署；拟订全区市场监督管理方面的政策、规定和规划，并组织实</w:t>
      </w:r>
      <w:r>
        <w:rPr>
          <w:rFonts w:ascii="Times New Roman" w:eastAsia="方正仿宋_GBK"/>
          <w:sz w:val="28"/>
        </w:rPr>
        <w:t>施；规范和维护市场秩序，营造诚实守信、公平竞争的市场环境。</w:t>
      </w:r>
    </w:p>
    <w:p w14:paraId="6961B1A6"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14:paraId="63E90B43"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pict w14:anchorId="1D903C21">
          <v:shapetype id="_x0000_t202" coordsize="21600,21600" o:spt="202" path="m,l,21600r21600,l21600,xe">
            <v:stroke joinstyle="miter"/>
            <v:path gradientshapeok="t" o:connecttype="rect"/>
          </v:shapetype>
          <v:shape id="_tx_id_1_" o:spid="_x0000_s1026" type="#_x0000_t202" style="position:absolute;left:0;text-align:left;margin-left:161.55pt;margin-top:27.95pt;width:23.45pt;height:24.5pt;z-index:251660288;mso-wrap-distance-left:0;mso-wrap-distance-top:0;mso-wrap-distance-right:0;mso-wrap-distance-bottom:0;mso-width-relative:page;mso-height-relative:page" stroked="f">
            <v:textbox>
              <w:txbxContent>
                <w:p w14:paraId="4203A06C" w14:textId="77777777" w:rsidR="00B25C95" w:rsidRDefault="00B25C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14:paraId="7E6200FF"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（四）负责全区消费者权益保护。负责处理与市场监督管理相关的咨询、投诉、举报，组织开</w:t>
      </w:r>
      <w:r>
        <w:rPr>
          <w:rFonts w:ascii="Times New Roman" w:eastAsia="方正仿宋_GBK"/>
          <w:sz w:val="28"/>
        </w:rPr>
        <w:t>展有关服务领域消费维权工作；依法查处侵害消费者权益的违法行为；建立完善消费者权益保护网络体系，保护消费者、经营者合法权益。指导区消费者协会开展消费维权工作。</w:t>
      </w:r>
    </w:p>
    <w:p w14:paraId="10CD39EA"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（五）负责反垄断统一执法。组织推进竞争政策实施，指导实施公平竞争审查制度。依法对经营者集中行为进行反垄断审查，负责垄断协议、滥用市场支配地位和滥用行政权力排除、限制竞争等反垄断执法工作。</w:t>
      </w:r>
    </w:p>
    <w:p w14:paraId="2C33827A"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lastRenderedPageBreak/>
        <w:t>（六）负责全区宏观质量管理。拟订并组织实施全区质量发展的制度措施。会同有关部门组织实施重大工程设备质量监理制度，按职责范围组织产品质量事故调查，组织实施缺陷产品召回制</w:t>
      </w:r>
      <w:r>
        <w:rPr>
          <w:rFonts w:ascii="Times New Roman" w:eastAsia="方正仿宋_GBK"/>
          <w:sz w:val="28"/>
        </w:rPr>
        <w:t>度，监督管理产品防伪工作。</w:t>
      </w:r>
    </w:p>
    <w:p w14:paraId="4F214C33"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pict w14:anchorId="415F774F">
          <v:shape id="_tx_id_2_" o:spid="_x0000_s1027" type="#_x0000_t202" style="position:absolute;left:0;text-align:left;margin-left:166.05pt;margin-top:83.1pt;width:21.75pt;height:22.5pt;z-index:251661312;mso-wrap-distance-left:0;mso-wrap-distance-top:0;mso-wrap-distance-right:0;mso-wrap-distance-bottom:0;mso-width-relative:page;mso-height-relative:page" stroked="f">
            <v:textbox>
              <w:txbxContent>
                <w:p w14:paraId="2316302B" w14:textId="77777777" w:rsidR="00B25C95" w:rsidRDefault="00B25C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七）负责产品质量安全监督管理工作。组织开展辖区内产品质量监督抽查等工作；负责辖区内工业产品生产许可证管理和纤维产品质量监督检验工作；组织开展产品质量安全专项整治工作，依法查处产品质量违法行为；按分工打击假冒伪劣违法活动，组织协调辖区内有关专项打假活动。</w:t>
      </w:r>
    </w:p>
    <w:p w14:paraId="4B751E1D"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（八）负责全区特种设备安全监督管理。承担本行政区域内特种设备安全监察、监督工作，监督检查高耗能特种设备节能标准和锅炉环境保护标准的执行情况。</w:t>
      </w:r>
    </w:p>
    <w:p w14:paraId="6711135A"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（九）负责食品安全监督管理综合协调。承担区政府食品安全委员会日常工作；组织制定全区食品安全重大政策并组织实施。负责</w:t>
      </w:r>
      <w:r>
        <w:rPr>
          <w:rFonts w:ascii="Times New Roman" w:eastAsia="方正仿宋_GBK"/>
          <w:sz w:val="28"/>
        </w:rPr>
        <w:t>食品药品安全监督管理综合协调，推动健全食品安全地方党政同责和跨部门协调联动机制，督促检查乡镇和有关部门履行食品药品安全监督管理职责并负责考核评价。负责食品安全应急体系建设，组织指导全区重大食品安全事件应急处置和调查处理工作，建立健全食品安全信息统一公布和重要信息直报制度。</w:t>
      </w:r>
    </w:p>
    <w:p w14:paraId="15205537"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十）负责食品安全监督管理。建立覆盖食品（含食品添加剂、保健食品、酒类、调味品，下同）生产、流通、消费全过程的监督检查制度和隐患排查治理机制并组织实施，防范区域性、系统性食品安全风险。推动建立食品生产经营者落实主体责任的机制，健全食品安全</w:t>
      </w:r>
      <w:r>
        <w:rPr>
          <w:rFonts w:ascii="Times New Roman" w:eastAsia="方正仿宋_GBK"/>
          <w:sz w:val="28"/>
        </w:rPr>
        <w:t>追溯体系。建立完善食品安全隐患排查治理机制；制定食品安全检查年度计划、重大整顿治理方案并组织落实。参与食品安全风险监测，组织开展食品安全监督抽检、核查处置和风险预警、风险交流工作。按职责分工组织实施特殊食品监督管理。组织指导重大活动食品安全保障。</w:t>
      </w:r>
    </w:p>
    <w:p w14:paraId="1471D994"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lastRenderedPageBreak/>
        <w:pict w14:anchorId="0670E9D2">
          <v:shape id="_tx_id_3_" o:spid="_x0000_s1028" type="#_x0000_t202" style="position:absolute;left:0;text-align:left;margin-left:159.3pt;margin-top:51.15pt;width:21.75pt;height:22.5pt;z-index:251662336;mso-wrap-distance-left:0;mso-wrap-distance-top:0;mso-wrap-distance-right:0;mso-wrap-distance-bottom:0;mso-width-relative:page;mso-height-relative:page" stroked="f">
            <v:textbox>
              <w:txbxContent>
                <w:p w14:paraId="06B4EDE1" w14:textId="77777777" w:rsidR="00B25C95" w:rsidRDefault="00B25C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（十一）负责药品（含中药、民族药，下同）、医疗器械和化妆品的质量管理工作。依法查处药品、医疗器械和化妆品生产环节的违法行为。贯彻执行</w:t>
      </w:r>
      <w:r>
        <w:rPr>
          <w:rFonts w:ascii="Times New Roman" w:eastAsia="方正仿宋_GBK" w:hint="eastAsia"/>
          <w:sz w:val="28"/>
        </w:rPr>
        <w:t>国</w:t>
      </w:r>
      <w:r>
        <w:rPr>
          <w:rFonts w:ascii="Times New Roman" w:eastAsia="方正仿宋_GBK"/>
          <w:sz w:val="28"/>
        </w:rPr>
        <w:t>家药品、医疗器械和化妆品法律法规。负责监督实施国家药品、医疗器械和化妆品标准和质量管理规范，组织落实分类管理制度。配合实施</w:t>
      </w:r>
      <w:r>
        <w:rPr>
          <w:rFonts w:ascii="Times New Roman" w:eastAsia="方正仿宋_GBK"/>
          <w:sz w:val="28"/>
        </w:rPr>
        <w:t>国家基本药物制度。组织实施中药饮片炮制规范。建立药品不良反应、医疗器械不良事件和药物滥用监测体系，并开展监测和处置工作；负责化妆品的监督管理和不良反应监测的管理。负责制定药品、医疗器械、化妆品监督管理的稽查制度并组织实施，组织查处重大违法行为；监督实施问题产品召回和处置制度。依法承担药品、医疗器械和化妆品安全应急管理工作。配合实施国家基本药物制度。</w:t>
      </w:r>
    </w:p>
    <w:p w14:paraId="6EB4B7E3"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（十二）负责监督管理标准化工作。配合市局依法组织制定区域内市级地方标准。宣传贯彻强制性、推荐性国家标准和行业标准、地方标准。依法协调指导和监督团体标准、企业标准</w:t>
      </w:r>
      <w:r>
        <w:rPr>
          <w:rFonts w:ascii="Times New Roman" w:eastAsia="方正仿宋_GBK"/>
          <w:sz w:val="28"/>
        </w:rPr>
        <w:t>制定工作。协助开展标准化合作，组织开展采用国际标准工作。</w:t>
      </w:r>
    </w:p>
    <w:p w14:paraId="25FF775A"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十三）负责计量工作。推行法定计量单位和国家计量制度，管理和监督地方计量标准和标准物质，依法管理计量器具；组织本地量值传递和比对工作，监督管理商品量、市场计量行为；组织开展能源计量、能效标识监督管理工作。</w:t>
      </w:r>
    </w:p>
    <w:p w14:paraId="54928326"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（十四）负责认证认可工作。依法对本辖区内实验室和检验机构进行监督管理；对认证认可相关的社会中介服务机构实施监督管理；协调和监督强制性认证和自愿认证工作，引导企业按国际惯例进行各种认证。</w:t>
      </w:r>
    </w:p>
    <w:p w14:paraId="13BE1F46"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pict w14:anchorId="34C6C1C8">
          <v:shape id="_tx_id_4_" o:spid="_x0000_s1029" type="#_x0000_t202" style="position:absolute;left:0;text-align:left;margin-left:159.85pt;margin-top:81.7pt;width:21.75pt;height:22.5pt;z-index:251663360;mso-wrap-distance-left:0;mso-wrap-distance-top:0;mso-wrap-distance-right:0;mso-wrap-distance-bottom:0;mso-width-relative:page;mso-height-relative:page" stroked="f">
            <v:textbox>
              <w:txbxContent>
                <w:p w14:paraId="0782132D" w14:textId="77777777" w:rsidR="00B25C95" w:rsidRDefault="00B25C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（十五）负责保护知识产权。拟订严格保护商标、专利、原产</w:t>
      </w:r>
      <w:r>
        <w:rPr>
          <w:rFonts w:ascii="Times New Roman" w:eastAsia="方正仿宋_GBK"/>
          <w:sz w:val="28"/>
        </w:rPr>
        <w:t>地地理标志、集成电路布图设计等知识产权地方</w:t>
      </w:r>
      <w:r>
        <w:rPr>
          <w:rFonts w:ascii="Times New Roman" w:eastAsia="方正仿宋_GBK"/>
          <w:sz w:val="28"/>
        </w:rPr>
        <w:lastRenderedPageBreak/>
        <w:t>性法规、规章草案并监督实施。按照国家知识产权保护体系建设方案，推动建设知识产权保护体系。负责开展商标、专利执法工作，负责知识产权争议处理、维权援助和纠纷调处工作。拟订知识产权运用和规范交易的政策，促进知识产权转移转化。负责建立知识产权公共服务体系。推动商标、专利等知识产权信息的传播利用。负责知识产权宣传、人才培训工作。组织实施原产地地理标志统一认定制度。</w:t>
      </w:r>
    </w:p>
    <w:p w14:paraId="7FC28B6E"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（十六）负责指导和监督规范行政执法行为，推动法制建设，完善行政执法与刑事司法衔接机制。</w:t>
      </w:r>
    </w:p>
    <w:p w14:paraId="656BF458"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（十七）负责全区市场监督</w:t>
      </w:r>
      <w:r>
        <w:rPr>
          <w:rFonts w:ascii="Times New Roman" w:eastAsia="方正仿宋_GBK"/>
          <w:sz w:val="28"/>
        </w:rPr>
        <w:t>管理科技和信息化建设、新闻宣传、对外交流与合作。</w:t>
      </w:r>
    </w:p>
    <w:p w14:paraId="7989B7B2"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（十八）承办区委、区政府交办的其他任务。</w:t>
      </w:r>
    </w:p>
    <w:p w14:paraId="33591ECD"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转变职能：</w:t>
      </w:r>
    </w:p>
    <w:p w14:paraId="7CFF711D"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一）大力推进质量提升。加强全面质量管理和全区质量基础设施体系建设，完善质量激励制度，推进品牌建设。组织实施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w:t>
      </w:r>
      <w:proofErr w:type="gramStart"/>
      <w:r>
        <w:rPr>
          <w:rFonts w:ascii="Times New Roman" w:eastAsia="方正仿宋_GBK"/>
          <w:sz w:val="28"/>
        </w:rPr>
        <w:t>标国际国内提高</w:t>
      </w:r>
      <w:proofErr w:type="gramEnd"/>
      <w:r>
        <w:rPr>
          <w:rFonts w:ascii="Times New Roman" w:eastAsia="方正仿宋_GBK"/>
          <w:sz w:val="28"/>
        </w:rPr>
        <w:t>区内标准整体水平，以标准化促进质量强区建设。</w:t>
      </w:r>
    </w:p>
    <w:p w14:paraId="6EA37326"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二）深入推进简政放权。</w:t>
      </w:r>
      <w:proofErr w:type="gramStart"/>
      <w:r>
        <w:rPr>
          <w:rFonts w:ascii="Times New Roman" w:eastAsia="方正仿宋_GBK"/>
          <w:sz w:val="28"/>
        </w:rPr>
        <w:t>深化商</w:t>
      </w:r>
      <w:proofErr w:type="gramEnd"/>
      <w:r>
        <w:rPr>
          <w:rFonts w:ascii="Times New Roman" w:eastAsia="方正仿宋_GBK"/>
          <w:sz w:val="28"/>
        </w:rPr>
        <w:t>事</w:t>
      </w:r>
      <w:r>
        <w:rPr>
          <w:rFonts w:ascii="Times New Roman" w:eastAsia="方正仿宋_GBK"/>
          <w:sz w:val="28"/>
        </w:rPr>
        <w:t>制度改革，贯彻落实法律、法规和规章等各项改革政策。加快检验检测机构市场化社会化改革。进一步减少评比达标、认定奖励、示范创建等活动，减少行政审批事项，落实工业产品生产许可证的大幅压减，促进优化营商环境。贯彻落实国家进一步放宽知识产权服务业准入相关政策，扩大专利代理领域开放，大力培育知识产权品牌服务机构，改善服务质量。</w:t>
      </w:r>
    </w:p>
    <w:p w14:paraId="0F855E56"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lastRenderedPageBreak/>
        <w:pict w14:anchorId="4804DABD">
          <v:shape id="_tx_id_5_" o:spid="_x0000_s1030" type="#_x0000_t202" style="position:absolute;left:0;text-align:left;margin-left:158.55pt;margin-top:14.8pt;width:23.45pt;height:24.5pt;z-index:251664384;mso-wrap-distance-left:0;mso-wrap-distance-top:0;mso-wrap-distance-right:0;mso-wrap-distance-bottom:0;mso-width-relative:page;mso-height-relative:page" stroked="f">
            <v:textbox>
              <w:txbxContent>
                <w:p w14:paraId="6D783057" w14:textId="77777777" w:rsidR="00B25C95" w:rsidRDefault="00B25C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 xml:space="preserve"> (</w:t>
      </w:r>
      <w:r>
        <w:rPr>
          <w:rFonts w:ascii="Times New Roman" w:eastAsia="方正仿宋_GBK"/>
          <w:sz w:val="28"/>
        </w:rPr>
        <w:t>三）严守安全底线。遵循</w:t>
      </w:r>
      <w:r>
        <w:rPr>
          <w:rFonts w:ascii="Times New Roman" w:eastAsia="方正仿宋_GBK"/>
          <w:sz w:val="28"/>
        </w:rPr>
        <w:t>“</w:t>
      </w:r>
      <w:r>
        <w:rPr>
          <w:rFonts w:ascii="Times New Roman" w:eastAsia="方正仿宋_GBK"/>
          <w:sz w:val="28"/>
        </w:rPr>
        <w:t>最严谨的标准、最严格的监管、最严厉的处罚、最严肃的问责</w:t>
      </w:r>
      <w:r>
        <w:rPr>
          <w:rFonts w:ascii="Times New Roman" w:eastAsia="方正仿宋_GBK"/>
          <w:sz w:val="28"/>
        </w:rPr>
        <w:t>”</w:t>
      </w:r>
      <w:r>
        <w:rPr>
          <w:rFonts w:ascii="Times New Roman" w:eastAsia="方正仿宋_GBK"/>
          <w:sz w:val="28"/>
        </w:rPr>
        <w:t>要求，依法加强食品药品安全、工业产品质量安全、特种设备安全监管，强化现场检查，严惩违法违规行为，有效防范系统性风险，让人民群众买得放心、用得放心、吃得放心。</w:t>
      </w:r>
    </w:p>
    <w:p w14:paraId="0A80C184"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四）加强事中事后监管。加强对商标抢注、非正常专利申请等行为的信用监管，规范商标注册和专利申请行为，维护权利人合法权益。强化依据标准监管，强化风险管理，全面推行</w:t>
      </w:r>
      <w:r>
        <w:rPr>
          <w:rFonts w:ascii="Times New Roman" w:eastAsia="方正仿宋_GBK"/>
          <w:sz w:val="28"/>
        </w:rPr>
        <w:t>“</w:t>
      </w:r>
      <w:r>
        <w:rPr>
          <w:rFonts w:ascii="Times New Roman" w:eastAsia="方正仿宋_GBK"/>
          <w:sz w:val="28"/>
        </w:rPr>
        <w:t>双随机、</w:t>
      </w:r>
      <w:proofErr w:type="gramStart"/>
      <w:r>
        <w:rPr>
          <w:rFonts w:ascii="Times New Roman" w:eastAsia="方正仿宋_GBK"/>
          <w:sz w:val="28"/>
        </w:rPr>
        <w:t>一</w:t>
      </w:r>
      <w:proofErr w:type="gramEnd"/>
      <w:r>
        <w:rPr>
          <w:rFonts w:ascii="Times New Roman" w:eastAsia="方正仿宋_GBK"/>
          <w:sz w:val="28"/>
        </w:rPr>
        <w:t>公开</w:t>
      </w:r>
      <w:r>
        <w:rPr>
          <w:rFonts w:ascii="Times New Roman" w:eastAsia="方正仿宋_GBK"/>
          <w:sz w:val="28"/>
        </w:rPr>
        <w:t>”</w:t>
      </w:r>
      <w:r>
        <w:rPr>
          <w:rFonts w:ascii="Times New Roman" w:eastAsia="方正仿宋_GBK"/>
          <w:sz w:val="28"/>
        </w:rPr>
        <w:t>和</w:t>
      </w:r>
      <w:r>
        <w:rPr>
          <w:rFonts w:ascii="Times New Roman" w:eastAsia="方正仿宋_GBK"/>
          <w:sz w:val="28"/>
        </w:rPr>
        <w:t>“</w:t>
      </w:r>
      <w:r>
        <w:rPr>
          <w:rFonts w:ascii="Times New Roman" w:eastAsia="方正仿宋_GBK"/>
          <w:sz w:val="28"/>
        </w:rPr>
        <w:t>互联网</w:t>
      </w:r>
      <w:r>
        <w:rPr>
          <w:rFonts w:ascii="Times New Roman" w:eastAsia="方正仿宋_GBK"/>
          <w:sz w:val="28"/>
        </w:rPr>
        <w:t>+</w:t>
      </w:r>
      <w:r>
        <w:rPr>
          <w:rFonts w:ascii="Times New Roman" w:eastAsia="方正仿宋_GBK"/>
          <w:sz w:val="28"/>
        </w:rPr>
        <w:t>监管</w:t>
      </w:r>
      <w:r>
        <w:rPr>
          <w:rFonts w:ascii="Times New Roman" w:eastAsia="方正仿宋_GBK"/>
          <w:sz w:val="28"/>
        </w:rPr>
        <w:t>”</w:t>
      </w:r>
      <w:r>
        <w:rPr>
          <w:rFonts w:ascii="Times New Roman" w:eastAsia="方正仿宋_GBK"/>
          <w:sz w:val="28"/>
        </w:rPr>
        <w:t>，加快推进监管信息共享，构建以信息公示为手段、以信用监管为核心的新型市场监</w:t>
      </w:r>
      <w:r>
        <w:rPr>
          <w:rFonts w:ascii="Times New Roman" w:eastAsia="方正仿宋_GBK"/>
          <w:sz w:val="28"/>
        </w:rPr>
        <w:t>管体系。</w:t>
      </w:r>
    </w:p>
    <w:p w14:paraId="088CA83E"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sz w:val="28"/>
        </w:rPr>
        <w:t>五）提高服务水平。加快整合消费者投诉、质量监督举报、食品药品投诉、知识产权投诉、价格举报专线。主动服务新技术新产业新</w:t>
      </w:r>
      <w:proofErr w:type="gramStart"/>
      <w:r>
        <w:rPr>
          <w:rFonts w:ascii="Times New Roman" w:eastAsia="方正仿宋_GBK"/>
          <w:sz w:val="28"/>
        </w:rPr>
        <w:t>业态新模式</w:t>
      </w:r>
      <w:proofErr w:type="gramEnd"/>
      <w:r>
        <w:rPr>
          <w:rFonts w:ascii="Times New Roman" w:eastAsia="方正仿宋_GBK"/>
          <w:sz w:val="28"/>
        </w:rPr>
        <w:t>发展，运用大数据加强对市场主体服务，积极服务个体工商户、私营企业和办事群众，促进大众创业、万众创新。</w:t>
      </w:r>
    </w:p>
    <w:p w14:paraId="171F0A59"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有关职责分工：</w:t>
      </w:r>
    </w:p>
    <w:p w14:paraId="1CDCB82C"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pict w14:anchorId="7D4870A1">
          <v:shape id="_tx_id_6_" o:spid="_x0000_s1031" type="#_x0000_t202" style="position:absolute;left:0;text-align:left;margin-left:166.6pt;margin-top:219.65pt;width:23.45pt;height:24.5pt;z-index:251665408;mso-wrap-distance-left:0;mso-wrap-distance-top:0;mso-wrap-distance-right:0;mso-wrap-distance-bottom:0;mso-width-relative:page;mso-height-relative:page" stroked="f">
            <v:textbox>
              <w:txbxContent>
                <w:p w14:paraId="4DBF6339" w14:textId="77777777" w:rsidR="00B25C95" w:rsidRDefault="00B25C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一）与区卫生健康局的有关职责分工。区卫生健康局对通过食品安全风险监测发现食品可能存在安全隐患的，应当立即组织进行检验，并及时向区市场监督管理局等部门通报有关信息。区市场监督管理局等部门应当开展进一步调查。区卫生健康局、区市场监督管理局等部门应当相</w:t>
      </w:r>
      <w:r>
        <w:rPr>
          <w:rFonts w:ascii="Times New Roman" w:eastAsia="方正仿宋_GBK"/>
          <w:sz w:val="28"/>
        </w:rPr>
        <w:t>互通报获知的食品安全信息。建立重大药品不良反应、医疗器械不良事件相互通报和联合处置机制。食品安全突发事件发生后，区卫生健康局迅速组织当地医疗资源和力量，对食品安全突发事件患者进行医学救援，及时组织开展对现场进行卫生处理，并对与事件有关的因素开展流行病学调查，完成流行病学调查报告。区市场监督管理局依法封存可能导致食品安全突发事件的食品及其原料和被污染的</w:t>
      </w:r>
      <w:r>
        <w:rPr>
          <w:rFonts w:ascii="Times New Roman" w:eastAsia="方正仿宋_GBK"/>
          <w:sz w:val="28"/>
        </w:rPr>
        <w:lastRenderedPageBreak/>
        <w:t>食品相关产品；依法封存涉事相关场所以及用于食品生产经营的工具、设备，待有关调查工作结束后，责令彻底清洗消毒被污染的场所以及用于食品生产经营的工具、设备，消除污染</w:t>
      </w:r>
      <w:r>
        <w:rPr>
          <w:rFonts w:ascii="Times New Roman" w:eastAsia="方正仿宋_GBK"/>
          <w:sz w:val="28"/>
        </w:rPr>
        <w:t>。</w:t>
      </w:r>
    </w:p>
    <w:p w14:paraId="5A924088"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（二）与区工信局的有关职责分工。工信局负责制定药品流通发展规划和政策。市场监督管理部门负责药品生产流通的监督管理，配合执行药品流通发展规划和政策。</w:t>
      </w:r>
    </w:p>
    <w:p w14:paraId="37C2855D"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三）与区公安局的有关职责分工。市场监督管理局与区公安局建立行政执法和刑事司法工作衔接机制。市场监督管理部门发现违法行为涉嫌犯罪的，应当按照有关规定及时移送公安机关，公安机关应当迅速进行审查，并依法</w:t>
      </w:r>
      <w:proofErr w:type="gramStart"/>
      <w:r>
        <w:rPr>
          <w:rFonts w:ascii="Times New Roman" w:eastAsia="方正仿宋_GBK"/>
          <w:sz w:val="28"/>
        </w:rPr>
        <w:t>作出</w:t>
      </w:r>
      <w:proofErr w:type="gramEnd"/>
      <w:r>
        <w:rPr>
          <w:rFonts w:ascii="Times New Roman" w:eastAsia="方正仿宋_GBK"/>
          <w:sz w:val="28"/>
        </w:rPr>
        <w:t>立案或者不予立案的决定。公安机关依法提请市场监督管理部门</w:t>
      </w:r>
      <w:proofErr w:type="gramStart"/>
      <w:r>
        <w:rPr>
          <w:rFonts w:ascii="Times New Roman" w:eastAsia="方正仿宋_GBK"/>
          <w:sz w:val="28"/>
        </w:rPr>
        <w:t>作出</w:t>
      </w:r>
      <w:proofErr w:type="gramEnd"/>
      <w:r>
        <w:rPr>
          <w:rFonts w:ascii="Times New Roman" w:eastAsia="方正仿宋_GBK"/>
          <w:sz w:val="28"/>
        </w:rPr>
        <w:t>检验、鉴定、认定等协助的，市场监督管理部门应当予以协助。</w:t>
      </w:r>
    </w:p>
    <w:p w14:paraId="3C83001A"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四）与区农业农村局的职责分工。区农业农村局负责食用农产品从种植养殖环节到进入批发、零售市场或者生产加工企业前的质量安全监督管理，负责兽药、饲料、饲料添加剂和职责范围内的农药、肥料等其他农业投入品的质量及使用监督管理。食用农产品进入批发、零售市场或者生产加工企业后，由区市场监督管理局监督管理。区农业农村局负责动植物疫病防控、畜禽屠宰环节、生鲜乳收购环节质量安全的监督管理。两部门要建立食品安全产地准出、市场准入和追溯机制，加强协调配合和工作衔接，形成监管合力。</w:t>
      </w:r>
    </w:p>
    <w:p w14:paraId="08A7AB95"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pict w14:anchorId="5F15C6E0">
          <v:shape id="_tx_id_7_" o:spid="_x0000_s1032" type="#_x0000_t202" style="position:absolute;left:0;text-align:left;margin-left:159.15pt;margin-top:39.3pt;width:23.45pt;height:24.5pt;z-index:251666432;mso-wrap-distance-left:0;mso-wrap-distance-top:0;mso-wrap-distance-right:0;mso-wrap-distance-bottom:0;mso-width-relative:page;mso-height-relative:page" stroked="f">
            <v:textbox>
              <w:txbxContent>
                <w:p w14:paraId="56035A09" w14:textId="77777777" w:rsidR="00B25C95" w:rsidRDefault="00B25C9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pPr>
                </w:p>
              </w:txbxContent>
            </v:textbox>
            <w10:wrap type="square"/>
          </v:shape>
        </w:pict>
      </w:r>
      <w:r>
        <w:rPr>
          <w:rFonts w:ascii="Times New Roman" w:eastAsia="方正仿宋_GBK"/>
          <w:sz w:val="28"/>
        </w:rPr>
        <w:t>（五）与城市管理综合行政执法局的职责划分</w:t>
      </w:r>
      <w:r>
        <w:rPr>
          <w:rFonts w:ascii="Times New Roman" w:eastAsia="方正仿宋_GBK"/>
          <w:sz w:val="28"/>
        </w:rPr>
        <w:t>。城市管理综合行政执法局承担餐饮服务业油烟污染、露天烧烤污染、餐厨废弃物处理、户外公共场所无证无照经营、违规设置户外广告，违法回收贩卖药品、门前</w:t>
      </w:r>
      <w:r>
        <w:rPr>
          <w:rFonts w:ascii="Times New Roman" w:eastAsia="方正仿宋_GBK"/>
          <w:sz w:val="28"/>
        </w:rPr>
        <w:t>“</w:t>
      </w:r>
      <w:r>
        <w:rPr>
          <w:rFonts w:ascii="Times New Roman" w:eastAsia="方正仿宋_GBK"/>
          <w:sz w:val="28"/>
        </w:rPr>
        <w:t>三包</w:t>
      </w:r>
      <w:r>
        <w:rPr>
          <w:rFonts w:ascii="Times New Roman" w:eastAsia="方正仿宋_GBK"/>
          <w:sz w:val="28"/>
        </w:rPr>
        <w:t>”</w:t>
      </w:r>
      <w:r>
        <w:rPr>
          <w:rFonts w:ascii="Times New Roman" w:eastAsia="方正仿宋_GBK"/>
          <w:sz w:val="28"/>
        </w:rPr>
        <w:t>、食品流动摊贩的经营网点布局等职责。市场监管部门负责有</w:t>
      </w:r>
      <w:proofErr w:type="gramStart"/>
      <w:r>
        <w:rPr>
          <w:rFonts w:ascii="Times New Roman" w:eastAsia="方正仿宋_GBK"/>
          <w:sz w:val="28"/>
        </w:rPr>
        <w:t>固定门</w:t>
      </w:r>
      <w:proofErr w:type="gramEnd"/>
      <w:r>
        <w:rPr>
          <w:rFonts w:ascii="Times New Roman" w:eastAsia="方正仿宋_GBK"/>
          <w:sz w:val="28"/>
        </w:rPr>
        <w:t>店的食品药品经营监管。两部门要加强信</w:t>
      </w:r>
      <w:r>
        <w:rPr>
          <w:rFonts w:ascii="Times New Roman" w:eastAsia="方正仿宋_GBK"/>
          <w:sz w:val="28"/>
        </w:rPr>
        <w:lastRenderedPageBreak/>
        <w:t>息共享，组织协调，确保监管无盲区、无死角。</w:t>
      </w:r>
    </w:p>
    <w:p w14:paraId="236E2735"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（六）与区行政</w:t>
      </w:r>
      <w:proofErr w:type="gramStart"/>
      <w:r>
        <w:rPr>
          <w:rFonts w:ascii="Times New Roman" w:eastAsia="方正仿宋_GBK"/>
          <w:sz w:val="28"/>
        </w:rPr>
        <w:t>审批局</w:t>
      </w:r>
      <w:proofErr w:type="gramEnd"/>
      <w:r>
        <w:rPr>
          <w:rFonts w:ascii="Times New Roman" w:eastAsia="方正仿宋_GBK"/>
          <w:sz w:val="28"/>
        </w:rPr>
        <w:t>的有关职责划分。行政审批部门承担市场主体（内资）统一登记注册，指导各类企业、农民专业合作社和从事经营活动的单位、个体工商户等市场主体的登记注册职责；承担食品药品经营许可证的审批、变更等职责，深化</w:t>
      </w:r>
      <w:r>
        <w:rPr>
          <w:rFonts w:ascii="Times New Roman" w:eastAsia="方正仿宋_GBK"/>
          <w:sz w:val="28"/>
        </w:rPr>
        <w:t>“</w:t>
      </w:r>
      <w:r>
        <w:rPr>
          <w:rFonts w:ascii="Times New Roman" w:eastAsia="方正仿宋_GBK"/>
          <w:sz w:val="28"/>
        </w:rPr>
        <w:t>证照</w:t>
      </w:r>
      <w:r>
        <w:rPr>
          <w:rFonts w:ascii="Times New Roman" w:eastAsia="方正仿宋_GBK"/>
          <w:sz w:val="28"/>
        </w:rPr>
        <w:t>分离</w:t>
      </w:r>
      <w:r>
        <w:rPr>
          <w:rFonts w:ascii="Times New Roman" w:eastAsia="方正仿宋_GBK"/>
          <w:sz w:val="28"/>
        </w:rPr>
        <w:t>”</w:t>
      </w:r>
      <w:r>
        <w:rPr>
          <w:rFonts w:ascii="Times New Roman" w:eastAsia="方正仿宋_GBK"/>
          <w:sz w:val="28"/>
        </w:rPr>
        <w:t>改革，推动</w:t>
      </w:r>
      <w:r>
        <w:rPr>
          <w:rFonts w:ascii="Times New Roman" w:eastAsia="方正仿宋_GBK"/>
          <w:sz w:val="28"/>
        </w:rPr>
        <w:t>“</w:t>
      </w:r>
      <w:r>
        <w:rPr>
          <w:rFonts w:ascii="Times New Roman" w:eastAsia="方正仿宋_GBK"/>
          <w:sz w:val="28"/>
        </w:rPr>
        <w:t>照后减证</w:t>
      </w:r>
      <w:r>
        <w:rPr>
          <w:rFonts w:ascii="Times New Roman" w:eastAsia="方正仿宋_GBK"/>
          <w:sz w:val="28"/>
        </w:rPr>
        <w:t>”</w:t>
      </w:r>
      <w:r>
        <w:rPr>
          <w:rFonts w:ascii="Times New Roman" w:eastAsia="方正仿宋_GBK"/>
          <w:sz w:val="28"/>
        </w:rPr>
        <w:t>。市场监督管理部门承担市场主体登记注册后的事中事后监管职责。两部门要建立信息互通机制，落实</w:t>
      </w:r>
      <w:r>
        <w:rPr>
          <w:rFonts w:ascii="Times New Roman" w:eastAsia="方正仿宋_GBK"/>
          <w:sz w:val="28"/>
        </w:rPr>
        <w:t>“</w:t>
      </w:r>
      <w:r>
        <w:rPr>
          <w:rFonts w:ascii="Times New Roman" w:eastAsia="方正仿宋_GBK"/>
          <w:sz w:val="28"/>
        </w:rPr>
        <w:t>双告知</w:t>
      </w:r>
      <w:r>
        <w:rPr>
          <w:rFonts w:ascii="Times New Roman" w:eastAsia="方正仿宋_GBK"/>
          <w:sz w:val="28"/>
        </w:rPr>
        <w:t>”</w:t>
      </w:r>
      <w:r>
        <w:rPr>
          <w:rFonts w:ascii="Times New Roman" w:eastAsia="方正仿宋_GBK"/>
          <w:sz w:val="28"/>
        </w:rPr>
        <w:t>制度，实现有序衔接。</w:t>
      </w:r>
    </w:p>
    <w:p w14:paraId="53E2D8F2"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七）与教育体育局的有关职责分工。区教育体育局承担学校食品安全行政主管责任，将学校食品安全工作纳入工作计划，对师生和食堂从业人员开展食品安全知识教育和培训，督促学校严格落实食品安全主体责任，配合区市场监督管理局、区卫生健康委员会开展学校食品安全检查和调查处</w:t>
      </w:r>
      <w:proofErr w:type="gramStart"/>
      <w:r>
        <w:rPr>
          <w:rFonts w:ascii="Times New Roman" w:eastAsia="方正仿宋_GBK"/>
          <w:sz w:val="28"/>
        </w:rPr>
        <w:t>理学校</w:t>
      </w:r>
      <w:proofErr w:type="gramEnd"/>
      <w:r>
        <w:rPr>
          <w:rFonts w:ascii="Times New Roman" w:eastAsia="方正仿宋_GBK"/>
          <w:sz w:val="28"/>
        </w:rPr>
        <w:t>食品安全事件。市场监督管理局承担学校食品安全监管责任，负责对学校食品安全工作进行检查、督导，调查处</w:t>
      </w:r>
      <w:proofErr w:type="gramStart"/>
      <w:r>
        <w:rPr>
          <w:rFonts w:ascii="Times New Roman" w:eastAsia="方正仿宋_GBK"/>
          <w:sz w:val="28"/>
        </w:rPr>
        <w:t>理</w:t>
      </w:r>
      <w:r>
        <w:rPr>
          <w:rFonts w:ascii="Times New Roman" w:eastAsia="方正仿宋_GBK"/>
          <w:sz w:val="28"/>
        </w:rPr>
        <w:t>学校</w:t>
      </w:r>
      <w:proofErr w:type="gramEnd"/>
      <w:r>
        <w:rPr>
          <w:rFonts w:ascii="Times New Roman" w:eastAsia="方正仿宋_GBK"/>
          <w:sz w:val="28"/>
        </w:rPr>
        <w:t>发生的食品安全相关事件。</w:t>
      </w:r>
    </w:p>
    <w:p w14:paraId="40A99AB3" w14:textId="77777777" w:rsidR="00B25C95" w:rsidRDefault="00AE360C">
      <w:pPr>
        <w:spacing w:line="360" w:lineRule="auto"/>
        <w:ind w:firstLineChars="200" w:firstLine="643"/>
        <w:rPr>
          <w:rFonts w:ascii="仿宋" w:eastAsia="仿宋" w:hAnsi="仿宋"/>
          <w:b/>
          <w:sz w:val="32"/>
          <w:szCs w:val="32"/>
        </w:rPr>
      </w:pPr>
      <w:r>
        <w:rPr>
          <w:rFonts w:ascii="仿宋" w:eastAsia="仿宋" w:hAnsi="仿宋" w:hint="eastAsia"/>
          <w:b/>
          <w:sz w:val="32"/>
          <w:szCs w:val="32"/>
        </w:rPr>
        <w:t>二、机构设置</w:t>
      </w:r>
    </w:p>
    <w:tbl>
      <w:tblPr>
        <w:tblW w:w="100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992"/>
        <w:gridCol w:w="2692"/>
        <w:gridCol w:w="1701"/>
        <w:gridCol w:w="1418"/>
        <w:gridCol w:w="3260"/>
      </w:tblGrid>
      <w:tr w:rsidR="00B25C95" w14:paraId="1AAE024A" w14:textId="77777777">
        <w:trPr>
          <w:trHeight w:val="454"/>
          <w:tblHeader/>
          <w:jc w:val="center"/>
        </w:trPr>
        <w:tc>
          <w:tcPr>
            <w:tcW w:w="992" w:type="dxa"/>
            <w:tcBorders>
              <w:top w:val="single" w:sz="4" w:space="0" w:color="auto"/>
              <w:left w:val="single" w:sz="4" w:space="0" w:color="auto"/>
              <w:bottom w:val="single" w:sz="4" w:space="0" w:color="auto"/>
            </w:tcBorders>
            <w:shd w:val="clear" w:color="auto" w:fill="auto"/>
            <w:vAlign w:val="center"/>
          </w:tcPr>
          <w:p w14:paraId="45A09640"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序号</w:t>
            </w:r>
          </w:p>
        </w:tc>
        <w:tc>
          <w:tcPr>
            <w:tcW w:w="2692" w:type="dxa"/>
            <w:tcBorders>
              <w:bottom w:val="single" w:sz="6" w:space="0" w:color="000000"/>
            </w:tcBorders>
            <w:vAlign w:val="center"/>
          </w:tcPr>
          <w:p w14:paraId="3CB0EB31"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单位名称</w:t>
            </w:r>
          </w:p>
        </w:tc>
        <w:tc>
          <w:tcPr>
            <w:tcW w:w="1701" w:type="dxa"/>
            <w:tcBorders>
              <w:bottom w:val="single" w:sz="6" w:space="0" w:color="000000"/>
            </w:tcBorders>
            <w:vAlign w:val="center"/>
          </w:tcPr>
          <w:p w14:paraId="6A3B9DC0"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单位性质</w:t>
            </w:r>
          </w:p>
        </w:tc>
        <w:tc>
          <w:tcPr>
            <w:tcW w:w="1418" w:type="dxa"/>
            <w:tcBorders>
              <w:bottom w:val="single" w:sz="6" w:space="0" w:color="000000"/>
            </w:tcBorders>
            <w:vAlign w:val="center"/>
          </w:tcPr>
          <w:p w14:paraId="0C1FBE9F"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单位规格</w:t>
            </w:r>
          </w:p>
        </w:tc>
        <w:tc>
          <w:tcPr>
            <w:tcW w:w="3260" w:type="dxa"/>
            <w:tcBorders>
              <w:bottom w:val="single" w:sz="6" w:space="0" w:color="000000"/>
            </w:tcBorders>
            <w:vAlign w:val="center"/>
          </w:tcPr>
          <w:p w14:paraId="38E09482"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经费保障形式</w:t>
            </w:r>
          </w:p>
        </w:tc>
      </w:tr>
      <w:tr w:rsidR="00B25C95" w14:paraId="24621BF4"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209A9A2A"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1</w:t>
            </w:r>
          </w:p>
        </w:tc>
        <w:tc>
          <w:tcPr>
            <w:tcW w:w="2692" w:type="dxa"/>
            <w:tcBorders>
              <w:bottom w:val="single" w:sz="4" w:space="0" w:color="auto"/>
            </w:tcBorders>
            <w:vAlign w:val="center"/>
          </w:tcPr>
          <w:p w14:paraId="66190975"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保定市徐水区市场监督管理局</w:t>
            </w:r>
          </w:p>
        </w:tc>
        <w:tc>
          <w:tcPr>
            <w:tcW w:w="1701" w:type="dxa"/>
            <w:vAlign w:val="center"/>
          </w:tcPr>
          <w:p w14:paraId="698CC34A"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行政</w:t>
            </w:r>
          </w:p>
        </w:tc>
        <w:tc>
          <w:tcPr>
            <w:tcW w:w="1418" w:type="dxa"/>
            <w:vAlign w:val="center"/>
          </w:tcPr>
          <w:p w14:paraId="582CDC67"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14:paraId="4C10322F"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财政拨款</w:t>
            </w:r>
          </w:p>
        </w:tc>
      </w:tr>
      <w:tr w:rsidR="00B25C95" w14:paraId="21BE0BC2"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62D7222D"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2</w:t>
            </w:r>
          </w:p>
        </w:tc>
        <w:tc>
          <w:tcPr>
            <w:tcW w:w="2692" w:type="dxa"/>
            <w:tcBorders>
              <w:top w:val="single" w:sz="4" w:space="0" w:color="auto"/>
              <w:bottom w:val="single" w:sz="4" w:space="0" w:color="auto"/>
            </w:tcBorders>
            <w:vAlign w:val="center"/>
          </w:tcPr>
          <w:p w14:paraId="7246FD93"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保定市徐水区市场监督管理局协会</w:t>
            </w:r>
          </w:p>
        </w:tc>
        <w:tc>
          <w:tcPr>
            <w:tcW w:w="1701" w:type="dxa"/>
            <w:vAlign w:val="center"/>
          </w:tcPr>
          <w:p w14:paraId="287AD974" w14:textId="77777777" w:rsidR="00B25C95" w:rsidRDefault="00AE360C">
            <w:pPr>
              <w:jc w:val="center"/>
              <w:rPr>
                <w:rFonts w:ascii="仿宋_GB2312" w:eastAsia="仿宋_GB2312" w:hAnsi="仿宋"/>
                <w:bCs/>
                <w:sz w:val="24"/>
                <w:szCs w:val="24"/>
              </w:rPr>
            </w:pPr>
            <w:proofErr w:type="gramStart"/>
            <w:r>
              <w:rPr>
                <w:rFonts w:ascii="仿宋_GB2312" w:eastAsia="仿宋_GB2312" w:hAnsi="仿宋" w:hint="eastAsia"/>
                <w:bCs/>
                <w:sz w:val="24"/>
                <w:szCs w:val="24"/>
              </w:rPr>
              <w:t>参公</w:t>
            </w:r>
            <w:proofErr w:type="gramEnd"/>
          </w:p>
        </w:tc>
        <w:tc>
          <w:tcPr>
            <w:tcW w:w="1418" w:type="dxa"/>
            <w:vAlign w:val="center"/>
          </w:tcPr>
          <w:p w14:paraId="0BF50418"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正科级</w:t>
            </w:r>
          </w:p>
        </w:tc>
        <w:tc>
          <w:tcPr>
            <w:tcW w:w="3260" w:type="dxa"/>
            <w:vAlign w:val="center"/>
          </w:tcPr>
          <w:p w14:paraId="51AAD519"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财政性资金基本保障</w:t>
            </w:r>
          </w:p>
        </w:tc>
      </w:tr>
      <w:tr w:rsidR="00B25C95" w14:paraId="2756D50E" w14:textId="77777777">
        <w:trPr>
          <w:trHeight w:val="454"/>
          <w:jc w:val="center"/>
        </w:trPr>
        <w:tc>
          <w:tcPr>
            <w:tcW w:w="992" w:type="dxa"/>
            <w:tcBorders>
              <w:top w:val="single" w:sz="4" w:space="0" w:color="auto"/>
              <w:left w:val="single" w:sz="4" w:space="0" w:color="auto"/>
              <w:bottom w:val="single" w:sz="4" w:space="0" w:color="auto"/>
            </w:tcBorders>
            <w:shd w:val="clear" w:color="auto" w:fill="auto"/>
            <w:vAlign w:val="center"/>
          </w:tcPr>
          <w:p w14:paraId="12D5C5A1"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3</w:t>
            </w:r>
          </w:p>
        </w:tc>
        <w:tc>
          <w:tcPr>
            <w:tcW w:w="2692" w:type="dxa"/>
            <w:tcBorders>
              <w:top w:val="single" w:sz="4" w:space="0" w:color="auto"/>
              <w:bottom w:val="single" w:sz="4" w:space="0" w:color="auto"/>
            </w:tcBorders>
            <w:vAlign w:val="center"/>
          </w:tcPr>
          <w:p w14:paraId="2E0B7526"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保定市徐水</w:t>
            </w:r>
            <w:proofErr w:type="gramStart"/>
            <w:r>
              <w:rPr>
                <w:rFonts w:ascii="仿宋_GB2312" w:eastAsia="仿宋_GB2312" w:hAnsi="仿宋" w:hint="eastAsia"/>
                <w:bCs/>
                <w:sz w:val="24"/>
                <w:szCs w:val="24"/>
              </w:rPr>
              <w:t>区质量</w:t>
            </w:r>
            <w:proofErr w:type="gramEnd"/>
            <w:r>
              <w:rPr>
                <w:rFonts w:ascii="仿宋_GB2312" w:eastAsia="仿宋_GB2312" w:hAnsi="仿宋" w:hint="eastAsia"/>
                <w:bCs/>
                <w:sz w:val="24"/>
                <w:szCs w:val="24"/>
              </w:rPr>
              <w:t>技术监督检验所</w:t>
            </w:r>
          </w:p>
        </w:tc>
        <w:tc>
          <w:tcPr>
            <w:tcW w:w="1701" w:type="dxa"/>
            <w:vAlign w:val="center"/>
          </w:tcPr>
          <w:p w14:paraId="089A0D79"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事业</w:t>
            </w:r>
          </w:p>
        </w:tc>
        <w:tc>
          <w:tcPr>
            <w:tcW w:w="1418" w:type="dxa"/>
            <w:vAlign w:val="center"/>
          </w:tcPr>
          <w:p w14:paraId="19038632" w14:textId="77777777" w:rsidR="00B25C95" w:rsidRDefault="00AE360C">
            <w:pPr>
              <w:jc w:val="center"/>
              <w:rPr>
                <w:rFonts w:ascii="仿宋_GB2312" w:eastAsia="仿宋_GB2312" w:hAnsi="仿宋"/>
                <w:bCs/>
                <w:sz w:val="24"/>
                <w:szCs w:val="24"/>
              </w:rPr>
            </w:pPr>
            <w:r>
              <w:rPr>
                <w:rFonts w:ascii="仿宋_GB2312" w:eastAsia="仿宋_GB2312" w:hAnsi="仿宋" w:hint="eastAsia"/>
                <w:bCs/>
                <w:sz w:val="24"/>
                <w:szCs w:val="24"/>
              </w:rPr>
              <w:t>正股级</w:t>
            </w:r>
          </w:p>
        </w:tc>
        <w:tc>
          <w:tcPr>
            <w:tcW w:w="3260" w:type="dxa"/>
            <w:vAlign w:val="center"/>
          </w:tcPr>
          <w:p w14:paraId="373FD839" w14:textId="77777777" w:rsidR="00B25C95" w:rsidRDefault="00AE360C">
            <w:pPr>
              <w:jc w:val="center"/>
              <w:rPr>
                <w:rFonts w:ascii="仿宋_GB2312" w:eastAsia="仿宋_GB2312" w:hAnsi="仿宋"/>
                <w:bCs/>
                <w:sz w:val="24"/>
                <w:szCs w:val="24"/>
              </w:rPr>
            </w:pPr>
            <w:r>
              <w:rPr>
                <w:rFonts w:ascii="仿宋_GB2312" w:eastAsia="仿宋_GB2312" w:hint="eastAsia"/>
                <w:sz w:val="24"/>
                <w:szCs w:val="24"/>
              </w:rPr>
              <w:t>财政性资金定额或定项补助</w:t>
            </w:r>
          </w:p>
        </w:tc>
      </w:tr>
    </w:tbl>
    <w:p w14:paraId="49384577" w14:textId="77777777" w:rsidR="00B25C95" w:rsidRDefault="00B25C95">
      <w:pPr>
        <w:spacing w:line="360" w:lineRule="auto"/>
        <w:rPr>
          <w:rFonts w:ascii="仿宋" w:eastAsia="仿宋" w:hAnsi="仿宋"/>
          <w:b/>
          <w:sz w:val="32"/>
          <w:szCs w:val="32"/>
        </w:rPr>
      </w:pPr>
    </w:p>
    <w:p w14:paraId="0ECDB5BC"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lastRenderedPageBreak/>
        <w:t>第二部分：部门预算安排的总体情况</w:t>
      </w:r>
    </w:p>
    <w:p w14:paraId="04C19610" w14:textId="77777777" w:rsidR="00B25C95" w:rsidRDefault="00AE360C">
      <w:pPr>
        <w:spacing w:line="360" w:lineRule="auto"/>
        <w:ind w:firstLineChars="200" w:firstLine="640"/>
        <w:rPr>
          <w:rFonts w:ascii="仿宋" w:eastAsia="仿宋" w:hAnsi="仿宋"/>
          <w:sz w:val="32"/>
          <w:szCs w:val="32"/>
        </w:rPr>
      </w:pPr>
      <w:r>
        <w:rPr>
          <w:rFonts w:ascii="仿宋" w:eastAsia="仿宋" w:hAnsi="仿宋" w:hint="eastAsia"/>
          <w:sz w:val="32"/>
          <w:szCs w:val="32"/>
        </w:rPr>
        <w:t>按照预算管理有关规定，目前我区部门预算的编制实行综合预算制度，即全部收入和支出都反映</w:t>
      </w:r>
      <w:r>
        <w:rPr>
          <w:rFonts w:ascii="仿宋" w:eastAsia="仿宋" w:hAnsi="仿宋"/>
          <w:sz w:val="32"/>
          <w:szCs w:val="32"/>
        </w:rPr>
        <w:t>在</w:t>
      </w:r>
      <w:r>
        <w:rPr>
          <w:rFonts w:ascii="仿宋" w:eastAsia="仿宋" w:hAnsi="仿宋" w:hint="eastAsia"/>
          <w:sz w:val="32"/>
          <w:szCs w:val="32"/>
        </w:rPr>
        <w:t>预算中。</w:t>
      </w:r>
      <w:proofErr w:type="gramStart"/>
      <w:r>
        <w:rPr>
          <w:rFonts w:ascii="仿宋" w:eastAsia="仿宋" w:hAnsi="仿宋" w:hint="eastAsia"/>
          <w:sz w:val="32"/>
          <w:szCs w:val="32"/>
        </w:rPr>
        <w:t>我部门</w:t>
      </w:r>
      <w:proofErr w:type="gramEnd"/>
      <w:r>
        <w:rPr>
          <w:rFonts w:ascii="仿宋" w:eastAsia="仿宋" w:hAnsi="仿宋" w:hint="eastAsia"/>
          <w:sz w:val="32"/>
          <w:szCs w:val="32"/>
        </w:rPr>
        <w:t>及所属事业单位的收支包含在部门预算中。</w:t>
      </w:r>
    </w:p>
    <w:p w14:paraId="11A69019" w14:textId="77777777" w:rsidR="00B25C95" w:rsidRDefault="00AE360C">
      <w:pPr>
        <w:spacing w:line="360" w:lineRule="auto"/>
        <w:ind w:firstLineChars="200" w:firstLine="643"/>
        <w:rPr>
          <w:rFonts w:ascii="仿宋" w:eastAsia="仿宋" w:hAnsi="仿宋"/>
          <w:b/>
          <w:sz w:val="32"/>
          <w:szCs w:val="32"/>
        </w:rPr>
      </w:pPr>
      <w:r>
        <w:rPr>
          <w:rFonts w:ascii="仿宋" w:eastAsia="仿宋" w:hAnsi="仿宋" w:hint="eastAsia"/>
          <w:b/>
          <w:sz w:val="32"/>
          <w:szCs w:val="32"/>
        </w:rPr>
        <w:t>一、收入说明</w:t>
      </w:r>
    </w:p>
    <w:p w14:paraId="3DF2CFF8"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sz w:val="32"/>
          <w:szCs w:val="32"/>
        </w:rPr>
        <w:t>年预算收入为</w:t>
      </w:r>
      <w:r>
        <w:rPr>
          <w:rFonts w:ascii="仿宋" w:eastAsia="仿宋" w:hAnsi="仿宋" w:hint="eastAsia"/>
          <w:sz w:val="32"/>
          <w:szCs w:val="32"/>
        </w:rPr>
        <w:t>4196.72</w:t>
      </w:r>
      <w:r>
        <w:rPr>
          <w:rFonts w:ascii="仿宋" w:eastAsia="仿宋" w:hAnsi="仿宋"/>
          <w:sz w:val="32"/>
          <w:szCs w:val="32"/>
        </w:rPr>
        <w:t>万元</w:t>
      </w:r>
      <w:r>
        <w:rPr>
          <w:rFonts w:ascii="仿宋" w:eastAsia="仿宋" w:hAnsi="仿宋"/>
          <w:sz w:val="32"/>
          <w:szCs w:val="32"/>
        </w:rPr>
        <w:t>,</w:t>
      </w:r>
      <w:r>
        <w:rPr>
          <w:rFonts w:ascii="仿宋" w:eastAsia="仿宋" w:hAnsi="仿宋"/>
          <w:sz w:val="32"/>
          <w:szCs w:val="32"/>
        </w:rPr>
        <w:t>其中：一般公共预算收入</w:t>
      </w:r>
      <w:r>
        <w:rPr>
          <w:rFonts w:ascii="仿宋" w:eastAsia="仿宋" w:hAnsi="仿宋" w:hint="eastAsia"/>
          <w:sz w:val="32"/>
          <w:szCs w:val="32"/>
        </w:rPr>
        <w:t>4196.72</w:t>
      </w:r>
      <w:r>
        <w:rPr>
          <w:rFonts w:ascii="仿宋" w:eastAsia="仿宋" w:hAnsi="仿宋"/>
          <w:sz w:val="32"/>
          <w:szCs w:val="32"/>
        </w:rPr>
        <w:t>万元，基金预算收入</w:t>
      </w:r>
      <w:r>
        <w:rPr>
          <w:rFonts w:ascii="仿宋" w:eastAsia="仿宋" w:hAnsi="仿宋" w:hint="eastAsia"/>
          <w:sz w:val="32"/>
          <w:szCs w:val="32"/>
        </w:rPr>
        <w:t>0</w:t>
      </w:r>
      <w:r>
        <w:rPr>
          <w:rFonts w:ascii="仿宋" w:eastAsia="仿宋" w:hAnsi="仿宋"/>
          <w:sz w:val="32"/>
          <w:szCs w:val="32"/>
        </w:rPr>
        <w:t>万元，财政专户收入</w:t>
      </w:r>
      <w:r>
        <w:rPr>
          <w:rFonts w:ascii="仿宋" w:eastAsia="仿宋" w:hAnsi="仿宋" w:hint="eastAsia"/>
          <w:sz w:val="32"/>
          <w:szCs w:val="32"/>
        </w:rPr>
        <w:t>0</w:t>
      </w:r>
      <w:r>
        <w:rPr>
          <w:rFonts w:ascii="仿宋" w:eastAsia="仿宋" w:hAnsi="仿宋"/>
          <w:sz w:val="32"/>
          <w:szCs w:val="32"/>
        </w:rPr>
        <w:t>万元，其他来源收入</w:t>
      </w:r>
      <w:r>
        <w:rPr>
          <w:rFonts w:ascii="仿宋" w:eastAsia="仿宋" w:hAnsi="仿宋" w:hint="eastAsia"/>
          <w:sz w:val="32"/>
          <w:szCs w:val="32"/>
        </w:rPr>
        <w:t>0</w:t>
      </w:r>
      <w:r>
        <w:rPr>
          <w:rFonts w:ascii="仿宋" w:eastAsia="仿宋" w:hAnsi="仿宋"/>
          <w:sz w:val="32"/>
          <w:szCs w:val="32"/>
        </w:rPr>
        <w:t>万元。</w:t>
      </w:r>
    </w:p>
    <w:p w14:paraId="27214279" w14:textId="77777777" w:rsidR="00B25C95" w:rsidRDefault="00AE360C">
      <w:pPr>
        <w:spacing w:line="360" w:lineRule="auto"/>
        <w:ind w:firstLineChars="200" w:firstLine="643"/>
        <w:rPr>
          <w:rFonts w:ascii="仿宋" w:eastAsia="仿宋" w:hAnsi="仿宋"/>
          <w:b/>
          <w:sz w:val="32"/>
          <w:szCs w:val="32"/>
        </w:rPr>
      </w:pPr>
      <w:r>
        <w:rPr>
          <w:rFonts w:ascii="仿宋" w:eastAsia="仿宋" w:hAnsi="仿宋" w:hint="eastAsia"/>
          <w:b/>
          <w:sz w:val="32"/>
          <w:szCs w:val="32"/>
        </w:rPr>
        <w:t>二、支出说明</w:t>
      </w:r>
    </w:p>
    <w:p w14:paraId="41FFEC95"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sz w:val="32"/>
          <w:szCs w:val="32"/>
        </w:rPr>
        <w:t>年部门支出预算：</w:t>
      </w:r>
      <w:r>
        <w:rPr>
          <w:rFonts w:ascii="仿宋" w:eastAsia="仿宋" w:hAnsi="仿宋" w:hint="eastAsia"/>
          <w:sz w:val="32"/>
          <w:szCs w:val="32"/>
        </w:rPr>
        <w:t>4196.72</w:t>
      </w:r>
      <w:r>
        <w:rPr>
          <w:rFonts w:ascii="仿宋" w:eastAsia="仿宋" w:hAnsi="仿宋"/>
          <w:sz w:val="32"/>
          <w:szCs w:val="32"/>
        </w:rPr>
        <w:t>万元</w:t>
      </w:r>
    </w:p>
    <w:p w14:paraId="1223D4B1" w14:textId="77777777" w:rsidR="00B25C95" w:rsidRDefault="00AE360C">
      <w:pPr>
        <w:spacing w:line="360" w:lineRule="auto"/>
        <w:ind w:firstLineChars="200" w:firstLine="640"/>
        <w:rPr>
          <w:rFonts w:ascii="仿宋" w:eastAsia="仿宋" w:hAnsi="仿宋"/>
          <w:sz w:val="32"/>
          <w:szCs w:val="32"/>
        </w:rPr>
      </w:pPr>
      <w:r>
        <w:rPr>
          <w:rFonts w:ascii="仿宋" w:eastAsia="仿宋" w:hAnsi="仿宋" w:hint="eastAsia"/>
          <w:sz w:val="32"/>
          <w:szCs w:val="32"/>
        </w:rPr>
        <w:t>基本支出</w:t>
      </w:r>
      <w:r>
        <w:rPr>
          <w:rFonts w:ascii="仿宋" w:eastAsia="仿宋" w:hAnsi="仿宋" w:hint="eastAsia"/>
          <w:sz w:val="32"/>
          <w:szCs w:val="32"/>
        </w:rPr>
        <w:t>3707.80</w:t>
      </w:r>
      <w:r>
        <w:rPr>
          <w:rFonts w:ascii="仿宋" w:eastAsia="仿宋" w:hAnsi="仿宋" w:hint="eastAsia"/>
          <w:sz w:val="32"/>
          <w:szCs w:val="32"/>
        </w:rPr>
        <w:t>万元</w:t>
      </w:r>
    </w:p>
    <w:p w14:paraId="03A34580"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其中：人员经费</w:t>
      </w:r>
      <w:r>
        <w:rPr>
          <w:rFonts w:ascii="仿宋" w:eastAsia="仿宋" w:hAnsi="仿宋" w:hint="eastAsia"/>
          <w:sz w:val="32"/>
          <w:szCs w:val="32"/>
        </w:rPr>
        <w:t>3334.22</w:t>
      </w:r>
      <w:r>
        <w:rPr>
          <w:rFonts w:ascii="仿宋" w:eastAsia="仿宋" w:hAnsi="仿宋"/>
          <w:sz w:val="32"/>
          <w:szCs w:val="32"/>
        </w:rPr>
        <w:t>万元</w:t>
      </w:r>
    </w:p>
    <w:p w14:paraId="29ADDFA5"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 xml:space="preserve">          </w:t>
      </w:r>
      <w:r>
        <w:rPr>
          <w:rFonts w:ascii="仿宋" w:eastAsia="仿宋" w:hAnsi="仿宋"/>
          <w:sz w:val="32"/>
          <w:szCs w:val="32"/>
        </w:rPr>
        <w:t>日常公用经费</w:t>
      </w:r>
      <w:r>
        <w:rPr>
          <w:rFonts w:ascii="仿宋" w:eastAsia="仿宋" w:hAnsi="仿宋" w:hint="eastAsia"/>
          <w:sz w:val="32"/>
          <w:szCs w:val="32"/>
        </w:rPr>
        <w:t>373.58</w:t>
      </w:r>
      <w:r>
        <w:rPr>
          <w:rFonts w:ascii="仿宋" w:eastAsia="仿宋" w:hAnsi="仿宋"/>
          <w:sz w:val="32"/>
          <w:szCs w:val="32"/>
        </w:rPr>
        <w:t>万元</w:t>
      </w:r>
    </w:p>
    <w:p w14:paraId="0E6993DD" w14:textId="77777777" w:rsidR="00B25C95" w:rsidRDefault="00AE360C">
      <w:pPr>
        <w:spacing w:line="360" w:lineRule="auto"/>
        <w:ind w:firstLineChars="200" w:firstLine="640"/>
        <w:rPr>
          <w:rFonts w:ascii="仿宋" w:eastAsia="仿宋" w:hAnsi="仿宋"/>
          <w:sz w:val="32"/>
          <w:szCs w:val="32"/>
        </w:rPr>
      </w:pPr>
      <w:r>
        <w:rPr>
          <w:rFonts w:ascii="仿宋" w:eastAsia="仿宋" w:hAnsi="仿宋" w:hint="eastAsia"/>
          <w:sz w:val="32"/>
          <w:szCs w:val="32"/>
        </w:rPr>
        <w:t>项目支出</w:t>
      </w:r>
      <w:r>
        <w:rPr>
          <w:rFonts w:ascii="仿宋" w:eastAsia="仿宋" w:hAnsi="仿宋"/>
          <w:sz w:val="32"/>
          <w:szCs w:val="32"/>
        </w:rPr>
        <w:t xml:space="preserve"> </w:t>
      </w:r>
      <w:r>
        <w:rPr>
          <w:rFonts w:ascii="仿宋" w:eastAsia="仿宋" w:hAnsi="仿宋" w:hint="eastAsia"/>
          <w:sz w:val="32"/>
          <w:szCs w:val="32"/>
        </w:rPr>
        <w:t>488.92</w:t>
      </w:r>
      <w:r>
        <w:rPr>
          <w:rFonts w:ascii="仿宋" w:eastAsia="仿宋" w:hAnsi="仿宋"/>
          <w:sz w:val="32"/>
          <w:szCs w:val="32"/>
        </w:rPr>
        <w:t>万元</w:t>
      </w:r>
    </w:p>
    <w:p w14:paraId="035A2D60"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lastRenderedPageBreak/>
        <w:t xml:space="preserve">    </w:t>
      </w:r>
      <w:r>
        <w:rPr>
          <w:rFonts w:ascii="仿宋" w:eastAsia="仿宋" w:hAnsi="仿宋"/>
          <w:sz w:val="32"/>
          <w:szCs w:val="32"/>
        </w:rPr>
        <w:t>其中：本级支出</w:t>
      </w:r>
      <w:r>
        <w:rPr>
          <w:rFonts w:ascii="仿宋" w:eastAsia="仿宋" w:hAnsi="仿宋" w:hint="eastAsia"/>
          <w:sz w:val="32"/>
          <w:szCs w:val="32"/>
        </w:rPr>
        <w:t>488.92</w:t>
      </w:r>
      <w:r>
        <w:rPr>
          <w:rFonts w:ascii="仿宋" w:eastAsia="仿宋" w:hAnsi="仿宋"/>
          <w:sz w:val="32"/>
          <w:szCs w:val="32"/>
        </w:rPr>
        <w:t>万元</w:t>
      </w:r>
    </w:p>
    <w:p w14:paraId="358B762C" w14:textId="77777777" w:rsidR="00B25C95" w:rsidRDefault="00AE360C">
      <w:pPr>
        <w:spacing w:line="360" w:lineRule="auto"/>
        <w:ind w:firstLineChars="200" w:firstLine="643"/>
        <w:rPr>
          <w:rFonts w:ascii="仿宋" w:eastAsia="仿宋" w:hAnsi="仿宋"/>
          <w:b/>
          <w:sz w:val="32"/>
          <w:szCs w:val="32"/>
        </w:rPr>
      </w:pPr>
      <w:r>
        <w:rPr>
          <w:rFonts w:ascii="仿宋" w:eastAsia="仿宋" w:hAnsi="仿宋" w:hint="eastAsia"/>
          <w:b/>
          <w:sz w:val="32"/>
          <w:szCs w:val="32"/>
        </w:rPr>
        <w:t>三、比上年增减情况</w:t>
      </w:r>
    </w:p>
    <w:p w14:paraId="42413599" w14:textId="77777777" w:rsidR="00B25C95" w:rsidRDefault="00AE360C">
      <w:pPr>
        <w:spacing w:line="360" w:lineRule="auto"/>
        <w:ind w:firstLineChars="200" w:firstLine="640"/>
        <w:rPr>
          <w:rFonts w:ascii="仿宋" w:eastAsia="仿宋" w:hAnsi="仿宋"/>
          <w:sz w:val="32"/>
          <w:szCs w:val="32"/>
        </w:rPr>
      </w:pPr>
      <w:r>
        <w:rPr>
          <w:rFonts w:ascii="仿宋" w:eastAsia="仿宋" w:hAnsi="仿宋" w:hint="eastAsia"/>
          <w:sz w:val="32"/>
          <w:szCs w:val="32"/>
        </w:rPr>
        <w:t>本年度预算收支安排</w:t>
      </w:r>
      <w:r>
        <w:rPr>
          <w:rFonts w:ascii="仿宋" w:eastAsia="仿宋" w:hAnsi="仿宋" w:hint="eastAsia"/>
          <w:sz w:val="32"/>
          <w:szCs w:val="32"/>
        </w:rPr>
        <w:t>4196.72</w:t>
      </w:r>
      <w:r>
        <w:rPr>
          <w:rFonts w:ascii="仿宋" w:eastAsia="仿宋" w:hAnsi="仿宋" w:hint="eastAsia"/>
          <w:sz w:val="32"/>
          <w:szCs w:val="32"/>
        </w:rPr>
        <w:t>万元，较上年</w:t>
      </w:r>
      <w:r>
        <w:rPr>
          <w:rFonts w:ascii="仿宋" w:eastAsia="仿宋" w:hAnsi="仿宋"/>
          <w:sz w:val="32"/>
          <w:szCs w:val="32"/>
        </w:rPr>
        <w:t>减少</w:t>
      </w:r>
      <w:r>
        <w:rPr>
          <w:rFonts w:ascii="仿宋" w:eastAsia="仿宋" w:hAnsi="仿宋" w:hint="eastAsia"/>
          <w:sz w:val="32"/>
          <w:szCs w:val="32"/>
        </w:rPr>
        <w:t>170.81</w:t>
      </w:r>
      <w:r>
        <w:rPr>
          <w:rFonts w:ascii="仿宋" w:eastAsia="仿宋" w:hAnsi="仿宋"/>
          <w:sz w:val="32"/>
          <w:szCs w:val="32"/>
        </w:rPr>
        <w:t>万元。其中</w:t>
      </w:r>
      <w:r>
        <w:rPr>
          <w:rFonts w:ascii="仿宋" w:eastAsia="仿宋" w:hAnsi="仿宋"/>
          <w:sz w:val="32"/>
          <w:szCs w:val="32"/>
        </w:rPr>
        <w:t>:</w:t>
      </w:r>
      <w:r>
        <w:rPr>
          <w:rFonts w:ascii="仿宋" w:eastAsia="仿宋" w:hAnsi="仿宋"/>
          <w:sz w:val="32"/>
          <w:szCs w:val="32"/>
        </w:rPr>
        <w:t>基本支出减少</w:t>
      </w:r>
      <w:r>
        <w:rPr>
          <w:rFonts w:ascii="仿宋" w:eastAsia="仿宋" w:hAnsi="仿宋" w:hint="eastAsia"/>
          <w:sz w:val="32"/>
          <w:szCs w:val="32"/>
        </w:rPr>
        <w:t>171.39</w:t>
      </w:r>
      <w:r>
        <w:rPr>
          <w:rFonts w:ascii="仿宋" w:eastAsia="仿宋" w:hAnsi="仿宋"/>
          <w:sz w:val="32"/>
          <w:szCs w:val="32"/>
        </w:rPr>
        <w:t>万元，主要原因是</w:t>
      </w:r>
      <w:r>
        <w:rPr>
          <w:rFonts w:ascii="仿宋" w:eastAsia="仿宋" w:hAnsi="仿宋" w:hint="eastAsia"/>
          <w:sz w:val="32"/>
          <w:szCs w:val="32"/>
        </w:rPr>
        <w:t>节约开支、人员退休</w:t>
      </w:r>
      <w:r>
        <w:rPr>
          <w:rFonts w:ascii="仿宋" w:eastAsia="仿宋" w:hAnsi="仿宋"/>
          <w:sz w:val="32"/>
          <w:szCs w:val="32"/>
        </w:rPr>
        <w:t>；项目支出增加</w:t>
      </w:r>
      <w:r>
        <w:rPr>
          <w:rFonts w:ascii="仿宋" w:eastAsia="仿宋" w:hAnsi="仿宋" w:hint="eastAsia"/>
          <w:sz w:val="32"/>
          <w:szCs w:val="32"/>
        </w:rPr>
        <w:t>0.58</w:t>
      </w:r>
      <w:r>
        <w:rPr>
          <w:rFonts w:ascii="仿宋" w:eastAsia="仿宋" w:hAnsi="仿宋"/>
          <w:sz w:val="32"/>
          <w:szCs w:val="32"/>
        </w:rPr>
        <w:t>万元，主要原因是</w:t>
      </w:r>
      <w:r>
        <w:rPr>
          <w:rFonts w:ascii="仿宋" w:eastAsia="仿宋" w:hAnsi="仿宋" w:hint="eastAsia"/>
          <w:sz w:val="32"/>
          <w:szCs w:val="32"/>
        </w:rPr>
        <w:t>市场监管检测经费增加</w:t>
      </w:r>
      <w:r>
        <w:rPr>
          <w:rFonts w:ascii="仿宋" w:eastAsia="仿宋" w:hAnsi="仿宋"/>
          <w:sz w:val="32"/>
          <w:szCs w:val="32"/>
        </w:rPr>
        <w:t>。</w:t>
      </w:r>
    </w:p>
    <w:p w14:paraId="5AB21096"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t>第三部分：机关运行经费安排情况</w:t>
      </w:r>
    </w:p>
    <w:p w14:paraId="7C333ACE" w14:textId="77777777" w:rsidR="00B25C95" w:rsidRDefault="00AE360C">
      <w:pPr>
        <w:spacing w:line="360" w:lineRule="auto"/>
        <w:ind w:firstLineChars="200" w:firstLine="640"/>
        <w:rPr>
          <w:rFonts w:ascii="仿宋" w:eastAsia="仿宋" w:hAnsi="仿宋"/>
          <w:b/>
          <w:sz w:val="32"/>
          <w:szCs w:val="32"/>
        </w:rPr>
      </w:pPr>
      <w:r>
        <w:rPr>
          <w:rFonts w:ascii="仿宋" w:eastAsia="仿宋" w:hAnsi="仿宋"/>
          <w:sz w:val="32"/>
          <w:szCs w:val="32"/>
        </w:rPr>
        <w:t>2021</w:t>
      </w:r>
      <w:r>
        <w:rPr>
          <w:rFonts w:ascii="仿宋" w:eastAsia="仿宋" w:hAnsi="仿宋"/>
          <w:sz w:val="32"/>
          <w:szCs w:val="32"/>
        </w:rPr>
        <w:t>年</w:t>
      </w:r>
      <w:proofErr w:type="gramStart"/>
      <w:r>
        <w:rPr>
          <w:rFonts w:ascii="仿宋" w:eastAsia="仿宋" w:hAnsi="仿宋"/>
          <w:sz w:val="32"/>
          <w:szCs w:val="32"/>
        </w:rPr>
        <w:t>我部门</w:t>
      </w:r>
      <w:proofErr w:type="gramEnd"/>
      <w:r>
        <w:rPr>
          <w:rFonts w:ascii="仿宋" w:eastAsia="仿宋" w:hAnsi="仿宋"/>
          <w:sz w:val="32"/>
          <w:szCs w:val="32"/>
        </w:rPr>
        <w:t>机关运行经费安排</w:t>
      </w:r>
      <w:r>
        <w:rPr>
          <w:rFonts w:ascii="仿宋" w:eastAsia="仿宋" w:hAnsi="仿宋" w:hint="eastAsia"/>
          <w:sz w:val="32"/>
          <w:szCs w:val="32"/>
        </w:rPr>
        <w:t>373.58</w:t>
      </w:r>
      <w:r>
        <w:rPr>
          <w:rFonts w:ascii="仿宋" w:eastAsia="仿宋" w:hAnsi="仿宋"/>
          <w:sz w:val="32"/>
          <w:szCs w:val="32"/>
        </w:rPr>
        <w:t>万元，其中办公费</w:t>
      </w:r>
      <w:r>
        <w:rPr>
          <w:rFonts w:ascii="仿宋" w:eastAsia="仿宋" w:hAnsi="仿宋" w:hint="eastAsia"/>
          <w:sz w:val="32"/>
          <w:szCs w:val="32"/>
        </w:rPr>
        <w:t>74.16</w:t>
      </w:r>
      <w:r>
        <w:rPr>
          <w:rFonts w:ascii="仿宋" w:eastAsia="仿宋" w:hAnsi="仿宋"/>
          <w:sz w:val="32"/>
          <w:szCs w:val="32"/>
        </w:rPr>
        <w:t>万元，邮电费</w:t>
      </w:r>
      <w:r>
        <w:rPr>
          <w:rFonts w:ascii="仿宋" w:eastAsia="仿宋" w:hAnsi="仿宋" w:hint="eastAsia"/>
          <w:sz w:val="32"/>
          <w:szCs w:val="32"/>
        </w:rPr>
        <w:t>8.48</w:t>
      </w:r>
      <w:r>
        <w:rPr>
          <w:rFonts w:ascii="仿宋" w:eastAsia="仿宋" w:hAnsi="仿宋"/>
          <w:sz w:val="32"/>
          <w:szCs w:val="32"/>
        </w:rPr>
        <w:t>万元，工会经费、福利费</w:t>
      </w:r>
      <w:r>
        <w:rPr>
          <w:rFonts w:ascii="仿宋" w:eastAsia="仿宋" w:hAnsi="仿宋" w:hint="eastAsia"/>
          <w:sz w:val="32"/>
          <w:szCs w:val="32"/>
        </w:rPr>
        <w:t>52.97</w:t>
      </w:r>
      <w:r>
        <w:rPr>
          <w:rFonts w:ascii="仿宋" w:eastAsia="仿宋" w:hAnsi="仿宋"/>
          <w:sz w:val="32"/>
          <w:szCs w:val="32"/>
        </w:rPr>
        <w:t>万元，公务用车运行维护费</w:t>
      </w:r>
      <w:r>
        <w:rPr>
          <w:rFonts w:ascii="仿宋" w:eastAsia="仿宋" w:hAnsi="仿宋" w:hint="eastAsia"/>
          <w:sz w:val="32"/>
          <w:szCs w:val="32"/>
        </w:rPr>
        <w:t>75.6</w:t>
      </w:r>
      <w:r>
        <w:rPr>
          <w:rFonts w:ascii="仿宋" w:eastAsia="仿宋" w:hAnsi="仿宋"/>
          <w:sz w:val="32"/>
          <w:szCs w:val="32"/>
        </w:rPr>
        <w:t>万元</w:t>
      </w:r>
      <w:r>
        <w:rPr>
          <w:rFonts w:ascii="仿宋" w:eastAsia="仿宋" w:hAnsi="仿宋" w:hint="eastAsia"/>
          <w:sz w:val="32"/>
          <w:szCs w:val="32"/>
        </w:rPr>
        <w:t>，</w:t>
      </w:r>
      <w:r>
        <w:rPr>
          <w:rFonts w:ascii="仿宋" w:eastAsia="仿宋" w:hAnsi="仿宋"/>
          <w:sz w:val="32"/>
          <w:szCs w:val="32"/>
        </w:rPr>
        <w:t>其他支出</w:t>
      </w:r>
      <w:r>
        <w:rPr>
          <w:rFonts w:ascii="仿宋" w:eastAsia="仿宋" w:hAnsi="仿宋" w:hint="eastAsia"/>
          <w:sz w:val="32"/>
          <w:szCs w:val="32"/>
        </w:rPr>
        <w:t>2.88</w:t>
      </w:r>
      <w:r>
        <w:rPr>
          <w:rFonts w:ascii="仿宋" w:eastAsia="仿宋" w:hAnsi="仿宋"/>
          <w:sz w:val="32"/>
          <w:szCs w:val="32"/>
        </w:rPr>
        <w:t>万元。</w:t>
      </w:r>
    </w:p>
    <w:p w14:paraId="5463FBC1"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t>第四部分：财政拨款“三公”经费预算情况及增减变化原因</w:t>
      </w:r>
    </w:p>
    <w:tbl>
      <w:tblPr>
        <w:tblW w:w="14174" w:type="dxa"/>
        <w:tblLayout w:type="fixed"/>
        <w:tblLook w:val="04A0" w:firstRow="1" w:lastRow="0" w:firstColumn="1" w:lastColumn="0" w:noHBand="0" w:noVBand="1"/>
      </w:tblPr>
      <w:tblGrid>
        <w:gridCol w:w="14174"/>
      </w:tblGrid>
      <w:tr w:rsidR="00B25C95" w14:paraId="38BA741E" w14:textId="77777777">
        <w:trPr>
          <w:trHeight w:val="405"/>
        </w:trPr>
        <w:tc>
          <w:tcPr>
            <w:tcW w:w="14174" w:type="dxa"/>
            <w:tcBorders>
              <w:top w:val="nil"/>
              <w:left w:val="nil"/>
              <w:bottom w:val="nil"/>
              <w:right w:val="nil"/>
            </w:tcBorders>
            <w:shd w:val="clear" w:color="auto" w:fill="auto"/>
            <w:noWrap/>
            <w:vAlign w:val="center"/>
          </w:tcPr>
          <w:tbl>
            <w:tblPr>
              <w:tblW w:w="8090" w:type="dxa"/>
              <w:jc w:val="center"/>
              <w:tblLayout w:type="fixed"/>
              <w:tblLook w:val="04A0" w:firstRow="1" w:lastRow="0" w:firstColumn="1" w:lastColumn="0" w:noHBand="0" w:noVBand="1"/>
            </w:tblPr>
            <w:tblGrid>
              <w:gridCol w:w="2163"/>
              <w:gridCol w:w="1276"/>
              <w:gridCol w:w="1418"/>
              <w:gridCol w:w="836"/>
              <w:gridCol w:w="2397"/>
            </w:tblGrid>
            <w:tr w:rsidR="00B25C95" w14:paraId="031215D6" w14:textId="77777777">
              <w:trPr>
                <w:trHeight w:val="405"/>
                <w:jc w:val="center"/>
              </w:trPr>
              <w:tc>
                <w:tcPr>
                  <w:tcW w:w="8090" w:type="dxa"/>
                  <w:gridSpan w:val="5"/>
                  <w:tcBorders>
                    <w:top w:val="nil"/>
                    <w:left w:val="nil"/>
                    <w:bottom w:val="nil"/>
                    <w:right w:val="nil"/>
                  </w:tcBorders>
                  <w:vAlign w:val="center"/>
                </w:tcPr>
                <w:p w14:paraId="1ABDEBF7" w14:textId="77777777" w:rsidR="00B25C95" w:rsidRDefault="00B25C95">
                  <w:pPr>
                    <w:spacing w:line="360" w:lineRule="auto"/>
                    <w:rPr>
                      <w:rFonts w:ascii="黑体" w:eastAsia="黑体" w:hAnsi="黑体" w:cs="宋体"/>
                      <w:kern w:val="0"/>
                      <w:sz w:val="32"/>
                      <w:szCs w:val="32"/>
                    </w:rPr>
                  </w:pPr>
                </w:p>
              </w:tc>
            </w:tr>
            <w:tr w:rsidR="00B25C95" w14:paraId="7D47B0E5" w14:textId="77777777">
              <w:trPr>
                <w:trHeight w:val="221"/>
                <w:jc w:val="center"/>
              </w:trPr>
              <w:tc>
                <w:tcPr>
                  <w:tcW w:w="2163" w:type="dxa"/>
                  <w:tcBorders>
                    <w:top w:val="nil"/>
                    <w:left w:val="nil"/>
                    <w:bottom w:val="nil"/>
                    <w:right w:val="nil"/>
                  </w:tcBorders>
                  <w:vAlign w:val="center"/>
                </w:tcPr>
                <w:p w14:paraId="67DC6192" w14:textId="77777777" w:rsidR="00B25C95" w:rsidRDefault="00B25C95">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0C980C0A" w14:textId="77777777" w:rsidR="00B25C95" w:rsidRDefault="00B25C95">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401298A0" w14:textId="77777777" w:rsidR="00B25C95" w:rsidRDefault="00B25C95">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2476066C" w14:textId="77777777" w:rsidR="00B25C95" w:rsidRDefault="00B25C95">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5EE11DF9" w14:textId="77777777" w:rsidR="00B25C95" w:rsidRDefault="00AE360C">
                  <w:pPr>
                    <w:widowControl/>
                    <w:jc w:val="right"/>
                    <w:rPr>
                      <w:rFonts w:ascii="宋体" w:hAnsi="宋体" w:cs="宋体"/>
                      <w:kern w:val="0"/>
                      <w:sz w:val="24"/>
                      <w:szCs w:val="24"/>
                    </w:rPr>
                  </w:pPr>
                  <w:r>
                    <w:rPr>
                      <w:rFonts w:ascii="宋体" w:hAnsi="宋体" w:cs="宋体" w:hint="eastAsia"/>
                      <w:kern w:val="0"/>
                      <w:sz w:val="24"/>
                      <w:szCs w:val="24"/>
                    </w:rPr>
                    <w:t>单位：万元</w:t>
                  </w:r>
                </w:p>
              </w:tc>
            </w:tr>
            <w:tr w:rsidR="00B25C95" w14:paraId="0AA6F477" w14:textId="77777777">
              <w:trPr>
                <w:trHeight w:val="285"/>
                <w:jc w:val="center"/>
              </w:trPr>
              <w:tc>
                <w:tcPr>
                  <w:tcW w:w="2163" w:type="dxa"/>
                  <w:tcBorders>
                    <w:top w:val="single" w:sz="4" w:space="0" w:color="auto"/>
                    <w:left w:val="single" w:sz="4" w:space="0" w:color="auto"/>
                    <w:bottom w:val="single" w:sz="4" w:space="0" w:color="auto"/>
                    <w:right w:val="single" w:sz="4" w:space="0" w:color="auto"/>
                  </w:tcBorders>
                  <w:vAlign w:val="center"/>
                </w:tcPr>
                <w:p w14:paraId="425A406B" w14:textId="77777777" w:rsidR="00B25C95" w:rsidRDefault="00AE360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项目名称</w:t>
                  </w:r>
                </w:p>
              </w:tc>
              <w:tc>
                <w:tcPr>
                  <w:tcW w:w="1276" w:type="dxa"/>
                  <w:tcBorders>
                    <w:top w:val="single" w:sz="4" w:space="0" w:color="auto"/>
                    <w:left w:val="nil"/>
                    <w:bottom w:val="single" w:sz="4" w:space="0" w:color="auto"/>
                    <w:right w:val="single" w:sz="4" w:space="0" w:color="auto"/>
                  </w:tcBorders>
                  <w:vAlign w:val="center"/>
                </w:tcPr>
                <w:p w14:paraId="1B663332" w14:textId="77777777" w:rsidR="00B25C95" w:rsidRDefault="00AE360C">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2020</w:t>
                  </w:r>
                  <w:r>
                    <w:rPr>
                      <w:rFonts w:ascii="仿宋_GB2312" w:eastAsia="仿宋_GB2312" w:hAnsi="宋体" w:cs="宋体" w:hint="eastAsia"/>
                      <w:b/>
                      <w:kern w:val="0"/>
                      <w:sz w:val="24"/>
                      <w:szCs w:val="24"/>
                    </w:rPr>
                    <w:t>年度预算</w:t>
                  </w:r>
                </w:p>
              </w:tc>
              <w:tc>
                <w:tcPr>
                  <w:tcW w:w="1418" w:type="dxa"/>
                  <w:tcBorders>
                    <w:top w:val="single" w:sz="4" w:space="0" w:color="auto"/>
                    <w:left w:val="nil"/>
                    <w:bottom w:val="single" w:sz="4" w:space="0" w:color="auto"/>
                    <w:right w:val="single" w:sz="4" w:space="0" w:color="auto"/>
                  </w:tcBorders>
                  <w:vAlign w:val="center"/>
                </w:tcPr>
                <w:p w14:paraId="3AC6D557" w14:textId="77777777" w:rsidR="00B25C95" w:rsidRDefault="00AE360C">
                  <w:pPr>
                    <w:widowControl/>
                    <w:jc w:val="center"/>
                    <w:rPr>
                      <w:rFonts w:ascii="仿宋_GB2312" w:eastAsia="仿宋_GB2312" w:hAnsi="宋体" w:cs="宋体"/>
                      <w:b/>
                      <w:kern w:val="0"/>
                      <w:sz w:val="24"/>
                      <w:szCs w:val="24"/>
                    </w:rPr>
                  </w:pPr>
                  <w:r>
                    <w:rPr>
                      <w:rFonts w:ascii="仿宋_GB2312" w:eastAsia="仿宋_GB2312" w:hAnsi="宋体" w:cs="宋体"/>
                      <w:b/>
                      <w:kern w:val="0"/>
                      <w:sz w:val="24"/>
                      <w:szCs w:val="24"/>
                    </w:rPr>
                    <w:t>2021</w:t>
                  </w:r>
                  <w:r>
                    <w:rPr>
                      <w:rFonts w:ascii="仿宋_GB2312" w:eastAsia="仿宋_GB2312" w:hAnsi="宋体" w:cs="宋体" w:hint="eastAsia"/>
                      <w:b/>
                      <w:kern w:val="0"/>
                      <w:sz w:val="24"/>
                      <w:szCs w:val="24"/>
                    </w:rPr>
                    <w:t>年度预算</w:t>
                  </w:r>
                </w:p>
              </w:tc>
              <w:tc>
                <w:tcPr>
                  <w:tcW w:w="836" w:type="dxa"/>
                  <w:tcBorders>
                    <w:top w:val="single" w:sz="4" w:space="0" w:color="auto"/>
                    <w:left w:val="nil"/>
                    <w:bottom w:val="single" w:sz="4" w:space="0" w:color="auto"/>
                    <w:right w:val="single" w:sz="4" w:space="0" w:color="auto"/>
                  </w:tcBorders>
                  <w:vAlign w:val="center"/>
                </w:tcPr>
                <w:p w14:paraId="78F32BB7" w14:textId="77777777" w:rsidR="00B25C95" w:rsidRDefault="00AE360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增减金额</w:t>
                  </w:r>
                </w:p>
              </w:tc>
              <w:tc>
                <w:tcPr>
                  <w:tcW w:w="2397" w:type="dxa"/>
                  <w:tcBorders>
                    <w:top w:val="single" w:sz="4" w:space="0" w:color="auto"/>
                    <w:left w:val="nil"/>
                    <w:bottom w:val="single" w:sz="4" w:space="0" w:color="auto"/>
                    <w:right w:val="single" w:sz="4" w:space="0" w:color="auto"/>
                  </w:tcBorders>
                  <w:vAlign w:val="center"/>
                </w:tcPr>
                <w:p w14:paraId="23E105C4" w14:textId="77777777" w:rsidR="00B25C95" w:rsidRDefault="00AE360C">
                  <w:pPr>
                    <w:widowControl/>
                    <w:jc w:val="center"/>
                    <w:rPr>
                      <w:rFonts w:ascii="仿宋_GB2312" w:eastAsia="仿宋_GB2312" w:hAnsi="宋体" w:cs="宋体"/>
                      <w:b/>
                      <w:kern w:val="0"/>
                      <w:sz w:val="24"/>
                      <w:szCs w:val="24"/>
                    </w:rPr>
                  </w:pPr>
                  <w:r>
                    <w:rPr>
                      <w:rFonts w:ascii="仿宋_GB2312" w:eastAsia="仿宋_GB2312" w:hAnsi="宋体" w:cs="宋体" w:hint="eastAsia"/>
                      <w:b/>
                      <w:kern w:val="0"/>
                      <w:sz w:val="24"/>
                      <w:szCs w:val="24"/>
                    </w:rPr>
                    <w:t>变化原因</w:t>
                  </w:r>
                </w:p>
              </w:tc>
            </w:tr>
            <w:tr w:rsidR="00B25C95" w14:paraId="72AAC6D5"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41FD3EEA" w14:textId="77777777" w:rsidR="00B25C95" w:rsidRDefault="00AE360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因公出</w:t>
                  </w:r>
                  <w:proofErr w:type="gramStart"/>
                  <w:r>
                    <w:rPr>
                      <w:rFonts w:ascii="仿宋_GB2312" w:eastAsia="仿宋_GB2312" w:hAnsi="宋体" w:cs="宋体" w:hint="eastAsia"/>
                      <w:kern w:val="0"/>
                      <w:sz w:val="24"/>
                      <w:szCs w:val="24"/>
                    </w:rPr>
                    <w:t>国经费</w:t>
                  </w:r>
                  <w:proofErr w:type="gramEnd"/>
                </w:p>
              </w:tc>
              <w:tc>
                <w:tcPr>
                  <w:tcW w:w="1276" w:type="dxa"/>
                  <w:tcBorders>
                    <w:top w:val="nil"/>
                    <w:left w:val="nil"/>
                    <w:bottom w:val="single" w:sz="4" w:space="0" w:color="auto"/>
                    <w:right w:val="single" w:sz="4" w:space="0" w:color="auto"/>
                  </w:tcBorders>
                  <w:vAlign w:val="center"/>
                </w:tcPr>
                <w:p w14:paraId="2B636E00"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14:paraId="207FCB6C"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14:paraId="61ABA468"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10CF1023" w14:textId="77777777" w:rsidR="00B25C95" w:rsidRDefault="00AE360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B25C95" w14:paraId="37502C64" w14:textId="77777777">
              <w:trPr>
                <w:trHeight w:val="285"/>
                <w:jc w:val="center"/>
              </w:trPr>
              <w:tc>
                <w:tcPr>
                  <w:tcW w:w="2163" w:type="dxa"/>
                  <w:tcBorders>
                    <w:top w:val="nil"/>
                    <w:left w:val="single" w:sz="4" w:space="0" w:color="auto"/>
                    <w:bottom w:val="single" w:sz="4" w:space="0" w:color="auto"/>
                    <w:right w:val="single" w:sz="4" w:space="0" w:color="auto"/>
                  </w:tcBorders>
                  <w:vAlign w:val="center"/>
                </w:tcPr>
                <w:p w14:paraId="1C9ADB75" w14:textId="77777777" w:rsidR="00B25C95" w:rsidRDefault="00AE360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公务用车购置经费</w:t>
                  </w:r>
                </w:p>
              </w:tc>
              <w:tc>
                <w:tcPr>
                  <w:tcW w:w="1276" w:type="dxa"/>
                  <w:tcBorders>
                    <w:top w:val="nil"/>
                    <w:left w:val="nil"/>
                    <w:bottom w:val="single" w:sz="4" w:space="0" w:color="auto"/>
                    <w:right w:val="single" w:sz="4" w:space="0" w:color="auto"/>
                  </w:tcBorders>
                  <w:vAlign w:val="center"/>
                </w:tcPr>
                <w:p w14:paraId="7BE1D790"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1418" w:type="dxa"/>
                  <w:tcBorders>
                    <w:top w:val="nil"/>
                    <w:left w:val="nil"/>
                    <w:bottom w:val="single" w:sz="4" w:space="0" w:color="auto"/>
                    <w:right w:val="single" w:sz="4" w:space="0" w:color="auto"/>
                  </w:tcBorders>
                  <w:vAlign w:val="center"/>
                </w:tcPr>
                <w:p w14:paraId="2217BB21"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836" w:type="dxa"/>
                  <w:tcBorders>
                    <w:top w:val="nil"/>
                    <w:left w:val="nil"/>
                    <w:bottom w:val="single" w:sz="4" w:space="0" w:color="auto"/>
                    <w:right w:val="single" w:sz="4" w:space="0" w:color="auto"/>
                  </w:tcBorders>
                  <w:vAlign w:val="center"/>
                </w:tcPr>
                <w:p w14:paraId="0372B8BC"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6325AC4F" w14:textId="77777777" w:rsidR="00B25C95" w:rsidRDefault="00AE360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B25C95" w14:paraId="5C600169" w14:textId="77777777">
              <w:trPr>
                <w:trHeight w:val="570"/>
                <w:jc w:val="center"/>
              </w:trPr>
              <w:tc>
                <w:tcPr>
                  <w:tcW w:w="2163" w:type="dxa"/>
                  <w:tcBorders>
                    <w:top w:val="nil"/>
                    <w:left w:val="single" w:sz="4" w:space="0" w:color="auto"/>
                    <w:bottom w:val="single" w:sz="4" w:space="0" w:color="auto"/>
                    <w:right w:val="single" w:sz="4" w:space="0" w:color="auto"/>
                  </w:tcBorders>
                  <w:vAlign w:val="center"/>
                </w:tcPr>
                <w:p w14:paraId="19C3BC11" w14:textId="77777777" w:rsidR="00B25C95" w:rsidRDefault="00AE360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公务用车运行经费</w:t>
                  </w:r>
                </w:p>
              </w:tc>
              <w:tc>
                <w:tcPr>
                  <w:tcW w:w="1276" w:type="dxa"/>
                  <w:tcBorders>
                    <w:top w:val="nil"/>
                    <w:left w:val="nil"/>
                    <w:bottom w:val="single" w:sz="4" w:space="0" w:color="auto"/>
                    <w:right w:val="single" w:sz="4" w:space="0" w:color="auto"/>
                  </w:tcBorders>
                  <w:vAlign w:val="center"/>
                </w:tcPr>
                <w:p w14:paraId="05129373"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84</w:t>
                  </w:r>
                </w:p>
              </w:tc>
              <w:tc>
                <w:tcPr>
                  <w:tcW w:w="1418" w:type="dxa"/>
                  <w:tcBorders>
                    <w:top w:val="nil"/>
                    <w:left w:val="nil"/>
                    <w:bottom w:val="single" w:sz="4" w:space="0" w:color="auto"/>
                    <w:right w:val="single" w:sz="4" w:space="0" w:color="auto"/>
                  </w:tcBorders>
                  <w:vAlign w:val="center"/>
                </w:tcPr>
                <w:p w14:paraId="34AF49E4"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84</w:t>
                  </w:r>
                </w:p>
              </w:tc>
              <w:tc>
                <w:tcPr>
                  <w:tcW w:w="836" w:type="dxa"/>
                  <w:tcBorders>
                    <w:top w:val="nil"/>
                    <w:left w:val="nil"/>
                    <w:bottom w:val="single" w:sz="4" w:space="0" w:color="auto"/>
                    <w:right w:val="single" w:sz="4" w:space="0" w:color="auto"/>
                  </w:tcBorders>
                  <w:vAlign w:val="center"/>
                </w:tcPr>
                <w:p w14:paraId="43B282A0"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324A02F3" w14:textId="77777777" w:rsidR="00B25C95" w:rsidRDefault="00AE360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B25C95" w14:paraId="44D2401F" w14:textId="77777777">
              <w:trPr>
                <w:trHeight w:val="855"/>
                <w:jc w:val="center"/>
              </w:trPr>
              <w:tc>
                <w:tcPr>
                  <w:tcW w:w="2163" w:type="dxa"/>
                  <w:tcBorders>
                    <w:top w:val="nil"/>
                    <w:left w:val="single" w:sz="4" w:space="0" w:color="auto"/>
                    <w:bottom w:val="single" w:sz="4" w:space="0" w:color="auto"/>
                    <w:right w:val="single" w:sz="4" w:space="0" w:color="auto"/>
                  </w:tcBorders>
                  <w:vAlign w:val="center"/>
                </w:tcPr>
                <w:p w14:paraId="6A2310E1" w14:textId="77777777" w:rsidR="00B25C95" w:rsidRDefault="00AE360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公务接待费支出</w:t>
                  </w:r>
                </w:p>
              </w:tc>
              <w:tc>
                <w:tcPr>
                  <w:tcW w:w="1276" w:type="dxa"/>
                  <w:tcBorders>
                    <w:top w:val="nil"/>
                    <w:left w:val="nil"/>
                    <w:bottom w:val="single" w:sz="4" w:space="0" w:color="auto"/>
                    <w:right w:val="single" w:sz="4" w:space="0" w:color="auto"/>
                  </w:tcBorders>
                  <w:vAlign w:val="center"/>
                </w:tcPr>
                <w:p w14:paraId="5E4B6B9E"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3</w:t>
                  </w:r>
                </w:p>
              </w:tc>
              <w:tc>
                <w:tcPr>
                  <w:tcW w:w="1418" w:type="dxa"/>
                  <w:tcBorders>
                    <w:top w:val="nil"/>
                    <w:left w:val="nil"/>
                    <w:bottom w:val="single" w:sz="4" w:space="0" w:color="auto"/>
                    <w:right w:val="single" w:sz="4" w:space="0" w:color="auto"/>
                  </w:tcBorders>
                  <w:vAlign w:val="center"/>
                </w:tcPr>
                <w:p w14:paraId="0E6C6B1C"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3</w:t>
                  </w:r>
                </w:p>
              </w:tc>
              <w:tc>
                <w:tcPr>
                  <w:tcW w:w="836" w:type="dxa"/>
                  <w:tcBorders>
                    <w:top w:val="nil"/>
                    <w:left w:val="nil"/>
                    <w:bottom w:val="single" w:sz="4" w:space="0" w:color="auto"/>
                    <w:right w:val="single" w:sz="4" w:space="0" w:color="auto"/>
                  </w:tcBorders>
                  <w:vAlign w:val="center"/>
                </w:tcPr>
                <w:p w14:paraId="7055DB6C"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28CFBEAA" w14:textId="77777777" w:rsidR="00B25C95" w:rsidRDefault="00AE360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B25C95" w14:paraId="4E17E3D2" w14:textId="77777777">
              <w:trPr>
                <w:trHeight w:val="1140"/>
                <w:jc w:val="center"/>
              </w:trPr>
              <w:tc>
                <w:tcPr>
                  <w:tcW w:w="2163" w:type="dxa"/>
                  <w:tcBorders>
                    <w:top w:val="nil"/>
                    <w:left w:val="single" w:sz="4" w:space="0" w:color="auto"/>
                    <w:bottom w:val="single" w:sz="4" w:space="0" w:color="auto"/>
                    <w:right w:val="single" w:sz="4" w:space="0" w:color="auto"/>
                  </w:tcBorders>
                  <w:vAlign w:val="center"/>
                </w:tcPr>
                <w:p w14:paraId="50F2C039" w14:textId="77777777" w:rsidR="00B25C95" w:rsidRDefault="00AE360C">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合计</w:t>
                  </w:r>
                </w:p>
              </w:tc>
              <w:tc>
                <w:tcPr>
                  <w:tcW w:w="1276" w:type="dxa"/>
                  <w:tcBorders>
                    <w:top w:val="nil"/>
                    <w:left w:val="nil"/>
                    <w:bottom w:val="single" w:sz="4" w:space="0" w:color="auto"/>
                    <w:right w:val="single" w:sz="4" w:space="0" w:color="auto"/>
                  </w:tcBorders>
                  <w:vAlign w:val="center"/>
                </w:tcPr>
                <w:p w14:paraId="0BC5382E"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87</w:t>
                  </w:r>
                </w:p>
              </w:tc>
              <w:tc>
                <w:tcPr>
                  <w:tcW w:w="1418" w:type="dxa"/>
                  <w:tcBorders>
                    <w:top w:val="nil"/>
                    <w:left w:val="nil"/>
                    <w:bottom w:val="single" w:sz="4" w:space="0" w:color="auto"/>
                    <w:right w:val="single" w:sz="4" w:space="0" w:color="auto"/>
                  </w:tcBorders>
                  <w:vAlign w:val="center"/>
                </w:tcPr>
                <w:p w14:paraId="2808FEA6"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87</w:t>
                  </w:r>
                </w:p>
              </w:tc>
              <w:tc>
                <w:tcPr>
                  <w:tcW w:w="836" w:type="dxa"/>
                  <w:tcBorders>
                    <w:top w:val="nil"/>
                    <w:left w:val="nil"/>
                    <w:bottom w:val="single" w:sz="4" w:space="0" w:color="auto"/>
                    <w:right w:val="single" w:sz="4" w:space="0" w:color="auto"/>
                  </w:tcBorders>
                  <w:vAlign w:val="center"/>
                </w:tcPr>
                <w:p w14:paraId="7C1DFA25" w14:textId="77777777" w:rsidR="00B25C95" w:rsidRDefault="00AE360C">
                  <w:pPr>
                    <w:widowControl/>
                    <w:jc w:val="center"/>
                    <w:rPr>
                      <w:rFonts w:ascii="仿宋_GB2312" w:eastAsia="仿宋_GB2312" w:hAnsi="宋体" w:cs="宋体"/>
                      <w:color w:val="FF0000"/>
                      <w:kern w:val="0"/>
                      <w:sz w:val="24"/>
                      <w:szCs w:val="24"/>
                    </w:rPr>
                  </w:pPr>
                  <w:r>
                    <w:rPr>
                      <w:rFonts w:ascii="仿宋_GB2312" w:eastAsia="仿宋_GB2312" w:hAnsi="宋体" w:cs="宋体" w:hint="eastAsia"/>
                      <w:color w:val="FF0000"/>
                      <w:kern w:val="0"/>
                      <w:sz w:val="24"/>
                      <w:szCs w:val="24"/>
                    </w:rPr>
                    <w:t>0</w:t>
                  </w:r>
                </w:p>
              </w:tc>
              <w:tc>
                <w:tcPr>
                  <w:tcW w:w="2397" w:type="dxa"/>
                  <w:tcBorders>
                    <w:top w:val="nil"/>
                    <w:left w:val="nil"/>
                    <w:bottom w:val="single" w:sz="4" w:space="0" w:color="auto"/>
                    <w:right w:val="single" w:sz="4" w:space="0" w:color="auto"/>
                  </w:tcBorders>
                  <w:vAlign w:val="center"/>
                </w:tcPr>
                <w:p w14:paraId="25126776" w14:textId="77777777" w:rsidR="00B25C95" w:rsidRDefault="00AE360C">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无变化</w:t>
                  </w:r>
                </w:p>
              </w:tc>
            </w:tr>
            <w:tr w:rsidR="00B25C95" w14:paraId="2E06C42E" w14:textId="77777777">
              <w:trPr>
                <w:trHeight w:val="285"/>
                <w:jc w:val="center"/>
              </w:trPr>
              <w:tc>
                <w:tcPr>
                  <w:tcW w:w="2163" w:type="dxa"/>
                  <w:tcBorders>
                    <w:top w:val="nil"/>
                    <w:left w:val="nil"/>
                    <w:bottom w:val="nil"/>
                    <w:right w:val="nil"/>
                  </w:tcBorders>
                  <w:vAlign w:val="center"/>
                </w:tcPr>
                <w:p w14:paraId="058BD3D9" w14:textId="77777777" w:rsidR="00B25C95" w:rsidRDefault="00B25C95">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04AD62A" w14:textId="77777777" w:rsidR="00B25C95" w:rsidRDefault="00B25C95">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3206FB26" w14:textId="77777777" w:rsidR="00B25C95" w:rsidRDefault="00B25C95">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0DDBE3D" w14:textId="77777777" w:rsidR="00B25C95" w:rsidRDefault="00B25C95">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65D81767" w14:textId="77777777" w:rsidR="00B25C95" w:rsidRDefault="00B25C95">
                  <w:pPr>
                    <w:widowControl/>
                    <w:jc w:val="left"/>
                    <w:rPr>
                      <w:rFonts w:ascii="宋体" w:hAnsi="宋体" w:cs="宋体"/>
                      <w:kern w:val="0"/>
                      <w:sz w:val="24"/>
                      <w:szCs w:val="24"/>
                    </w:rPr>
                  </w:pPr>
                </w:p>
              </w:tc>
            </w:tr>
          </w:tbl>
          <w:p w14:paraId="54A0D28E" w14:textId="77777777" w:rsidR="00B25C95" w:rsidRDefault="00B25C95">
            <w:pPr>
              <w:widowControl/>
              <w:spacing w:line="520" w:lineRule="exact"/>
              <w:ind w:right="480"/>
              <w:rPr>
                <w:rFonts w:ascii="仿宋" w:eastAsia="仿宋" w:hAnsi="仿宋" w:cs="宋体"/>
                <w:kern w:val="0"/>
                <w:sz w:val="24"/>
                <w:szCs w:val="24"/>
              </w:rPr>
            </w:pPr>
          </w:p>
        </w:tc>
      </w:tr>
    </w:tbl>
    <w:p w14:paraId="64057744"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lastRenderedPageBreak/>
        <w:t>第五部分：预算绩效信息</w:t>
      </w:r>
    </w:p>
    <w:p w14:paraId="40BD59C6" w14:textId="77777777" w:rsidR="00B25C95" w:rsidRDefault="00B25C95">
      <w:pPr>
        <w:spacing w:line="360" w:lineRule="auto"/>
        <w:jc w:val="center"/>
        <w:rPr>
          <w:rFonts w:ascii="黑体" w:eastAsia="黑体" w:hAnsi="黑体" w:cs="Times New Roman"/>
          <w:sz w:val="32"/>
          <w:szCs w:val="32"/>
        </w:rPr>
      </w:pPr>
    </w:p>
    <w:p w14:paraId="3B29D440"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t>部门整体</w:t>
      </w:r>
      <w:r>
        <w:rPr>
          <w:rFonts w:ascii="方正小标宋_GBK" w:eastAsia="方正小标宋_GBK"/>
          <w:sz w:val="44"/>
        </w:rPr>
        <w:t>绩效目标</w:t>
      </w:r>
    </w:p>
    <w:p w14:paraId="4EC0747D"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以习近平新时代中国特色社会主义思想为统领，坚持以人民为中心，坚持围绕中心服务大局，坚持高质量发展，坚持</w:t>
      </w:r>
      <w:r>
        <w:rPr>
          <w:rFonts w:ascii="Times New Roman" w:eastAsia="方正仿宋_GBK"/>
          <w:sz w:val="28"/>
        </w:rPr>
        <w:t>“</w:t>
      </w:r>
      <w:r>
        <w:rPr>
          <w:rFonts w:ascii="Times New Roman" w:eastAsia="方正仿宋_GBK" w:hAnsi="微软雅黑" w:cs="微软雅黑" w:hint="eastAsia"/>
          <w:sz w:val="28"/>
        </w:rPr>
        <w:t>四个最严</w:t>
      </w:r>
      <w:r>
        <w:rPr>
          <w:rFonts w:ascii="Times New Roman" w:eastAsia="方正仿宋_GBK"/>
          <w:sz w:val="28"/>
        </w:rPr>
        <w:t>”</w:t>
      </w:r>
      <w:r>
        <w:rPr>
          <w:rFonts w:ascii="Times New Roman" w:eastAsia="方正仿宋_GBK" w:hAnsi="微软雅黑" w:cs="微软雅黑" w:hint="eastAsia"/>
          <w:sz w:val="28"/>
        </w:rPr>
        <w:t>要求，坚持风险防控，坚持市场化改革方向，建设统一开放、竞争有序、诚信守法、监管有力的现代化市场体系，努力实现市场有活力、竞争有秩序、发展有质量、安全有保障，提升市场监管治理体系和治理能力现代化水平，提升人民群众满意度。持续推行</w:t>
      </w:r>
      <w:r>
        <w:rPr>
          <w:rFonts w:ascii="Times New Roman" w:eastAsia="方正仿宋_GBK"/>
          <w:sz w:val="28"/>
        </w:rPr>
        <w:t>“</w:t>
      </w:r>
      <w:r>
        <w:rPr>
          <w:rFonts w:ascii="Times New Roman" w:eastAsia="方正仿宋_GBK" w:hAnsi="微软雅黑" w:cs="微软雅黑" w:hint="eastAsia"/>
          <w:sz w:val="28"/>
        </w:rPr>
        <w:t>放管服</w:t>
      </w:r>
      <w:r>
        <w:rPr>
          <w:rFonts w:ascii="Times New Roman" w:eastAsia="方正仿宋_GBK"/>
          <w:sz w:val="28"/>
        </w:rPr>
        <w:t>”</w:t>
      </w:r>
      <w:r>
        <w:rPr>
          <w:rFonts w:ascii="Times New Roman" w:eastAsia="方正仿宋_GBK" w:hAnsi="微软雅黑" w:cs="微软雅黑" w:hint="eastAsia"/>
          <w:sz w:val="28"/>
        </w:rPr>
        <w:t>改革，引导市场主体户数持续增长。事中事后监管取得新进展，</w:t>
      </w:r>
      <w:r>
        <w:rPr>
          <w:rFonts w:ascii="Times New Roman" w:eastAsia="方正仿宋_GBK"/>
          <w:sz w:val="28"/>
        </w:rPr>
        <w:t>“</w:t>
      </w:r>
      <w:r>
        <w:rPr>
          <w:rFonts w:ascii="Times New Roman" w:eastAsia="方正仿宋_GBK" w:hAnsi="微软雅黑" w:cs="微软雅黑" w:hint="eastAsia"/>
          <w:sz w:val="28"/>
        </w:rPr>
        <w:t>双随机、</w:t>
      </w:r>
      <w:proofErr w:type="gramStart"/>
      <w:r>
        <w:rPr>
          <w:rFonts w:ascii="Times New Roman" w:eastAsia="方正仿宋_GBK" w:hAnsi="微软雅黑" w:cs="微软雅黑" w:hint="eastAsia"/>
          <w:sz w:val="28"/>
        </w:rPr>
        <w:t>一</w:t>
      </w:r>
      <w:proofErr w:type="gramEnd"/>
      <w:r>
        <w:rPr>
          <w:rFonts w:ascii="Times New Roman" w:eastAsia="方正仿宋_GBK" w:hAnsi="微软雅黑" w:cs="微软雅黑" w:hint="eastAsia"/>
          <w:sz w:val="28"/>
        </w:rPr>
        <w:t>公开</w:t>
      </w:r>
      <w:r>
        <w:rPr>
          <w:rFonts w:ascii="Times New Roman" w:eastAsia="方正仿宋_GBK"/>
          <w:sz w:val="28"/>
        </w:rPr>
        <w:t>”</w:t>
      </w:r>
      <w:r>
        <w:rPr>
          <w:rFonts w:ascii="Times New Roman" w:eastAsia="方正仿宋_GBK" w:hAnsi="微软雅黑" w:cs="微软雅黑" w:hint="eastAsia"/>
          <w:sz w:val="28"/>
        </w:rPr>
        <w:t>监管实现全覆盖。质量强区和标准化战略稳步实施，深入开展制造业、农产品和食品药品、</w:t>
      </w:r>
      <w:r>
        <w:rPr>
          <w:rFonts w:ascii="Times New Roman" w:eastAsia="方正仿宋_GBK" w:hAnsi="微软雅黑" w:cs="微软雅黑" w:hint="eastAsia"/>
          <w:sz w:val="28"/>
        </w:rPr>
        <w:lastRenderedPageBreak/>
        <w:t>消费品、工程质量等十个方面质量提升。认真落实</w:t>
      </w:r>
      <w:r>
        <w:rPr>
          <w:rFonts w:ascii="Times New Roman" w:eastAsia="方正仿宋_GBK"/>
          <w:sz w:val="28"/>
        </w:rPr>
        <w:t>“</w:t>
      </w:r>
      <w:r>
        <w:rPr>
          <w:rFonts w:ascii="Times New Roman" w:eastAsia="方正仿宋_GBK" w:hAnsi="微软雅黑" w:cs="微软雅黑" w:hint="eastAsia"/>
          <w:sz w:val="28"/>
        </w:rPr>
        <w:t>四个最严</w:t>
      </w:r>
      <w:r>
        <w:rPr>
          <w:rFonts w:ascii="Times New Roman" w:eastAsia="方正仿宋_GBK"/>
          <w:sz w:val="28"/>
        </w:rPr>
        <w:t>”</w:t>
      </w:r>
      <w:r>
        <w:rPr>
          <w:rFonts w:ascii="Times New Roman" w:eastAsia="方正仿宋_GBK" w:hAnsi="微软雅黑" w:cs="微软雅黑" w:hint="eastAsia"/>
          <w:sz w:val="28"/>
        </w:rPr>
        <w:t>要求，推动实施食品安全工程和</w:t>
      </w:r>
      <w:r>
        <w:rPr>
          <w:rFonts w:ascii="Times New Roman" w:eastAsia="方正仿宋_GBK"/>
          <w:sz w:val="28"/>
        </w:rPr>
        <w:t>“</w:t>
      </w:r>
      <w:r>
        <w:rPr>
          <w:rFonts w:ascii="Times New Roman" w:eastAsia="方正仿宋_GBK" w:hAnsi="微软雅黑" w:cs="微软雅黑" w:hint="eastAsia"/>
          <w:sz w:val="28"/>
        </w:rPr>
        <w:t>食品安全诚信河北</w:t>
      </w:r>
      <w:r>
        <w:rPr>
          <w:rFonts w:ascii="Times New Roman" w:eastAsia="方正仿宋_GBK"/>
          <w:sz w:val="28"/>
        </w:rPr>
        <w:t>”</w:t>
      </w:r>
      <w:r>
        <w:rPr>
          <w:rFonts w:ascii="Times New Roman" w:eastAsia="方正仿宋_GBK" w:hAnsi="微软雅黑" w:cs="微软雅黑" w:hint="eastAsia"/>
          <w:sz w:val="28"/>
        </w:rPr>
        <w:t>行动计划（</w:t>
      </w:r>
      <w:r>
        <w:rPr>
          <w:rFonts w:ascii="Times New Roman" w:eastAsia="方正仿宋_GBK"/>
          <w:sz w:val="28"/>
        </w:rPr>
        <w:t>2018</w:t>
      </w:r>
      <w:r>
        <w:rPr>
          <w:rFonts w:ascii="Times New Roman" w:eastAsia="方正仿宋_GBK"/>
          <w:sz w:val="28"/>
        </w:rPr>
        <w:t>-2020</w:t>
      </w:r>
      <w:r>
        <w:rPr>
          <w:rFonts w:ascii="Times New Roman" w:eastAsia="方正仿宋_GBK" w:hAnsi="微软雅黑" w:cs="微软雅黑" w:hint="eastAsia"/>
          <w:sz w:val="28"/>
        </w:rPr>
        <w:t>年），全面落实食品安全党政同责。加大对重特大违法案件的查处，净化市场环境。实现重大案件发生数逐年减少。全力服务京津冀协同发展、</w:t>
      </w:r>
      <w:proofErr w:type="gramStart"/>
      <w:r>
        <w:rPr>
          <w:rFonts w:ascii="Times New Roman" w:eastAsia="方正仿宋_GBK" w:hAnsi="微软雅黑" w:cs="微软雅黑" w:hint="eastAsia"/>
          <w:sz w:val="28"/>
        </w:rPr>
        <w:t>雄安新区</w:t>
      </w:r>
      <w:proofErr w:type="gramEnd"/>
      <w:r>
        <w:rPr>
          <w:rFonts w:ascii="Times New Roman" w:eastAsia="方正仿宋_GBK" w:hAnsi="微软雅黑" w:cs="微软雅黑" w:hint="eastAsia"/>
          <w:sz w:val="28"/>
        </w:rPr>
        <w:t>规划建设。</w:t>
      </w:r>
      <w:r>
        <w:rPr>
          <w:rFonts w:ascii="Times New Roman" w:eastAsia="方正仿宋_GBK"/>
          <w:sz w:val="28"/>
        </w:rPr>
        <w:t xml:space="preserve"> </w:t>
      </w:r>
    </w:p>
    <w:p w14:paraId="4841C610" w14:textId="77777777" w:rsidR="00B25C95" w:rsidRDefault="00AE360C">
      <w:pPr>
        <w:jc w:val="center"/>
        <w:outlineLvl w:val="0"/>
        <w:rPr>
          <w:rFonts w:ascii="方正书宋_GBK" w:eastAsia="方正书宋_GBK"/>
        </w:rPr>
      </w:pPr>
      <w:r>
        <w:rPr>
          <w:rFonts w:ascii="方正小标宋_GBK" w:eastAsia="方正小标宋_GBK" w:hint="eastAsia"/>
          <w:sz w:val="44"/>
        </w:rPr>
        <w:t>预算项目绩效目标</w:t>
      </w:r>
    </w:p>
    <w:p w14:paraId="1E5827CF"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sz w:val="28"/>
        </w:rPr>
        <w:t>(</w:t>
      </w:r>
      <w:r>
        <w:rPr>
          <w:rFonts w:ascii="Times New Roman" w:eastAsia="方正仿宋_GBK" w:hAnsi="微软雅黑" w:cs="微软雅黑" w:hint="eastAsia"/>
          <w:sz w:val="28"/>
        </w:rPr>
        <w:t>一）市场监督管理能力和水平整体增强</w:t>
      </w:r>
    </w:p>
    <w:p w14:paraId="36FBFB6E"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指导全区市场监管部门抵押登记工作，为市场主体特别是民营企业融资提供服务，促进市场主体融资发展。市场监管治理体系进一步完善，市场主体数量稳定增长，市场活力进一步增强，市场发展环境进一步优化，市场秩序进一步好转，食品生产企业实施</w:t>
      </w:r>
      <w:r>
        <w:rPr>
          <w:rFonts w:ascii="Times New Roman" w:eastAsia="方正仿宋_GBK"/>
          <w:sz w:val="28"/>
        </w:rPr>
        <w:t>HACCP</w:t>
      </w:r>
      <w:r>
        <w:rPr>
          <w:rFonts w:ascii="Times New Roman" w:eastAsia="方正仿宋_GBK" w:hAnsi="微软雅黑" w:cs="微软雅黑" w:hint="eastAsia"/>
          <w:sz w:val="28"/>
        </w:rPr>
        <w:t>等先进质量管理体系，食品安全风险监测预警能力稳步提升，</w:t>
      </w:r>
      <w:r>
        <w:rPr>
          <w:rFonts w:ascii="Times New Roman" w:eastAsia="方正仿宋_GBK" w:hAnsi="微软雅黑" w:cs="微软雅黑" w:hint="eastAsia"/>
          <w:sz w:val="28"/>
        </w:rPr>
        <w:t>突发食品事件应急处置能力持续强化，监督检查特种设备能力整体增强，产品质量水平进一步提高。</w:t>
      </w:r>
    </w:p>
    <w:p w14:paraId="7BE96C85"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绩效指标：预计</w:t>
      </w:r>
      <w:r>
        <w:rPr>
          <w:rFonts w:ascii="Times New Roman" w:eastAsia="方正仿宋_GBK"/>
          <w:sz w:val="28"/>
        </w:rPr>
        <w:t>2020</w:t>
      </w:r>
      <w:r>
        <w:rPr>
          <w:rFonts w:ascii="Times New Roman" w:eastAsia="方正仿宋_GBK" w:hAnsi="微软雅黑" w:cs="微软雅黑" w:hint="eastAsia"/>
          <w:sz w:val="28"/>
        </w:rPr>
        <w:t>年为全区市场主体提供抵押登记融资服务金额达</w:t>
      </w:r>
      <w:r>
        <w:rPr>
          <w:rFonts w:ascii="Times New Roman" w:eastAsia="方正仿宋_GBK"/>
          <w:sz w:val="28"/>
        </w:rPr>
        <w:t>100</w:t>
      </w:r>
      <w:r>
        <w:rPr>
          <w:rFonts w:ascii="Times New Roman" w:eastAsia="方正仿宋_GBK" w:hAnsi="微软雅黑" w:cs="微软雅黑" w:hint="eastAsia"/>
          <w:sz w:val="28"/>
        </w:rPr>
        <w:t>万元，为企业服务指导覆盖率大于</w:t>
      </w:r>
      <w:r>
        <w:rPr>
          <w:rFonts w:ascii="Times New Roman" w:eastAsia="方正仿宋_GBK"/>
          <w:sz w:val="28"/>
        </w:rPr>
        <w:t>90%</w:t>
      </w:r>
      <w:r>
        <w:rPr>
          <w:rFonts w:ascii="Times New Roman" w:eastAsia="方正仿宋_GBK" w:hAnsi="微软雅黑" w:cs="微软雅黑" w:hint="eastAsia"/>
          <w:sz w:val="28"/>
        </w:rPr>
        <w:t>，组织全区食品生产企业检查率大于</w:t>
      </w:r>
      <w:r>
        <w:rPr>
          <w:rFonts w:ascii="Times New Roman" w:eastAsia="方正仿宋_GBK"/>
          <w:sz w:val="28"/>
        </w:rPr>
        <w:t>90%</w:t>
      </w:r>
      <w:r>
        <w:rPr>
          <w:rFonts w:ascii="Times New Roman" w:eastAsia="方正仿宋_GBK" w:hAnsi="微软雅黑" w:cs="微软雅黑" w:hint="eastAsia"/>
          <w:sz w:val="28"/>
        </w:rPr>
        <w:t>，维持重大食品安全事故数为零，特种设备定检完成率不低于</w:t>
      </w:r>
      <w:r>
        <w:rPr>
          <w:rFonts w:ascii="Times New Roman" w:eastAsia="方正仿宋_GBK"/>
          <w:sz w:val="28"/>
        </w:rPr>
        <w:t>95%</w:t>
      </w:r>
      <w:r>
        <w:rPr>
          <w:rFonts w:ascii="Times New Roman" w:eastAsia="方正仿宋_GBK" w:hAnsi="微软雅黑" w:cs="微软雅黑" w:hint="eastAsia"/>
          <w:sz w:val="28"/>
        </w:rPr>
        <w:t>，重点特种设备定期检验率达</w:t>
      </w:r>
      <w:r>
        <w:rPr>
          <w:rFonts w:ascii="Times New Roman" w:eastAsia="方正仿宋_GBK"/>
          <w:sz w:val="28"/>
        </w:rPr>
        <w:t>98%</w:t>
      </w:r>
      <w:r>
        <w:rPr>
          <w:rFonts w:ascii="Times New Roman" w:eastAsia="方正仿宋_GBK" w:hAnsi="微软雅黑" w:cs="微软雅黑" w:hint="eastAsia"/>
          <w:sz w:val="28"/>
        </w:rPr>
        <w:t>，万台特种设备死亡率低于</w:t>
      </w:r>
      <w:r>
        <w:rPr>
          <w:rFonts w:ascii="Times New Roman" w:eastAsia="方正仿宋_GBK"/>
          <w:sz w:val="28"/>
        </w:rPr>
        <w:t>0.36</w:t>
      </w:r>
      <w:r>
        <w:rPr>
          <w:rFonts w:ascii="Times New Roman" w:eastAsia="方正仿宋_GBK" w:hAnsi="微软雅黑" w:cs="微软雅黑" w:hint="eastAsia"/>
          <w:sz w:val="28"/>
        </w:rPr>
        <w:t>，监督抽查特种设备获证企业不低于</w:t>
      </w:r>
      <w:r>
        <w:rPr>
          <w:rFonts w:ascii="Times New Roman" w:eastAsia="方正仿宋_GBK"/>
          <w:sz w:val="28"/>
        </w:rPr>
        <w:t>5</w:t>
      </w:r>
      <w:r>
        <w:rPr>
          <w:rFonts w:ascii="Times New Roman" w:eastAsia="方正仿宋_GBK" w:hAnsi="微软雅黑" w:cs="微软雅黑" w:hint="eastAsia"/>
          <w:sz w:val="28"/>
        </w:rPr>
        <w:t>家。</w:t>
      </w:r>
    </w:p>
    <w:p w14:paraId="44F5280C"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（二）质量发展水平进一步提升</w:t>
      </w:r>
    </w:p>
    <w:p w14:paraId="0C0E2669"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绩效目标：推进质量强区战略、产品质量安全管理制度更加完善，推进品牌建设，全区质量基础</w:t>
      </w:r>
      <w:r>
        <w:rPr>
          <w:rFonts w:ascii="Times New Roman" w:eastAsia="方正仿宋_GBK" w:hAnsi="微软雅黑" w:cs="微软雅黑" w:hint="eastAsia"/>
          <w:sz w:val="28"/>
        </w:rPr>
        <w:t>设施协同服务成熟高效，全面实施国家标准、行业标准和地方标准，对标准的实施进行监督检查。</w:t>
      </w:r>
    </w:p>
    <w:p w14:paraId="15E439A7"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lastRenderedPageBreak/>
        <w:t>绩效指标：制</w:t>
      </w:r>
      <w:proofErr w:type="gramStart"/>
      <w:r>
        <w:rPr>
          <w:rFonts w:ascii="Times New Roman" w:eastAsia="方正仿宋_GBK" w:hAnsi="微软雅黑" w:cs="微软雅黑" w:hint="eastAsia"/>
          <w:sz w:val="28"/>
        </w:rPr>
        <w:t>修订区</w:t>
      </w:r>
      <w:proofErr w:type="gramEnd"/>
      <w:r>
        <w:rPr>
          <w:rFonts w:ascii="Times New Roman" w:eastAsia="方正仿宋_GBK" w:hAnsi="微软雅黑" w:cs="微软雅黑" w:hint="eastAsia"/>
          <w:sz w:val="28"/>
        </w:rPr>
        <w:t>地方标准数量不低于</w:t>
      </w:r>
      <w:r>
        <w:rPr>
          <w:rFonts w:ascii="Times New Roman" w:eastAsia="方正仿宋_GBK"/>
          <w:sz w:val="28"/>
        </w:rPr>
        <w:t>1</w:t>
      </w:r>
      <w:r>
        <w:rPr>
          <w:rFonts w:ascii="Times New Roman" w:eastAsia="方正仿宋_GBK" w:hAnsi="微软雅黑" w:cs="微软雅黑" w:hint="eastAsia"/>
          <w:sz w:val="28"/>
        </w:rPr>
        <w:t>个。</w:t>
      </w:r>
    </w:p>
    <w:p w14:paraId="6F847549"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（三）知识产权保护与发展水平进一步提高</w:t>
      </w:r>
    </w:p>
    <w:p w14:paraId="47946582"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知识产权保护体系更加完善，对商标、专利、地理标志等执法工作稳定开展，维权援助工作有效执行，推动知识产权运营服务体系建设不断提升，驰名商标推荐工作持续开展，知识产权信息公共服务体系建设更加成熟，知识产权信息传播利用不断增强。</w:t>
      </w:r>
    </w:p>
    <w:p w14:paraId="23070CF6"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绩效指标：年度内组织开展的知识产权宣传普及活动数量大于</w:t>
      </w:r>
      <w:r>
        <w:rPr>
          <w:rFonts w:ascii="Times New Roman" w:eastAsia="方正仿宋_GBK"/>
          <w:sz w:val="28"/>
        </w:rPr>
        <w:t>5</w:t>
      </w:r>
      <w:r>
        <w:rPr>
          <w:rFonts w:ascii="Times New Roman" w:eastAsia="方正仿宋_GBK" w:hAnsi="微软雅黑" w:cs="微软雅黑" w:hint="eastAsia"/>
          <w:sz w:val="28"/>
        </w:rPr>
        <w:t>次，参与企业知识产权管理国家标准推行、知识产权优势</w:t>
      </w:r>
      <w:r>
        <w:rPr>
          <w:rFonts w:ascii="Times New Roman" w:eastAsia="方正仿宋_GBK" w:hAnsi="微软雅黑" w:cs="微软雅黑" w:hint="eastAsia"/>
          <w:sz w:val="28"/>
        </w:rPr>
        <w:t>培育的试点企业通过知识产权部门验收的比例大于</w:t>
      </w:r>
      <w:r>
        <w:rPr>
          <w:rFonts w:ascii="Times New Roman" w:eastAsia="方正仿宋_GBK"/>
          <w:sz w:val="28"/>
        </w:rPr>
        <w:t>80%.</w:t>
      </w:r>
    </w:p>
    <w:p w14:paraId="6088FFF3"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（四）市场监督行政执法进一步增强</w:t>
      </w:r>
    </w:p>
    <w:p w14:paraId="02CFEB2B"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查处市场主体准入、生产、经营、交易中的有关违法行为和案件进一步提升，组织查办、督查督办有全区性影响和跨区域的大案要案工作水平进一步提高，查处垄断案件、不正当竞争行为，组织指导公平竞争审查，有效监督管理直销企业直销活动，增强打击传销力度。</w:t>
      </w:r>
    </w:p>
    <w:p w14:paraId="7D7D7495"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绩效指标：执法案件查处率大于</w:t>
      </w:r>
      <w:r>
        <w:rPr>
          <w:rFonts w:ascii="Times New Roman" w:eastAsia="方正仿宋_GBK"/>
          <w:sz w:val="28"/>
        </w:rPr>
        <w:t>90%</w:t>
      </w:r>
      <w:r>
        <w:rPr>
          <w:rFonts w:ascii="Times New Roman" w:eastAsia="方正仿宋_GBK" w:hAnsi="微软雅黑" w:cs="微软雅黑" w:hint="eastAsia"/>
          <w:sz w:val="28"/>
        </w:rPr>
        <w:t>，对下级市场监管部门督导检查次数大于</w:t>
      </w:r>
      <w:r>
        <w:rPr>
          <w:rFonts w:ascii="Times New Roman" w:eastAsia="方正仿宋_GBK"/>
          <w:sz w:val="28"/>
        </w:rPr>
        <w:t>10</w:t>
      </w:r>
      <w:r>
        <w:rPr>
          <w:rFonts w:ascii="Times New Roman" w:eastAsia="方正仿宋_GBK" w:hAnsi="微软雅黑" w:cs="微软雅黑" w:hint="eastAsia"/>
          <w:sz w:val="28"/>
        </w:rPr>
        <w:t>次，对企业行政指导工作次数大于</w:t>
      </w:r>
      <w:r>
        <w:rPr>
          <w:rFonts w:ascii="Times New Roman" w:eastAsia="方正仿宋_GBK"/>
          <w:sz w:val="28"/>
        </w:rPr>
        <w:t>2</w:t>
      </w:r>
      <w:r>
        <w:rPr>
          <w:rFonts w:ascii="Times New Roman" w:eastAsia="方正仿宋_GBK" w:hAnsi="微软雅黑" w:cs="微软雅黑" w:hint="eastAsia"/>
          <w:sz w:val="28"/>
        </w:rPr>
        <w:t>次。</w:t>
      </w:r>
    </w:p>
    <w:p w14:paraId="50EE7F87"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（五）市场监督政务管理能力得到提升</w:t>
      </w:r>
    </w:p>
    <w:p w14:paraId="689F3123"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绩效目标：利用</w:t>
      </w:r>
      <w:proofErr w:type="gramStart"/>
      <w:r>
        <w:rPr>
          <w:rFonts w:ascii="Times New Roman" w:eastAsia="方正仿宋_GBK" w:hAnsi="微软雅黑" w:cs="微软雅黑" w:hint="eastAsia"/>
          <w:sz w:val="28"/>
        </w:rPr>
        <w:t>去局官网、微信</w:t>
      </w:r>
      <w:proofErr w:type="gramEnd"/>
      <w:r>
        <w:rPr>
          <w:rFonts w:ascii="Times New Roman" w:eastAsia="方正仿宋_GBK" w:hAnsi="微软雅黑" w:cs="微软雅黑" w:hint="eastAsia"/>
          <w:sz w:val="28"/>
        </w:rPr>
        <w:t>等宣传平台</w:t>
      </w:r>
      <w:r>
        <w:rPr>
          <w:rFonts w:ascii="Times New Roman" w:eastAsia="方正仿宋_GBK"/>
          <w:sz w:val="28"/>
        </w:rPr>
        <w:t>,</w:t>
      </w:r>
      <w:r>
        <w:rPr>
          <w:rFonts w:ascii="Times New Roman" w:eastAsia="方正仿宋_GBK" w:hAnsi="微软雅黑" w:cs="微软雅黑" w:hint="eastAsia"/>
          <w:sz w:val="28"/>
        </w:rPr>
        <w:t>提升宣传效果，用新闻报道讲好市场监管故事。对重大事件实施动态监测，有效避免负面舆情危机。法律服务能力进一步提升；科研管理、技术引进、成果应用工作稳步提高；教</w:t>
      </w:r>
      <w:r>
        <w:rPr>
          <w:rFonts w:ascii="Times New Roman" w:eastAsia="方正仿宋_GBK" w:hAnsi="微软雅黑" w:cs="微软雅黑" w:hint="eastAsia"/>
          <w:sz w:val="28"/>
        </w:rPr>
        <w:lastRenderedPageBreak/>
        <w:t>育、培训、市场监管文化建设进一步加强，综合保障能力进一步提高。</w:t>
      </w:r>
    </w:p>
    <w:p w14:paraId="3E2CF66A"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绩效指标：媒体稿件篇数</w:t>
      </w:r>
      <w:r>
        <w:rPr>
          <w:rFonts w:ascii="Times New Roman" w:eastAsia="方正仿宋_GBK"/>
          <w:sz w:val="28"/>
        </w:rPr>
        <w:tab/>
      </w:r>
      <w:r>
        <w:rPr>
          <w:rFonts w:ascii="Times New Roman" w:eastAsia="方正仿宋_GBK" w:hAnsi="微软雅黑" w:cs="微软雅黑" w:hint="eastAsia"/>
          <w:sz w:val="28"/>
        </w:rPr>
        <w:t>大于</w:t>
      </w:r>
      <w:r>
        <w:rPr>
          <w:rFonts w:ascii="Times New Roman" w:eastAsia="方正仿宋_GBK"/>
          <w:sz w:val="28"/>
        </w:rPr>
        <w:t>50</w:t>
      </w:r>
      <w:r>
        <w:rPr>
          <w:rFonts w:ascii="Times New Roman" w:eastAsia="方正仿宋_GBK" w:hAnsi="微软雅黑" w:cs="微软雅黑" w:hint="eastAsia"/>
          <w:sz w:val="28"/>
        </w:rPr>
        <w:t>篇，</w:t>
      </w:r>
      <w:proofErr w:type="gramStart"/>
      <w:r>
        <w:rPr>
          <w:rFonts w:ascii="Times New Roman" w:eastAsia="方正仿宋_GBK" w:hAnsi="微软雅黑" w:cs="微软雅黑" w:hint="eastAsia"/>
          <w:sz w:val="28"/>
        </w:rPr>
        <w:t>门户网维护</w:t>
      </w:r>
      <w:proofErr w:type="gramEnd"/>
      <w:r>
        <w:rPr>
          <w:rFonts w:ascii="Times New Roman" w:eastAsia="方正仿宋_GBK" w:hAnsi="微软雅黑" w:cs="微软雅黑" w:hint="eastAsia"/>
          <w:sz w:val="28"/>
        </w:rPr>
        <w:t>好评率大于</w:t>
      </w:r>
      <w:r>
        <w:rPr>
          <w:rFonts w:ascii="Times New Roman" w:eastAsia="方正仿宋_GBK"/>
          <w:sz w:val="28"/>
        </w:rPr>
        <w:t>90%</w:t>
      </w:r>
      <w:r>
        <w:rPr>
          <w:rFonts w:ascii="Times New Roman" w:eastAsia="方正仿宋_GBK" w:hAnsi="微软雅黑" w:cs="微软雅黑" w:hint="eastAsia"/>
          <w:sz w:val="28"/>
        </w:rPr>
        <w:t>，设备检修维护次数大于</w:t>
      </w:r>
      <w:r>
        <w:rPr>
          <w:rFonts w:ascii="Times New Roman" w:eastAsia="方正仿宋_GBK"/>
          <w:sz w:val="28"/>
        </w:rPr>
        <w:t>5</w:t>
      </w:r>
      <w:r>
        <w:rPr>
          <w:rFonts w:ascii="Times New Roman" w:eastAsia="方正仿宋_GBK" w:hAnsi="微软雅黑" w:cs="微软雅黑" w:hint="eastAsia"/>
          <w:sz w:val="28"/>
        </w:rPr>
        <w:t>次。</w:t>
      </w:r>
    </w:p>
    <w:p w14:paraId="5DF60D28" w14:textId="77777777" w:rsidR="00B25C95" w:rsidRDefault="00AE360C">
      <w:pPr>
        <w:spacing w:line="500" w:lineRule="exact"/>
        <w:ind w:firstLineChars="200" w:firstLine="560"/>
        <w:jc w:val="left"/>
        <w:outlineLvl w:val="1"/>
        <w:rPr>
          <w:rFonts w:ascii="Times New Roman" w:eastAsia="宋体" w:hAnsi="宋体"/>
          <w:sz w:val="28"/>
        </w:rPr>
      </w:pPr>
      <w:r>
        <w:rPr>
          <w:rFonts w:ascii="方正黑体_GBK" w:eastAsia="方正黑体_GBK"/>
          <w:sz w:val="28"/>
        </w:rPr>
        <w:t>三、工作保障措施</w:t>
      </w:r>
      <w:r>
        <w:rPr>
          <w:rFonts w:ascii="方正黑体_GBK" w:eastAsia="方正黑体_GBK"/>
          <w:sz w:val="28"/>
        </w:rPr>
        <w:fldChar w:fldCharType="begin"/>
      </w:r>
      <w:r>
        <w:rPr>
          <w:rFonts w:ascii="方正黑体_GBK" w:eastAsia="方正黑体_GBK"/>
          <w:sz w:val="28"/>
        </w:rPr>
        <w:instrText xml:space="preserve"> TC </w:instrText>
      </w:r>
      <w:bookmarkStart w:id="0" w:name="_Toc31380906"/>
      <w:r>
        <w:rPr>
          <w:rFonts w:ascii="方正黑体_GBK" w:eastAsia="方正黑体_GBK"/>
          <w:sz w:val="28"/>
        </w:rPr>
        <w:instrText>工作保障措施</w:instrText>
      </w:r>
      <w:bookmarkEnd w:id="0"/>
      <w:r>
        <w:rPr>
          <w:rFonts w:ascii="方正黑体_GBK" w:eastAsia="方正黑体_GBK"/>
          <w:sz w:val="28"/>
        </w:rPr>
        <w:instrText xml:space="preserve"> \f A \l 1 </w:instrText>
      </w:r>
      <w:r>
        <w:rPr>
          <w:rFonts w:ascii="方正黑体_GBK" w:eastAsia="方正黑体_GBK"/>
          <w:sz w:val="28"/>
        </w:rPr>
        <w:fldChar w:fldCharType="end"/>
      </w:r>
    </w:p>
    <w:p w14:paraId="4363B0C4" w14:textId="77777777" w:rsidR="00B25C95" w:rsidRDefault="00AE360C">
      <w:pPr>
        <w:spacing w:line="500" w:lineRule="exact"/>
        <w:ind w:firstLineChars="100" w:firstLine="280"/>
        <w:jc w:val="left"/>
        <w:rPr>
          <w:rFonts w:ascii="Times New Roman" w:eastAsia="方正仿宋_GBK"/>
          <w:sz w:val="28"/>
        </w:rPr>
      </w:pPr>
      <w:r>
        <w:rPr>
          <w:rFonts w:ascii="Times New Roman" w:eastAsia="方正仿宋_GBK" w:hAnsi="微软雅黑" w:cs="微软雅黑" w:hint="eastAsia"/>
          <w:sz w:val="28"/>
        </w:rPr>
        <w:t>（一）深化</w:t>
      </w:r>
      <w:r>
        <w:rPr>
          <w:rFonts w:ascii="Times New Roman" w:eastAsia="方正仿宋_GBK"/>
          <w:sz w:val="28"/>
        </w:rPr>
        <w:t>“</w:t>
      </w:r>
      <w:r>
        <w:rPr>
          <w:rFonts w:ascii="Times New Roman" w:eastAsia="方正仿宋_GBK" w:hAnsi="微软雅黑" w:cs="微软雅黑" w:hint="eastAsia"/>
          <w:sz w:val="28"/>
        </w:rPr>
        <w:t>放管服</w:t>
      </w:r>
      <w:r>
        <w:rPr>
          <w:rFonts w:ascii="Times New Roman" w:eastAsia="方正仿宋_GBK"/>
          <w:sz w:val="28"/>
        </w:rPr>
        <w:t>”</w:t>
      </w:r>
      <w:r>
        <w:rPr>
          <w:rFonts w:ascii="Times New Roman" w:eastAsia="方正仿宋_GBK" w:hAnsi="微软雅黑" w:cs="微软雅黑" w:hint="eastAsia"/>
          <w:sz w:val="28"/>
        </w:rPr>
        <w:t>改革。继续压缩企业开办时间，全面实施</w:t>
      </w:r>
      <w:r>
        <w:rPr>
          <w:rFonts w:ascii="Times New Roman" w:eastAsia="方正仿宋_GBK"/>
          <w:sz w:val="28"/>
        </w:rPr>
        <w:t>“</w:t>
      </w:r>
      <w:r>
        <w:rPr>
          <w:rFonts w:ascii="Times New Roman" w:eastAsia="方正仿宋_GBK" w:hAnsi="微软雅黑" w:cs="微软雅黑" w:hint="eastAsia"/>
          <w:sz w:val="28"/>
        </w:rPr>
        <w:t>证照分离</w:t>
      </w:r>
      <w:r>
        <w:rPr>
          <w:rFonts w:ascii="Times New Roman" w:eastAsia="方正仿宋_GBK"/>
          <w:sz w:val="28"/>
        </w:rPr>
        <w:t>”</w:t>
      </w:r>
      <w:r>
        <w:rPr>
          <w:rFonts w:ascii="Times New Roman" w:eastAsia="方正仿宋_GBK" w:hAnsi="微软雅黑" w:cs="微软雅黑" w:hint="eastAsia"/>
          <w:sz w:val="28"/>
        </w:rPr>
        <w:t>改革，统筹推进</w:t>
      </w:r>
      <w:r>
        <w:rPr>
          <w:rFonts w:ascii="Times New Roman" w:eastAsia="方正仿宋_GBK"/>
          <w:sz w:val="28"/>
        </w:rPr>
        <w:t>“</w:t>
      </w:r>
      <w:r>
        <w:rPr>
          <w:rFonts w:ascii="Times New Roman" w:eastAsia="方正仿宋_GBK" w:hAnsi="微软雅黑" w:cs="微软雅黑" w:hint="eastAsia"/>
          <w:sz w:val="28"/>
        </w:rPr>
        <w:t>多证合一</w:t>
      </w:r>
      <w:r>
        <w:rPr>
          <w:rFonts w:ascii="Times New Roman" w:eastAsia="方正仿宋_GBK"/>
          <w:sz w:val="28"/>
        </w:rPr>
        <w:t>”</w:t>
      </w:r>
      <w:r>
        <w:rPr>
          <w:rFonts w:ascii="Times New Roman" w:eastAsia="方正仿宋_GBK" w:hAnsi="微软雅黑" w:cs="微软雅黑" w:hint="eastAsia"/>
          <w:sz w:val="28"/>
        </w:rPr>
        <w:t>，推进企业登记全程电子化和电子营业执照广泛应用，完善市场主体退出制度。做好下放行政审批事项衔接，推进药品医疗器械</w:t>
      </w:r>
      <w:proofErr w:type="gramStart"/>
      <w:r>
        <w:rPr>
          <w:rFonts w:ascii="Times New Roman" w:eastAsia="方正仿宋_GBK" w:hAnsi="微软雅黑" w:cs="微软雅黑" w:hint="eastAsia"/>
          <w:sz w:val="28"/>
        </w:rPr>
        <w:t>审评审批</w:t>
      </w:r>
      <w:proofErr w:type="gramEnd"/>
      <w:r>
        <w:rPr>
          <w:rFonts w:ascii="Times New Roman" w:eastAsia="方正仿宋_GBK" w:hAnsi="微软雅黑" w:cs="微软雅黑" w:hint="eastAsia"/>
          <w:sz w:val="28"/>
        </w:rPr>
        <w:t>制度改革。大力支持民营经济发展，促进市场主体快速健康发展。</w:t>
      </w:r>
    </w:p>
    <w:p w14:paraId="628124FF"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（二）强化事中事后监管。完善以</w:t>
      </w:r>
      <w:r>
        <w:rPr>
          <w:rFonts w:ascii="Times New Roman" w:eastAsia="方正仿宋_GBK"/>
          <w:sz w:val="28"/>
        </w:rPr>
        <w:t>“</w:t>
      </w:r>
      <w:r>
        <w:rPr>
          <w:rFonts w:ascii="Times New Roman" w:eastAsia="方正仿宋_GBK" w:hAnsi="微软雅黑" w:cs="微软雅黑" w:hint="eastAsia"/>
          <w:sz w:val="28"/>
        </w:rPr>
        <w:t>双随机、</w:t>
      </w:r>
      <w:proofErr w:type="gramStart"/>
      <w:r>
        <w:rPr>
          <w:rFonts w:ascii="Times New Roman" w:eastAsia="方正仿宋_GBK" w:hAnsi="微软雅黑" w:cs="微软雅黑" w:hint="eastAsia"/>
          <w:sz w:val="28"/>
        </w:rPr>
        <w:t>一</w:t>
      </w:r>
      <w:proofErr w:type="gramEnd"/>
      <w:r>
        <w:rPr>
          <w:rFonts w:ascii="Times New Roman" w:eastAsia="方正仿宋_GBK" w:hAnsi="微软雅黑" w:cs="微软雅黑" w:hint="eastAsia"/>
          <w:sz w:val="28"/>
        </w:rPr>
        <w:t>公开</w:t>
      </w:r>
      <w:r>
        <w:rPr>
          <w:rFonts w:ascii="Times New Roman" w:eastAsia="方正仿宋_GBK"/>
          <w:sz w:val="28"/>
        </w:rPr>
        <w:t>”</w:t>
      </w:r>
      <w:r>
        <w:rPr>
          <w:rFonts w:ascii="Times New Roman" w:eastAsia="方正仿宋_GBK" w:hAnsi="微软雅黑" w:cs="微软雅黑" w:hint="eastAsia"/>
          <w:sz w:val="28"/>
        </w:rPr>
        <w:t>监管为基本手段、重点监管为补充、信用监管为基础的新型监管机制。加大重点领域监管力度，集中开展反垄断、反不正当竞争、打击侵权假冒、整治虚假违法广告、打击传销等专项行动，加大劣质散煤管控和成品油市场整治力度，深入开</w:t>
      </w:r>
      <w:r>
        <w:rPr>
          <w:rFonts w:ascii="Times New Roman" w:eastAsia="方正仿宋_GBK" w:hAnsi="微软雅黑" w:cs="微软雅黑" w:hint="eastAsia"/>
          <w:sz w:val="28"/>
        </w:rPr>
        <w:t>展扫黑除恶专项斗争，切实维护社会稳定和良好市场秩序。</w:t>
      </w:r>
    </w:p>
    <w:p w14:paraId="0F7523A8"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（三）深入实施质量强区战略。认真落实区委区政府《关于开展质量提升行动加快质量强区建设的实施意见》，强化工作考核，完善质量奖惩制度，压实工作责任。</w:t>
      </w:r>
    </w:p>
    <w:p w14:paraId="1BE58F6B"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（四）严格食品药品、特种设备和产品质量安全监管。深入开展食品药品、特种设备、工业产品等十个方面风险隐患大排查大整治行动。持续推动</w:t>
      </w:r>
      <w:r>
        <w:rPr>
          <w:rFonts w:ascii="Times New Roman" w:eastAsia="方正仿宋_GBK"/>
          <w:sz w:val="28"/>
        </w:rPr>
        <w:t>“</w:t>
      </w:r>
      <w:r>
        <w:rPr>
          <w:rFonts w:ascii="Times New Roman" w:eastAsia="方正仿宋_GBK" w:hAnsi="微软雅黑" w:cs="微软雅黑" w:hint="eastAsia"/>
          <w:sz w:val="28"/>
        </w:rPr>
        <w:t>食药安全诚信河北</w:t>
      </w:r>
      <w:r>
        <w:rPr>
          <w:rFonts w:ascii="Times New Roman" w:eastAsia="方正仿宋_GBK"/>
          <w:sz w:val="28"/>
        </w:rPr>
        <w:t>”</w:t>
      </w:r>
      <w:r>
        <w:rPr>
          <w:rFonts w:ascii="Times New Roman" w:eastAsia="方正仿宋_GBK" w:hAnsi="微软雅黑" w:cs="微软雅黑" w:hint="eastAsia"/>
          <w:sz w:val="28"/>
        </w:rPr>
        <w:t>第二个三年行动计划和食品药品安全工程，加强</w:t>
      </w:r>
      <w:r>
        <w:rPr>
          <w:rFonts w:ascii="Times New Roman" w:eastAsia="方正仿宋_GBK"/>
          <w:sz w:val="28"/>
        </w:rPr>
        <w:t>“</w:t>
      </w:r>
      <w:r>
        <w:rPr>
          <w:rFonts w:ascii="Times New Roman" w:eastAsia="方正仿宋_GBK" w:hAnsi="微软雅黑" w:cs="微软雅黑" w:hint="eastAsia"/>
          <w:sz w:val="28"/>
        </w:rPr>
        <w:t>四品</w:t>
      </w:r>
      <w:proofErr w:type="gramStart"/>
      <w:r>
        <w:rPr>
          <w:rFonts w:ascii="Times New Roman" w:eastAsia="方正仿宋_GBK" w:hAnsi="微软雅黑" w:cs="微软雅黑" w:hint="eastAsia"/>
          <w:sz w:val="28"/>
        </w:rPr>
        <w:t>一</w:t>
      </w:r>
      <w:proofErr w:type="gramEnd"/>
      <w:r>
        <w:rPr>
          <w:rFonts w:ascii="Times New Roman" w:eastAsia="方正仿宋_GBK" w:hAnsi="微软雅黑" w:cs="微软雅黑" w:hint="eastAsia"/>
          <w:sz w:val="28"/>
        </w:rPr>
        <w:t>械</w:t>
      </w:r>
      <w:r>
        <w:rPr>
          <w:rFonts w:ascii="Times New Roman" w:eastAsia="方正仿宋_GBK"/>
          <w:sz w:val="28"/>
        </w:rPr>
        <w:t>”</w:t>
      </w:r>
      <w:r>
        <w:rPr>
          <w:rFonts w:ascii="Times New Roman" w:eastAsia="方正仿宋_GBK" w:hAnsi="微软雅黑" w:cs="微软雅黑" w:hint="eastAsia"/>
          <w:sz w:val="28"/>
        </w:rPr>
        <w:t>全过程监管。加大特种设备安全监管力度，完善电梯</w:t>
      </w:r>
      <w:r>
        <w:rPr>
          <w:rFonts w:ascii="Times New Roman" w:eastAsia="方正仿宋_GBK"/>
          <w:sz w:val="28"/>
        </w:rPr>
        <w:t>96365</w:t>
      </w:r>
      <w:r>
        <w:rPr>
          <w:rFonts w:ascii="Times New Roman" w:eastAsia="方正仿宋_GBK" w:hAnsi="微软雅黑" w:cs="微软雅黑" w:hint="eastAsia"/>
          <w:sz w:val="28"/>
        </w:rPr>
        <w:t>应急处置中心建设。加强食品、药品、工业产品等质量抽检，</w:t>
      </w:r>
      <w:r>
        <w:rPr>
          <w:rFonts w:ascii="Times New Roman" w:eastAsia="方正仿宋_GBK" w:hAnsi="微软雅黑" w:cs="微软雅黑" w:hint="eastAsia"/>
          <w:sz w:val="28"/>
        </w:rPr>
        <w:t>有针对性地开展专项整治，严防市场监管领域重大安全事故发生。</w:t>
      </w:r>
    </w:p>
    <w:p w14:paraId="50BBB5DD"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lastRenderedPageBreak/>
        <w:t>（五）提升科技支撑能力。加强信息化建设，整合网络、数据和应用系统，提升</w:t>
      </w:r>
      <w:r>
        <w:rPr>
          <w:rFonts w:ascii="Times New Roman" w:eastAsia="方正仿宋_GBK"/>
          <w:sz w:val="28"/>
        </w:rPr>
        <w:t>“</w:t>
      </w:r>
      <w:r>
        <w:rPr>
          <w:rFonts w:ascii="Times New Roman" w:eastAsia="方正仿宋_GBK" w:hAnsi="微软雅黑" w:cs="微软雅黑" w:hint="eastAsia"/>
          <w:sz w:val="28"/>
        </w:rPr>
        <w:t>智慧监管</w:t>
      </w:r>
      <w:r>
        <w:rPr>
          <w:rFonts w:ascii="Times New Roman" w:eastAsia="方正仿宋_GBK"/>
          <w:sz w:val="28"/>
        </w:rPr>
        <w:t>”</w:t>
      </w:r>
      <w:r>
        <w:rPr>
          <w:rFonts w:ascii="Times New Roman" w:eastAsia="方正仿宋_GBK" w:hAnsi="微软雅黑" w:cs="微软雅黑" w:hint="eastAsia"/>
          <w:sz w:val="28"/>
        </w:rPr>
        <w:t>能力。加强技术能力建设，整合</w:t>
      </w:r>
      <w:r>
        <w:rPr>
          <w:rFonts w:ascii="Times New Roman" w:eastAsia="方正仿宋_GBK"/>
          <w:sz w:val="28"/>
        </w:rPr>
        <w:t>12315</w:t>
      </w:r>
      <w:r>
        <w:rPr>
          <w:rFonts w:ascii="Times New Roman" w:eastAsia="方正仿宋_GBK" w:hAnsi="微软雅黑" w:cs="微软雅黑" w:hint="eastAsia"/>
          <w:sz w:val="28"/>
        </w:rPr>
        <w:t>、</w:t>
      </w:r>
      <w:r>
        <w:rPr>
          <w:rFonts w:ascii="Times New Roman" w:eastAsia="方正仿宋_GBK"/>
          <w:sz w:val="28"/>
        </w:rPr>
        <w:t>12365</w:t>
      </w:r>
      <w:r>
        <w:rPr>
          <w:rFonts w:ascii="Times New Roman" w:eastAsia="方正仿宋_GBK" w:hAnsi="微软雅黑" w:cs="微软雅黑" w:hint="eastAsia"/>
          <w:sz w:val="28"/>
        </w:rPr>
        <w:t>、</w:t>
      </w:r>
      <w:r>
        <w:rPr>
          <w:rFonts w:ascii="Times New Roman" w:eastAsia="方正仿宋_GBK"/>
          <w:sz w:val="28"/>
        </w:rPr>
        <w:t>12331</w:t>
      </w:r>
      <w:r>
        <w:rPr>
          <w:rFonts w:ascii="Times New Roman" w:eastAsia="方正仿宋_GBK" w:hAnsi="微软雅黑" w:cs="微软雅黑" w:hint="eastAsia"/>
          <w:sz w:val="28"/>
        </w:rPr>
        <w:t>、</w:t>
      </w:r>
      <w:r>
        <w:rPr>
          <w:rFonts w:ascii="Times New Roman" w:eastAsia="方正仿宋_GBK"/>
          <w:sz w:val="28"/>
        </w:rPr>
        <w:t>12330</w:t>
      </w:r>
      <w:r>
        <w:rPr>
          <w:rFonts w:ascii="Times New Roman" w:eastAsia="方正仿宋_GBK" w:hAnsi="微软雅黑" w:cs="微软雅黑" w:hint="eastAsia"/>
          <w:sz w:val="28"/>
        </w:rPr>
        <w:t>、</w:t>
      </w:r>
      <w:r>
        <w:rPr>
          <w:rFonts w:ascii="Times New Roman" w:eastAsia="方正仿宋_GBK"/>
          <w:sz w:val="28"/>
        </w:rPr>
        <w:t>12358</w:t>
      </w:r>
      <w:r>
        <w:rPr>
          <w:rFonts w:ascii="Times New Roman" w:eastAsia="方正仿宋_GBK" w:hAnsi="微软雅黑" w:cs="微软雅黑" w:hint="eastAsia"/>
          <w:sz w:val="28"/>
        </w:rPr>
        <w:t>等投诉平台，</w:t>
      </w:r>
      <w:proofErr w:type="gramStart"/>
      <w:r>
        <w:rPr>
          <w:rFonts w:ascii="Times New Roman" w:eastAsia="方正仿宋_GBK" w:hAnsi="微软雅黑" w:cs="微软雅黑" w:hint="eastAsia"/>
          <w:sz w:val="28"/>
        </w:rPr>
        <w:t>畅通维</w:t>
      </w:r>
      <w:proofErr w:type="gramEnd"/>
      <w:r>
        <w:rPr>
          <w:rFonts w:ascii="Times New Roman" w:eastAsia="方正仿宋_GBK" w:hAnsi="微软雅黑" w:cs="微软雅黑" w:hint="eastAsia"/>
          <w:sz w:val="28"/>
        </w:rPr>
        <w:t>权渠道。持续开展</w:t>
      </w:r>
      <w:r>
        <w:rPr>
          <w:rFonts w:ascii="Times New Roman" w:eastAsia="方正仿宋_GBK"/>
          <w:sz w:val="28"/>
        </w:rPr>
        <w:t>“</w:t>
      </w:r>
      <w:r>
        <w:rPr>
          <w:rFonts w:ascii="Times New Roman" w:eastAsia="方正仿宋_GBK" w:hAnsi="微软雅黑" w:cs="微软雅黑" w:hint="eastAsia"/>
          <w:sz w:val="28"/>
        </w:rPr>
        <w:t>放心消费</w:t>
      </w:r>
      <w:r>
        <w:rPr>
          <w:rFonts w:ascii="Times New Roman" w:eastAsia="方正仿宋_GBK"/>
          <w:sz w:val="28"/>
        </w:rPr>
        <w:t>”</w:t>
      </w:r>
      <w:r>
        <w:rPr>
          <w:rFonts w:ascii="Times New Roman" w:eastAsia="方正仿宋_GBK" w:hAnsi="微软雅黑" w:cs="微软雅黑" w:hint="eastAsia"/>
          <w:sz w:val="28"/>
        </w:rPr>
        <w:t>创建活动，推进消费环境社会共治。加强缺陷产品召回行政监管体系建设。</w:t>
      </w:r>
    </w:p>
    <w:p w14:paraId="4C3CCFC1" w14:textId="77777777" w:rsidR="00B25C95" w:rsidRDefault="00AE360C">
      <w:pPr>
        <w:spacing w:line="500" w:lineRule="exact"/>
        <w:ind w:firstLineChars="200" w:firstLine="560"/>
        <w:jc w:val="left"/>
        <w:rPr>
          <w:rFonts w:ascii="Times New Roman" w:eastAsia="方正仿宋_GBK"/>
          <w:sz w:val="28"/>
        </w:rPr>
      </w:pPr>
      <w:r>
        <w:rPr>
          <w:rFonts w:ascii="Times New Roman" w:eastAsia="方正仿宋_GBK" w:hAnsi="微软雅黑" w:cs="微软雅黑" w:hint="eastAsia"/>
          <w:sz w:val="28"/>
        </w:rPr>
        <w:t>（六）强化预算执行。强化财政预算执行的刚性约束，及时启动项目和支付资金，加快履行政府采购程序，优化部门预算支出结构，创新财政资金支出思路，合理改进支出方式，确保按照时间节</w:t>
      </w:r>
      <w:r>
        <w:rPr>
          <w:rFonts w:ascii="Times New Roman" w:eastAsia="方正仿宋_GBK" w:hAnsi="微软雅黑" w:cs="微软雅黑" w:hint="eastAsia"/>
          <w:sz w:val="28"/>
        </w:rPr>
        <w:t>点完成支出任务。加快执行进度。规范财政资金使用和管理，强化内部控制制度建设，做好绩效评价，更好地发挥财政资金的使用效益。</w:t>
      </w:r>
    </w:p>
    <w:p w14:paraId="53FAEB3D"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t>第六部分：政府采购预算情况</w:t>
      </w:r>
    </w:p>
    <w:p w14:paraId="5C1F71FA"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2021</w:t>
      </w:r>
      <w:r>
        <w:rPr>
          <w:rFonts w:ascii="仿宋" w:eastAsia="仿宋" w:hAnsi="仿宋"/>
          <w:sz w:val="32"/>
          <w:szCs w:val="32"/>
        </w:rPr>
        <w:t>年，</w:t>
      </w:r>
      <w:proofErr w:type="gramStart"/>
      <w:r>
        <w:rPr>
          <w:rFonts w:ascii="仿宋" w:eastAsia="仿宋" w:hAnsi="仿宋"/>
          <w:sz w:val="32"/>
          <w:szCs w:val="32"/>
        </w:rPr>
        <w:t>我部门</w:t>
      </w:r>
      <w:proofErr w:type="gramEnd"/>
      <w:r>
        <w:rPr>
          <w:rFonts w:ascii="仿宋" w:eastAsia="仿宋" w:hAnsi="仿宋"/>
          <w:sz w:val="32"/>
          <w:szCs w:val="32"/>
        </w:rPr>
        <w:t>安排政府采购预算</w:t>
      </w:r>
      <w:r>
        <w:rPr>
          <w:rFonts w:ascii="仿宋" w:eastAsia="仿宋" w:hAnsi="仿宋" w:hint="eastAsia"/>
          <w:sz w:val="32"/>
          <w:szCs w:val="32"/>
        </w:rPr>
        <w:t>75.96</w:t>
      </w:r>
      <w:r>
        <w:rPr>
          <w:rFonts w:ascii="仿宋" w:eastAsia="仿宋" w:hAnsi="仿宋"/>
          <w:sz w:val="32"/>
          <w:szCs w:val="32"/>
        </w:rPr>
        <w:t>万元，具体内容见下表：</w:t>
      </w:r>
    </w:p>
    <w:p w14:paraId="3D647676" w14:textId="77777777" w:rsidR="00B25C95" w:rsidRDefault="00AE360C">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附部门</w:t>
      </w:r>
      <w:proofErr w:type="gramEnd"/>
      <w:r>
        <w:rPr>
          <w:rFonts w:ascii="仿宋" w:eastAsia="仿宋" w:hAnsi="仿宋" w:hint="eastAsia"/>
          <w:sz w:val="32"/>
          <w:szCs w:val="32"/>
        </w:rPr>
        <w:t>政府采购预算表。</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84"/>
        <w:gridCol w:w="1134"/>
        <w:gridCol w:w="1531"/>
        <w:gridCol w:w="1531"/>
        <w:gridCol w:w="709"/>
        <w:gridCol w:w="907"/>
        <w:gridCol w:w="907"/>
        <w:gridCol w:w="1134"/>
        <w:gridCol w:w="1134"/>
        <w:gridCol w:w="1134"/>
        <w:gridCol w:w="1134"/>
        <w:gridCol w:w="1134"/>
        <w:gridCol w:w="1134"/>
      </w:tblGrid>
      <w:tr w:rsidR="00B25C95" w14:paraId="5445CB04" w14:textId="77777777">
        <w:trPr>
          <w:cantSplit/>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14:paraId="52216342" w14:textId="77777777" w:rsidR="00B25C95" w:rsidRDefault="00AE360C">
            <w:pPr>
              <w:spacing w:line="300" w:lineRule="exact"/>
              <w:jc w:val="left"/>
              <w:rPr>
                <w:rFonts w:ascii="方正小标宋_GBK" w:eastAsia="方正小标宋_GBK"/>
                <w:sz w:val="24"/>
              </w:rPr>
            </w:pPr>
            <w:r>
              <w:rPr>
                <w:rFonts w:ascii="方正小标宋_GBK" w:eastAsia="方正小标宋_GBK" w:hint="eastAsia"/>
                <w:sz w:val="24"/>
              </w:rPr>
              <w:t>保定市徐水区市场监督管理局</w:t>
            </w:r>
          </w:p>
        </w:tc>
        <w:tc>
          <w:tcPr>
            <w:tcW w:w="6804" w:type="dxa"/>
            <w:gridSpan w:val="6"/>
            <w:tcBorders>
              <w:top w:val="single" w:sz="6" w:space="0" w:color="FFFFFF"/>
              <w:left w:val="single" w:sz="6" w:space="0" w:color="FFFFFF"/>
              <w:right w:val="single" w:sz="6" w:space="0" w:color="FFFFFF"/>
            </w:tcBorders>
            <w:shd w:val="clear" w:color="auto" w:fill="auto"/>
            <w:vAlign w:val="center"/>
          </w:tcPr>
          <w:p w14:paraId="65E9C55F" w14:textId="77777777" w:rsidR="00B25C95" w:rsidRDefault="00AE360C">
            <w:pPr>
              <w:spacing w:line="300" w:lineRule="exact"/>
              <w:jc w:val="right"/>
              <w:rPr>
                <w:rFonts w:ascii="方正书宋_GBK" w:eastAsia="方正书宋_GBK"/>
                <w:sz w:val="24"/>
              </w:rPr>
            </w:pPr>
            <w:r>
              <w:rPr>
                <w:rFonts w:ascii="方正书宋_GBK" w:eastAsia="方正书宋_GBK"/>
                <w:sz w:val="24"/>
              </w:rPr>
              <w:t>单位：</w:t>
            </w:r>
            <w:r>
              <w:rPr>
                <w:rFonts w:ascii="方正书宋_GBK" w:eastAsia="方正书宋_GBK" w:hint="eastAsia"/>
                <w:sz w:val="24"/>
              </w:rPr>
              <w:t>万</w:t>
            </w:r>
            <w:r>
              <w:rPr>
                <w:rFonts w:ascii="方正书宋_GBK" w:eastAsia="方正书宋_GBK"/>
                <w:sz w:val="24"/>
              </w:rPr>
              <w:t>元</w:t>
            </w:r>
          </w:p>
        </w:tc>
      </w:tr>
      <w:tr w:rsidR="00B25C95" w14:paraId="14123BCC" w14:textId="77777777">
        <w:trPr>
          <w:cantSplit/>
          <w:tblHeader/>
          <w:jc w:val="center"/>
        </w:trPr>
        <w:tc>
          <w:tcPr>
            <w:tcW w:w="3118" w:type="dxa"/>
            <w:gridSpan w:val="2"/>
            <w:shd w:val="clear" w:color="auto" w:fill="auto"/>
            <w:vAlign w:val="center"/>
          </w:tcPr>
          <w:p w14:paraId="148A3BD0" w14:textId="77777777" w:rsidR="00B25C95" w:rsidRDefault="00AE360C">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14:paraId="1625487F" w14:textId="77777777" w:rsidR="00B25C95" w:rsidRDefault="00AE360C">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14:paraId="2F5AF0E0" w14:textId="77777777" w:rsidR="00B25C95" w:rsidRDefault="00AE360C">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14:paraId="4ED798D1" w14:textId="77777777" w:rsidR="00B25C95" w:rsidRDefault="00AE360C">
            <w:pPr>
              <w:spacing w:line="300" w:lineRule="exact"/>
              <w:jc w:val="center"/>
              <w:rPr>
                <w:rFonts w:ascii="方正书宋_GBK" w:eastAsia="方正书宋_GBK"/>
                <w:b/>
              </w:rPr>
            </w:pPr>
            <w:r>
              <w:rPr>
                <w:rFonts w:ascii="方正书宋_GBK" w:eastAsia="方正书宋_GBK"/>
                <w:b/>
              </w:rPr>
              <w:t>计量</w:t>
            </w:r>
            <w:r>
              <w:rPr>
                <w:rFonts w:ascii="方正书宋_GBK" w:eastAsia="方正书宋_GBK"/>
                <w:b/>
              </w:rPr>
              <w:t xml:space="preserve">  </w:t>
            </w:r>
            <w:r>
              <w:rPr>
                <w:rFonts w:ascii="方正书宋_GBK" w:eastAsia="方正书宋_GBK"/>
                <w:b/>
              </w:rPr>
              <w:t>单位</w:t>
            </w:r>
          </w:p>
        </w:tc>
        <w:tc>
          <w:tcPr>
            <w:tcW w:w="907" w:type="dxa"/>
            <w:vMerge w:val="restart"/>
            <w:shd w:val="clear" w:color="auto" w:fill="auto"/>
            <w:vAlign w:val="center"/>
          </w:tcPr>
          <w:p w14:paraId="400E62CB" w14:textId="77777777" w:rsidR="00B25C95" w:rsidRDefault="00AE360C">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14:paraId="02F0C98F" w14:textId="77777777" w:rsidR="00B25C95" w:rsidRDefault="00AE360C">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14:paraId="6A71352F" w14:textId="77777777" w:rsidR="00B25C95" w:rsidRDefault="00AE360C">
            <w:pPr>
              <w:spacing w:line="300" w:lineRule="exact"/>
              <w:jc w:val="center"/>
              <w:rPr>
                <w:rFonts w:ascii="方正书宋_GBK" w:eastAsia="方正书宋_GBK"/>
                <w:b/>
              </w:rPr>
            </w:pPr>
            <w:r>
              <w:rPr>
                <w:rFonts w:ascii="方正书宋_GBK" w:eastAsia="方正书宋_GBK"/>
                <w:b/>
              </w:rPr>
              <w:t>政府采购金额（当年部门预算安排资金）</w:t>
            </w:r>
          </w:p>
        </w:tc>
      </w:tr>
      <w:tr w:rsidR="00B25C95" w14:paraId="45998867" w14:textId="77777777">
        <w:trPr>
          <w:cantSplit/>
          <w:tblHeader/>
          <w:jc w:val="center"/>
        </w:trPr>
        <w:tc>
          <w:tcPr>
            <w:tcW w:w="1984" w:type="dxa"/>
            <w:shd w:val="clear" w:color="auto" w:fill="auto"/>
            <w:vAlign w:val="center"/>
          </w:tcPr>
          <w:p w14:paraId="1A8CC4EC" w14:textId="77777777" w:rsidR="00B25C95" w:rsidRDefault="00AE360C">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14:paraId="256B53F9" w14:textId="77777777" w:rsidR="00B25C95" w:rsidRDefault="00AE360C">
            <w:pPr>
              <w:spacing w:line="300" w:lineRule="exact"/>
              <w:jc w:val="center"/>
              <w:rPr>
                <w:rFonts w:ascii="方正书宋_GBK" w:eastAsia="方正书宋_GBK"/>
                <w:b/>
              </w:rPr>
            </w:pPr>
            <w:r>
              <w:rPr>
                <w:rFonts w:ascii="方正书宋_GBK" w:eastAsia="方正书宋_GBK"/>
                <w:b/>
              </w:rPr>
              <w:t>预算资金</w:t>
            </w:r>
          </w:p>
        </w:tc>
        <w:tc>
          <w:tcPr>
            <w:tcW w:w="1531" w:type="dxa"/>
            <w:vMerge/>
            <w:shd w:val="clear" w:color="auto" w:fill="auto"/>
            <w:vAlign w:val="center"/>
          </w:tcPr>
          <w:p w14:paraId="218140D0" w14:textId="77777777" w:rsidR="00B25C95" w:rsidRDefault="00B25C95">
            <w:pPr>
              <w:spacing w:line="300" w:lineRule="exact"/>
              <w:jc w:val="left"/>
              <w:outlineLvl w:val="1"/>
              <w:rPr>
                <w:rFonts w:ascii="Times New Roman" w:eastAsia="方正仿宋_GBK"/>
                <w:sz w:val="28"/>
              </w:rPr>
            </w:pPr>
          </w:p>
        </w:tc>
        <w:tc>
          <w:tcPr>
            <w:tcW w:w="1531" w:type="dxa"/>
            <w:vMerge/>
            <w:shd w:val="clear" w:color="auto" w:fill="auto"/>
            <w:vAlign w:val="center"/>
          </w:tcPr>
          <w:p w14:paraId="76A03EBB" w14:textId="77777777" w:rsidR="00B25C95" w:rsidRDefault="00B25C95">
            <w:pPr>
              <w:spacing w:line="300" w:lineRule="exact"/>
              <w:jc w:val="left"/>
              <w:outlineLvl w:val="1"/>
              <w:rPr>
                <w:rFonts w:ascii="Times New Roman" w:eastAsia="方正仿宋_GBK"/>
                <w:sz w:val="28"/>
              </w:rPr>
            </w:pPr>
          </w:p>
        </w:tc>
        <w:tc>
          <w:tcPr>
            <w:tcW w:w="709" w:type="dxa"/>
            <w:vMerge/>
            <w:shd w:val="clear" w:color="auto" w:fill="auto"/>
            <w:vAlign w:val="center"/>
          </w:tcPr>
          <w:p w14:paraId="7C937D99" w14:textId="77777777" w:rsidR="00B25C95" w:rsidRDefault="00B25C95">
            <w:pPr>
              <w:spacing w:line="300" w:lineRule="exact"/>
              <w:jc w:val="left"/>
              <w:outlineLvl w:val="1"/>
              <w:rPr>
                <w:rFonts w:ascii="Times New Roman" w:eastAsia="方正仿宋_GBK"/>
                <w:sz w:val="28"/>
              </w:rPr>
            </w:pPr>
          </w:p>
        </w:tc>
        <w:tc>
          <w:tcPr>
            <w:tcW w:w="907" w:type="dxa"/>
            <w:vMerge/>
            <w:shd w:val="clear" w:color="auto" w:fill="auto"/>
            <w:vAlign w:val="center"/>
          </w:tcPr>
          <w:p w14:paraId="4146458D" w14:textId="77777777" w:rsidR="00B25C95" w:rsidRDefault="00B25C95">
            <w:pPr>
              <w:spacing w:line="300" w:lineRule="exact"/>
              <w:jc w:val="left"/>
              <w:outlineLvl w:val="1"/>
              <w:rPr>
                <w:rFonts w:ascii="Times New Roman" w:eastAsia="方正仿宋_GBK"/>
                <w:sz w:val="28"/>
              </w:rPr>
            </w:pPr>
          </w:p>
        </w:tc>
        <w:tc>
          <w:tcPr>
            <w:tcW w:w="907" w:type="dxa"/>
            <w:vMerge/>
            <w:shd w:val="clear" w:color="auto" w:fill="auto"/>
            <w:vAlign w:val="center"/>
          </w:tcPr>
          <w:p w14:paraId="3FE70C83" w14:textId="77777777" w:rsidR="00B25C95" w:rsidRDefault="00B25C95">
            <w:pPr>
              <w:spacing w:line="300" w:lineRule="exact"/>
              <w:jc w:val="left"/>
              <w:outlineLvl w:val="1"/>
              <w:rPr>
                <w:rFonts w:ascii="Times New Roman" w:eastAsia="方正仿宋_GBK"/>
                <w:sz w:val="28"/>
              </w:rPr>
            </w:pPr>
          </w:p>
        </w:tc>
        <w:tc>
          <w:tcPr>
            <w:tcW w:w="1134" w:type="dxa"/>
            <w:shd w:val="clear" w:color="auto" w:fill="auto"/>
            <w:vAlign w:val="center"/>
          </w:tcPr>
          <w:p w14:paraId="1DD7D2B6" w14:textId="77777777" w:rsidR="00B25C95" w:rsidRDefault="00AE360C">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14:paraId="7BBB50C7" w14:textId="77777777" w:rsidR="00B25C95" w:rsidRDefault="00AE360C">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14:paraId="5C16D921" w14:textId="77777777" w:rsidR="00B25C95" w:rsidRDefault="00AE360C">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14:paraId="7394A41F" w14:textId="77777777" w:rsidR="00B25C95" w:rsidRDefault="00AE360C">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14:paraId="28693100" w14:textId="77777777" w:rsidR="00B25C95" w:rsidRDefault="00AE360C">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14:paraId="66898AAA" w14:textId="77777777" w:rsidR="00B25C95" w:rsidRDefault="00AE360C">
            <w:pPr>
              <w:spacing w:line="300" w:lineRule="exact"/>
              <w:jc w:val="center"/>
              <w:rPr>
                <w:rFonts w:ascii="方正书宋_GBK" w:eastAsia="方正书宋_GBK"/>
                <w:b/>
              </w:rPr>
            </w:pPr>
            <w:r>
              <w:rPr>
                <w:rFonts w:ascii="方正书宋_GBK" w:eastAsia="方正书宋_GBK"/>
                <w:b/>
              </w:rPr>
              <w:t>单位资金</w:t>
            </w:r>
          </w:p>
        </w:tc>
      </w:tr>
      <w:tr w:rsidR="00B25C95" w14:paraId="5525D6A2" w14:textId="77777777">
        <w:trPr>
          <w:cantSplit/>
          <w:jc w:val="center"/>
        </w:trPr>
        <w:tc>
          <w:tcPr>
            <w:tcW w:w="1984" w:type="dxa"/>
            <w:shd w:val="clear" w:color="auto" w:fill="auto"/>
            <w:vAlign w:val="center"/>
          </w:tcPr>
          <w:p w14:paraId="2E12BFCB" w14:textId="77777777" w:rsidR="00B25C95" w:rsidRDefault="00AE360C">
            <w:pPr>
              <w:spacing w:line="300" w:lineRule="exact"/>
              <w:jc w:val="center"/>
              <w:rPr>
                <w:rFonts w:ascii="方正书宋_GBK" w:eastAsia="方正书宋_GBK"/>
                <w:b/>
              </w:rPr>
            </w:pPr>
            <w:r>
              <w:rPr>
                <w:rFonts w:ascii="方正书宋_GBK" w:eastAsia="方正书宋_GBK"/>
                <w:b/>
              </w:rPr>
              <w:t>合</w:t>
            </w:r>
            <w:r>
              <w:rPr>
                <w:rFonts w:ascii="方正书宋_GBK" w:eastAsia="方正书宋_GBK"/>
                <w:b/>
              </w:rPr>
              <w:t xml:space="preserve">  </w:t>
            </w:r>
            <w:r>
              <w:rPr>
                <w:rFonts w:ascii="方正书宋_GBK" w:eastAsia="方正书宋_GBK"/>
                <w:b/>
              </w:rPr>
              <w:t>计</w:t>
            </w:r>
          </w:p>
        </w:tc>
        <w:tc>
          <w:tcPr>
            <w:tcW w:w="1134" w:type="dxa"/>
            <w:shd w:val="clear" w:color="auto" w:fill="auto"/>
            <w:vAlign w:val="center"/>
          </w:tcPr>
          <w:p w14:paraId="2054A990" w14:textId="77777777" w:rsidR="00B25C95" w:rsidRDefault="00B25C95">
            <w:pPr>
              <w:spacing w:line="300" w:lineRule="exact"/>
              <w:jc w:val="right"/>
              <w:rPr>
                <w:rFonts w:ascii="方正书宋_GBK" w:eastAsia="方正书宋_GBK"/>
                <w:b/>
              </w:rPr>
            </w:pPr>
          </w:p>
        </w:tc>
        <w:tc>
          <w:tcPr>
            <w:tcW w:w="1531" w:type="dxa"/>
            <w:shd w:val="clear" w:color="auto" w:fill="auto"/>
            <w:vAlign w:val="center"/>
          </w:tcPr>
          <w:p w14:paraId="6AF9B27B" w14:textId="77777777" w:rsidR="00B25C95" w:rsidRDefault="00B25C95">
            <w:pPr>
              <w:spacing w:line="300" w:lineRule="exact"/>
              <w:jc w:val="left"/>
              <w:rPr>
                <w:rFonts w:ascii="方正书宋_GBK" w:eastAsia="方正书宋_GBK"/>
                <w:b/>
              </w:rPr>
            </w:pPr>
          </w:p>
        </w:tc>
        <w:tc>
          <w:tcPr>
            <w:tcW w:w="1531" w:type="dxa"/>
            <w:shd w:val="clear" w:color="auto" w:fill="auto"/>
            <w:vAlign w:val="center"/>
          </w:tcPr>
          <w:p w14:paraId="0841093B" w14:textId="77777777" w:rsidR="00B25C95" w:rsidRDefault="00B25C95">
            <w:pPr>
              <w:spacing w:line="300" w:lineRule="exact"/>
              <w:jc w:val="left"/>
              <w:rPr>
                <w:rFonts w:ascii="方正书宋_GBK" w:eastAsia="方正书宋_GBK"/>
                <w:b/>
              </w:rPr>
            </w:pPr>
          </w:p>
        </w:tc>
        <w:tc>
          <w:tcPr>
            <w:tcW w:w="709" w:type="dxa"/>
            <w:shd w:val="clear" w:color="auto" w:fill="auto"/>
            <w:vAlign w:val="center"/>
          </w:tcPr>
          <w:p w14:paraId="420BC951" w14:textId="77777777" w:rsidR="00B25C95" w:rsidRDefault="00B25C95">
            <w:pPr>
              <w:spacing w:line="300" w:lineRule="exact"/>
              <w:jc w:val="center"/>
              <w:rPr>
                <w:rFonts w:ascii="方正书宋_GBK" w:eastAsia="方正书宋_GBK"/>
                <w:b/>
              </w:rPr>
            </w:pPr>
          </w:p>
        </w:tc>
        <w:tc>
          <w:tcPr>
            <w:tcW w:w="907" w:type="dxa"/>
            <w:shd w:val="clear" w:color="auto" w:fill="auto"/>
            <w:vAlign w:val="center"/>
          </w:tcPr>
          <w:p w14:paraId="5936FAB2" w14:textId="77777777" w:rsidR="00B25C95" w:rsidRDefault="00B25C95">
            <w:pPr>
              <w:spacing w:line="300" w:lineRule="exact"/>
              <w:jc w:val="right"/>
              <w:rPr>
                <w:rFonts w:ascii="方正书宋_GBK" w:eastAsia="方正书宋_GBK"/>
                <w:b/>
              </w:rPr>
            </w:pPr>
          </w:p>
        </w:tc>
        <w:tc>
          <w:tcPr>
            <w:tcW w:w="907" w:type="dxa"/>
            <w:shd w:val="clear" w:color="auto" w:fill="auto"/>
            <w:vAlign w:val="center"/>
          </w:tcPr>
          <w:p w14:paraId="2D3C6970"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01A5C150"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4EF5C273"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45318BF2"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18D2A3E0"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63E57D7F"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760C6905" w14:textId="77777777" w:rsidR="00B25C95" w:rsidRDefault="00B25C95">
            <w:pPr>
              <w:spacing w:line="300" w:lineRule="exact"/>
              <w:jc w:val="right"/>
              <w:rPr>
                <w:rFonts w:ascii="方正书宋_GBK" w:eastAsia="方正书宋_GBK"/>
                <w:b/>
              </w:rPr>
            </w:pPr>
          </w:p>
        </w:tc>
      </w:tr>
      <w:tr w:rsidR="00B25C95" w14:paraId="72BC4F59" w14:textId="77777777">
        <w:trPr>
          <w:cantSplit/>
          <w:jc w:val="center"/>
        </w:trPr>
        <w:tc>
          <w:tcPr>
            <w:tcW w:w="1984" w:type="dxa"/>
            <w:shd w:val="clear" w:color="auto" w:fill="auto"/>
            <w:vAlign w:val="center"/>
          </w:tcPr>
          <w:p w14:paraId="27A7DB65" w14:textId="77777777" w:rsidR="00B25C95" w:rsidRDefault="00AE360C">
            <w:pPr>
              <w:spacing w:line="300" w:lineRule="exact"/>
              <w:jc w:val="left"/>
              <w:rPr>
                <w:rFonts w:ascii="方正书宋_GBK" w:eastAsia="方正书宋_GBK"/>
                <w:b/>
              </w:rPr>
            </w:pPr>
            <w:r>
              <w:rPr>
                <w:rFonts w:ascii="方正书宋_GBK" w:eastAsia="方正书宋_GBK" w:hint="eastAsia"/>
                <w:b/>
              </w:rPr>
              <w:t>产品质量监督抽查经费</w:t>
            </w:r>
          </w:p>
        </w:tc>
        <w:tc>
          <w:tcPr>
            <w:tcW w:w="1134" w:type="dxa"/>
            <w:shd w:val="clear" w:color="auto" w:fill="auto"/>
            <w:vAlign w:val="center"/>
          </w:tcPr>
          <w:p w14:paraId="6D9883A9" w14:textId="77777777" w:rsidR="00B25C95" w:rsidRDefault="00AE360C">
            <w:pPr>
              <w:spacing w:line="300" w:lineRule="exact"/>
              <w:jc w:val="right"/>
              <w:rPr>
                <w:rFonts w:ascii="方正书宋_GBK" w:eastAsia="方正书宋_GBK"/>
                <w:b/>
              </w:rPr>
            </w:pPr>
            <w:r>
              <w:rPr>
                <w:rFonts w:ascii="方正书宋_GBK" w:eastAsia="方正书宋_GBK" w:hint="eastAsia"/>
                <w:b/>
              </w:rPr>
              <w:t>75.96</w:t>
            </w:r>
          </w:p>
        </w:tc>
        <w:tc>
          <w:tcPr>
            <w:tcW w:w="1531" w:type="dxa"/>
            <w:shd w:val="clear" w:color="auto" w:fill="auto"/>
            <w:vAlign w:val="center"/>
          </w:tcPr>
          <w:p w14:paraId="0EFFDFA9" w14:textId="77777777" w:rsidR="00B25C95" w:rsidRDefault="00AE360C">
            <w:pPr>
              <w:spacing w:line="300" w:lineRule="exact"/>
              <w:jc w:val="left"/>
              <w:rPr>
                <w:rFonts w:ascii="方正书宋_GBK" w:eastAsia="方正书宋_GBK"/>
                <w:b/>
              </w:rPr>
            </w:pPr>
            <w:r>
              <w:rPr>
                <w:rFonts w:ascii="方正书宋_GBK" w:eastAsia="方正书宋_GBK" w:hint="eastAsia"/>
                <w:b/>
              </w:rPr>
              <w:t>第三方产品质量检测购买服务</w:t>
            </w:r>
          </w:p>
        </w:tc>
        <w:tc>
          <w:tcPr>
            <w:tcW w:w="1531" w:type="dxa"/>
            <w:shd w:val="clear" w:color="auto" w:fill="auto"/>
            <w:vAlign w:val="center"/>
          </w:tcPr>
          <w:p w14:paraId="09341437" w14:textId="77777777" w:rsidR="00B25C95" w:rsidRDefault="00AE360C">
            <w:pPr>
              <w:spacing w:line="300" w:lineRule="exact"/>
              <w:jc w:val="left"/>
              <w:rPr>
                <w:rFonts w:ascii="方正书宋_GBK" w:eastAsia="方正书宋_GBK"/>
                <w:b/>
              </w:rPr>
            </w:pPr>
            <w:r>
              <w:rPr>
                <w:rFonts w:asciiTheme="minorEastAsia" w:hAnsiTheme="minorEastAsia" w:hint="eastAsia"/>
                <w:b/>
              </w:rPr>
              <w:t>才</w:t>
            </w:r>
          </w:p>
        </w:tc>
        <w:tc>
          <w:tcPr>
            <w:tcW w:w="709" w:type="dxa"/>
            <w:shd w:val="clear" w:color="auto" w:fill="auto"/>
            <w:vAlign w:val="center"/>
          </w:tcPr>
          <w:p w14:paraId="2DF82FD7" w14:textId="77777777" w:rsidR="00B25C95" w:rsidRDefault="00AE360C">
            <w:pPr>
              <w:spacing w:line="300" w:lineRule="exact"/>
              <w:jc w:val="center"/>
              <w:rPr>
                <w:rFonts w:ascii="方正书宋_GBK" w:eastAsia="方正书宋_GBK"/>
                <w:b/>
              </w:rPr>
            </w:pPr>
            <w:r>
              <w:rPr>
                <w:rFonts w:ascii="方正书宋_GBK" w:eastAsia="方正书宋_GBK" w:hint="eastAsia"/>
                <w:b/>
              </w:rPr>
              <w:t>批</w:t>
            </w:r>
          </w:p>
        </w:tc>
        <w:tc>
          <w:tcPr>
            <w:tcW w:w="907" w:type="dxa"/>
            <w:shd w:val="clear" w:color="auto" w:fill="auto"/>
            <w:vAlign w:val="center"/>
          </w:tcPr>
          <w:p w14:paraId="255004E1" w14:textId="77777777" w:rsidR="00B25C95" w:rsidRDefault="00AE360C">
            <w:pPr>
              <w:spacing w:line="300" w:lineRule="exact"/>
              <w:jc w:val="right"/>
              <w:rPr>
                <w:rFonts w:ascii="方正书宋_GBK" w:eastAsia="方正书宋_GBK"/>
                <w:b/>
              </w:rPr>
            </w:pPr>
            <w:r>
              <w:rPr>
                <w:rFonts w:ascii="方正书宋_GBK" w:eastAsia="方正书宋_GBK" w:hint="eastAsia"/>
                <w:b/>
              </w:rPr>
              <w:t>1</w:t>
            </w:r>
          </w:p>
        </w:tc>
        <w:tc>
          <w:tcPr>
            <w:tcW w:w="907" w:type="dxa"/>
            <w:shd w:val="clear" w:color="auto" w:fill="auto"/>
            <w:vAlign w:val="center"/>
          </w:tcPr>
          <w:p w14:paraId="09D7E0F1" w14:textId="77777777" w:rsidR="00B25C95" w:rsidRDefault="00AE360C">
            <w:pPr>
              <w:spacing w:line="300" w:lineRule="exact"/>
              <w:jc w:val="right"/>
              <w:rPr>
                <w:rFonts w:ascii="方正书宋_GBK" w:eastAsia="方正书宋_GBK"/>
                <w:b/>
              </w:rPr>
            </w:pPr>
            <w:r>
              <w:rPr>
                <w:rFonts w:ascii="方正书宋_GBK" w:eastAsia="方正书宋_GBK" w:hint="eastAsia"/>
                <w:b/>
              </w:rPr>
              <w:t>75.96</w:t>
            </w:r>
          </w:p>
        </w:tc>
        <w:tc>
          <w:tcPr>
            <w:tcW w:w="1134" w:type="dxa"/>
            <w:shd w:val="clear" w:color="auto" w:fill="auto"/>
            <w:vAlign w:val="center"/>
          </w:tcPr>
          <w:p w14:paraId="39DD2FAE" w14:textId="77777777" w:rsidR="00B25C95" w:rsidRDefault="00AE360C">
            <w:pPr>
              <w:spacing w:line="300" w:lineRule="exact"/>
              <w:jc w:val="right"/>
              <w:rPr>
                <w:rFonts w:ascii="方正书宋_GBK" w:eastAsia="方正书宋_GBK"/>
                <w:b/>
              </w:rPr>
            </w:pPr>
            <w:r>
              <w:rPr>
                <w:rFonts w:ascii="方正书宋_GBK" w:eastAsia="方正书宋_GBK" w:hint="eastAsia"/>
                <w:b/>
              </w:rPr>
              <w:t>75.96</w:t>
            </w:r>
          </w:p>
        </w:tc>
        <w:tc>
          <w:tcPr>
            <w:tcW w:w="1134" w:type="dxa"/>
            <w:shd w:val="clear" w:color="auto" w:fill="auto"/>
            <w:vAlign w:val="center"/>
          </w:tcPr>
          <w:p w14:paraId="757AED8A" w14:textId="77777777" w:rsidR="00B25C95" w:rsidRDefault="00AE360C">
            <w:pPr>
              <w:spacing w:line="300" w:lineRule="exact"/>
              <w:jc w:val="right"/>
              <w:rPr>
                <w:rFonts w:ascii="方正书宋_GBK" w:eastAsia="方正书宋_GBK"/>
                <w:b/>
              </w:rPr>
            </w:pPr>
            <w:r>
              <w:rPr>
                <w:rFonts w:ascii="方正书宋_GBK" w:eastAsia="方正书宋_GBK" w:hint="eastAsia"/>
                <w:b/>
              </w:rPr>
              <w:t>75.96</w:t>
            </w:r>
          </w:p>
        </w:tc>
        <w:tc>
          <w:tcPr>
            <w:tcW w:w="1134" w:type="dxa"/>
            <w:shd w:val="clear" w:color="auto" w:fill="auto"/>
            <w:vAlign w:val="center"/>
          </w:tcPr>
          <w:p w14:paraId="07F7C457"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47340529"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31B6E1A5" w14:textId="77777777" w:rsidR="00B25C95" w:rsidRDefault="00B25C95">
            <w:pPr>
              <w:spacing w:line="300" w:lineRule="exact"/>
              <w:jc w:val="right"/>
              <w:rPr>
                <w:rFonts w:ascii="方正书宋_GBK" w:eastAsia="方正书宋_GBK"/>
                <w:b/>
              </w:rPr>
            </w:pPr>
          </w:p>
        </w:tc>
        <w:tc>
          <w:tcPr>
            <w:tcW w:w="1134" w:type="dxa"/>
            <w:shd w:val="clear" w:color="auto" w:fill="auto"/>
            <w:vAlign w:val="center"/>
          </w:tcPr>
          <w:p w14:paraId="4FFB320F" w14:textId="77777777" w:rsidR="00B25C95" w:rsidRDefault="00B25C95">
            <w:pPr>
              <w:spacing w:line="300" w:lineRule="exact"/>
              <w:jc w:val="right"/>
              <w:rPr>
                <w:rFonts w:ascii="方正书宋_GBK" w:eastAsia="方正书宋_GBK"/>
                <w:b/>
              </w:rPr>
            </w:pPr>
          </w:p>
        </w:tc>
      </w:tr>
      <w:tr w:rsidR="00B25C95" w14:paraId="63FA2708" w14:textId="77777777">
        <w:trPr>
          <w:cantSplit/>
          <w:jc w:val="center"/>
        </w:trPr>
        <w:tc>
          <w:tcPr>
            <w:tcW w:w="1984" w:type="dxa"/>
            <w:shd w:val="clear" w:color="auto" w:fill="auto"/>
            <w:vAlign w:val="center"/>
          </w:tcPr>
          <w:p w14:paraId="3D3D0ABC" w14:textId="77777777" w:rsidR="00B25C95" w:rsidRDefault="00B25C95">
            <w:pPr>
              <w:spacing w:line="300" w:lineRule="exact"/>
              <w:jc w:val="left"/>
              <w:rPr>
                <w:rFonts w:ascii="方正书宋_GBK" w:eastAsia="方正书宋_GBK"/>
              </w:rPr>
            </w:pPr>
          </w:p>
        </w:tc>
        <w:tc>
          <w:tcPr>
            <w:tcW w:w="1134" w:type="dxa"/>
            <w:shd w:val="clear" w:color="auto" w:fill="auto"/>
            <w:vAlign w:val="center"/>
          </w:tcPr>
          <w:p w14:paraId="69D19C72" w14:textId="77777777" w:rsidR="00B25C95" w:rsidRDefault="00B25C95">
            <w:pPr>
              <w:spacing w:line="300" w:lineRule="exact"/>
              <w:jc w:val="right"/>
              <w:rPr>
                <w:rFonts w:ascii="方正书宋_GBK" w:eastAsia="方正书宋_GBK"/>
              </w:rPr>
            </w:pPr>
          </w:p>
        </w:tc>
        <w:tc>
          <w:tcPr>
            <w:tcW w:w="1531" w:type="dxa"/>
            <w:shd w:val="clear" w:color="auto" w:fill="auto"/>
            <w:vAlign w:val="center"/>
          </w:tcPr>
          <w:p w14:paraId="296BAC90" w14:textId="77777777" w:rsidR="00B25C95" w:rsidRDefault="00B25C95">
            <w:pPr>
              <w:spacing w:line="300" w:lineRule="exact"/>
              <w:jc w:val="left"/>
              <w:rPr>
                <w:rFonts w:ascii="方正书宋_GBK" w:eastAsia="方正书宋_GBK"/>
              </w:rPr>
            </w:pPr>
          </w:p>
        </w:tc>
        <w:tc>
          <w:tcPr>
            <w:tcW w:w="1531" w:type="dxa"/>
            <w:shd w:val="clear" w:color="auto" w:fill="auto"/>
            <w:vAlign w:val="center"/>
          </w:tcPr>
          <w:p w14:paraId="22C7E06A" w14:textId="77777777" w:rsidR="00B25C95" w:rsidRDefault="00B25C95">
            <w:pPr>
              <w:spacing w:line="300" w:lineRule="exact"/>
              <w:jc w:val="left"/>
              <w:rPr>
                <w:rFonts w:ascii="方正书宋_GBK" w:eastAsia="方正书宋_GBK"/>
              </w:rPr>
            </w:pPr>
          </w:p>
        </w:tc>
        <w:tc>
          <w:tcPr>
            <w:tcW w:w="709" w:type="dxa"/>
            <w:shd w:val="clear" w:color="auto" w:fill="auto"/>
            <w:vAlign w:val="center"/>
          </w:tcPr>
          <w:p w14:paraId="68F8FCA6" w14:textId="77777777" w:rsidR="00B25C95" w:rsidRDefault="00B25C95">
            <w:pPr>
              <w:spacing w:line="300" w:lineRule="exact"/>
              <w:jc w:val="center"/>
              <w:rPr>
                <w:rFonts w:ascii="方正书宋_GBK" w:eastAsia="方正书宋_GBK"/>
              </w:rPr>
            </w:pPr>
          </w:p>
        </w:tc>
        <w:tc>
          <w:tcPr>
            <w:tcW w:w="907" w:type="dxa"/>
            <w:shd w:val="clear" w:color="auto" w:fill="auto"/>
            <w:vAlign w:val="center"/>
          </w:tcPr>
          <w:p w14:paraId="33016AB6" w14:textId="77777777" w:rsidR="00B25C95" w:rsidRDefault="00B25C95">
            <w:pPr>
              <w:spacing w:line="300" w:lineRule="exact"/>
              <w:jc w:val="right"/>
              <w:rPr>
                <w:rFonts w:ascii="方正书宋_GBK" w:eastAsia="方正书宋_GBK"/>
              </w:rPr>
            </w:pPr>
          </w:p>
        </w:tc>
        <w:tc>
          <w:tcPr>
            <w:tcW w:w="907" w:type="dxa"/>
            <w:shd w:val="clear" w:color="auto" w:fill="auto"/>
            <w:vAlign w:val="center"/>
          </w:tcPr>
          <w:p w14:paraId="58678C00"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1772CB92"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29F86546"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395201FA"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1A229B9B"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3CB83D3C"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0311FBEB" w14:textId="77777777" w:rsidR="00B25C95" w:rsidRDefault="00B25C95">
            <w:pPr>
              <w:spacing w:line="300" w:lineRule="exact"/>
              <w:jc w:val="right"/>
              <w:rPr>
                <w:rFonts w:ascii="方正书宋_GBK" w:eastAsia="方正书宋_GBK"/>
              </w:rPr>
            </w:pPr>
          </w:p>
        </w:tc>
      </w:tr>
      <w:tr w:rsidR="00B25C95" w14:paraId="6175201A" w14:textId="77777777">
        <w:trPr>
          <w:cantSplit/>
          <w:jc w:val="center"/>
        </w:trPr>
        <w:tc>
          <w:tcPr>
            <w:tcW w:w="1984" w:type="dxa"/>
            <w:shd w:val="clear" w:color="auto" w:fill="auto"/>
            <w:vAlign w:val="center"/>
          </w:tcPr>
          <w:p w14:paraId="0EB854C0" w14:textId="77777777" w:rsidR="00B25C95" w:rsidRDefault="00B25C95">
            <w:pPr>
              <w:spacing w:line="300" w:lineRule="exact"/>
              <w:jc w:val="left"/>
              <w:rPr>
                <w:rFonts w:ascii="方正书宋_GBK" w:eastAsia="方正书宋_GBK"/>
              </w:rPr>
            </w:pPr>
          </w:p>
        </w:tc>
        <w:tc>
          <w:tcPr>
            <w:tcW w:w="1134" w:type="dxa"/>
            <w:shd w:val="clear" w:color="auto" w:fill="auto"/>
            <w:vAlign w:val="center"/>
          </w:tcPr>
          <w:p w14:paraId="5097F103" w14:textId="77777777" w:rsidR="00B25C95" w:rsidRDefault="00B25C95">
            <w:pPr>
              <w:spacing w:line="300" w:lineRule="exact"/>
              <w:jc w:val="right"/>
              <w:rPr>
                <w:rFonts w:ascii="方正书宋_GBK" w:eastAsia="方正书宋_GBK"/>
              </w:rPr>
            </w:pPr>
          </w:p>
        </w:tc>
        <w:tc>
          <w:tcPr>
            <w:tcW w:w="1531" w:type="dxa"/>
            <w:shd w:val="clear" w:color="auto" w:fill="auto"/>
            <w:vAlign w:val="center"/>
          </w:tcPr>
          <w:p w14:paraId="7005E0D2" w14:textId="77777777" w:rsidR="00B25C95" w:rsidRDefault="00B25C95">
            <w:pPr>
              <w:spacing w:line="300" w:lineRule="exact"/>
              <w:jc w:val="left"/>
              <w:rPr>
                <w:rFonts w:ascii="方正书宋_GBK"/>
              </w:rPr>
            </w:pPr>
          </w:p>
        </w:tc>
        <w:tc>
          <w:tcPr>
            <w:tcW w:w="1531" w:type="dxa"/>
            <w:shd w:val="clear" w:color="auto" w:fill="auto"/>
            <w:vAlign w:val="center"/>
          </w:tcPr>
          <w:p w14:paraId="2C8EC53C" w14:textId="77777777" w:rsidR="00B25C95" w:rsidRDefault="00B25C95">
            <w:pPr>
              <w:spacing w:line="300" w:lineRule="exact"/>
              <w:jc w:val="left"/>
              <w:rPr>
                <w:rFonts w:ascii="方正书宋_GBK" w:eastAsia="方正书宋_GBK"/>
              </w:rPr>
            </w:pPr>
          </w:p>
        </w:tc>
        <w:tc>
          <w:tcPr>
            <w:tcW w:w="709" w:type="dxa"/>
            <w:shd w:val="clear" w:color="auto" w:fill="auto"/>
            <w:vAlign w:val="center"/>
          </w:tcPr>
          <w:p w14:paraId="7C316CD4" w14:textId="77777777" w:rsidR="00B25C95" w:rsidRDefault="00B25C95">
            <w:pPr>
              <w:spacing w:line="300" w:lineRule="exact"/>
              <w:jc w:val="center"/>
              <w:rPr>
                <w:rFonts w:ascii="方正书宋_GBK"/>
              </w:rPr>
            </w:pPr>
          </w:p>
        </w:tc>
        <w:tc>
          <w:tcPr>
            <w:tcW w:w="907" w:type="dxa"/>
            <w:shd w:val="clear" w:color="auto" w:fill="auto"/>
            <w:vAlign w:val="center"/>
          </w:tcPr>
          <w:p w14:paraId="0F28FFA6" w14:textId="77777777" w:rsidR="00B25C95" w:rsidRDefault="00B25C95">
            <w:pPr>
              <w:spacing w:line="300" w:lineRule="exact"/>
              <w:jc w:val="right"/>
              <w:rPr>
                <w:rFonts w:ascii="方正书宋_GBK" w:eastAsia="方正书宋_GBK"/>
              </w:rPr>
            </w:pPr>
          </w:p>
        </w:tc>
        <w:tc>
          <w:tcPr>
            <w:tcW w:w="907" w:type="dxa"/>
            <w:shd w:val="clear" w:color="auto" w:fill="auto"/>
            <w:vAlign w:val="center"/>
          </w:tcPr>
          <w:p w14:paraId="32E435E2"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77F3E9E0"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63604137"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7EB2CB25"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2C28476C"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2048D32D" w14:textId="77777777" w:rsidR="00B25C95" w:rsidRDefault="00B25C95">
            <w:pPr>
              <w:spacing w:line="300" w:lineRule="exact"/>
              <w:jc w:val="right"/>
              <w:rPr>
                <w:rFonts w:ascii="方正书宋_GBK" w:eastAsia="方正书宋_GBK"/>
              </w:rPr>
            </w:pPr>
          </w:p>
        </w:tc>
        <w:tc>
          <w:tcPr>
            <w:tcW w:w="1134" w:type="dxa"/>
            <w:shd w:val="clear" w:color="auto" w:fill="auto"/>
            <w:vAlign w:val="center"/>
          </w:tcPr>
          <w:p w14:paraId="24DA3021" w14:textId="77777777" w:rsidR="00B25C95" w:rsidRDefault="00B25C95">
            <w:pPr>
              <w:spacing w:line="300" w:lineRule="exact"/>
              <w:jc w:val="right"/>
              <w:rPr>
                <w:rFonts w:ascii="方正书宋_GBK" w:eastAsia="方正书宋_GBK"/>
              </w:rPr>
            </w:pPr>
          </w:p>
        </w:tc>
      </w:tr>
    </w:tbl>
    <w:p w14:paraId="655D7589" w14:textId="77777777" w:rsidR="00B25C95" w:rsidRDefault="00B25C95">
      <w:pPr>
        <w:spacing w:line="360" w:lineRule="auto"/>
        <w:rPr>
          <w:rFonts w:ascii="仿宋" w:eastAsia="仿宋" w:hAnsi="仿宋"/>
          <w:sz w:val="32"/>
          <w:szCs w:val="32"/>
        </w:rPr>
        <w:sectPr w:rsidR="00B25C95">
          <w:footerReference w:type="default" r:id="rId8"/>
          <w:pgSz w:w="16838" w:h="11906" w:orient="landscape"/>
          <w:pgMar w:top="1797" w:right="1440" w:bottom="1797" w:left="1440" w:header="851" w:footer="992" w:gutter="0"/>
          <w:cols w:space="425"/>
          <w:docGrid w:type="linesAndChars" w:linePitch="312"/>
        </w:sectPr>
      </w:pPr>
    </w:p>
    <w:p w14:paraId="4D72FEC8" w14:textId="77777777" w:rsidR="00B25C95" w:rsidRDefault="00B25C95">
      <w:pPr>
        <w:spacing w:line="360" w:lineRule="auto"/>
        <w:rPr>
          <w:rFonts w:ascii="仿宋" w:eastAsia="仿宋" w:hAnsi="仿宋"/>
          <w:sz w:val="32"/>
          <w:szCs w:val="32"/>
        </w:rPr>
      </w:pPr>
    </w:p>
    <w:p w14:paraId="4FA51BB7"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t>第七部分：国有资产信息</w:t>
      </w:r>
    </w:p>
    <w:p w14:paraId="0C252C40" w14:textId="77777777" w:rsidR="00B25C95" w:rsidRDefault="00AE360C">
      <w:pPr>
        <w:spacing w:line="360" w:lineRule="auto"/>
        <w:ind w:firstLineChars="200" w:firstLine="640"/>
        <w:rPr>
          <w:rFonts w:ascii="仿宋" w:eastAsia="仿宋" w:hAnsi="仿宋"/>
          <w:sz w:val="32"/>
          <w:szCs w:val="32"/>
        </w:rPr>
      </w:pPr>
      <w:r>
        <w:rPr>
          <w:rFonts w:ascii="仿宋" w:eastAsia="仿宋" w:hAnsi="仿宋" w:hint="eastAsia"/>
          <w:sz w:val="32"/>
          <w:szCs w:val="32"/>
        </w:rPr>
        <w:t>上年末</w:t>
      </w:r>
      <w:proofErr w:type="gramStart"/>
      <w:r>
        <w:rPr>
          <w:rFonts w:ascii="仿宋" w:eastAsia="仿宋" w:hAnsi="仿宋" w:hint="eastAsia"/>
          <w:sz w:val="32"/>
          <w:szCs w:val="32"/>
        </w:rPr>
        <w:t>我部门</w:t>
      </w:r>
      <w:proofErr w:type="gramEnd"/>
      <w:r>
        <w:rPr>
          <w:rFonts w:ascii="仿宋" w:eastAsia="仿宋" w:hAnsi="仿宋" w:hint="eastAsia"/>
          <w:sz w:val="32"/>
          <w:szCs w:val="32"/>
        </w:rPr>
        <w:t>固定资产总金额为×××万元（详见下表）。</w:t>
      </w:r>
      <w:r>
        <w:rPr>
          <w:rFonts w:ascii="仿宋" w:eastAsia="仿宋" w:hAnsi="仿宋"/>
          <w:sz w:val="32"/>
          <w:szCs w:val="32"/>
        </w:rPr>
        <w:t xml:space="preserve"> </w:t>
      </w:r>
    </w:p>
    <w:p w14:paraId="091F54E4" w14:textId="77777777" w:rsidR="00B25C95" w:rsidRDefault="00AE360C">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本年度无拟购置</w:t>
      </w:r>
      <w:proofErr w:type="gramEnd"/>
      <w:r>
        <w:rPr>
          <w:rFonts w:ascii="仿宋" w:eastAsia="仿宋" w:hAnsi="仿宋" w:hint="eastAsia"/>
          <w:sz w:val="32"/>
          <w:szCs w:val="32"/>
        </w:rPr>
        <w:t>固定资产的写：</w:t>
      </w:r>
      <w:proofErr w:type="gramStart"/>
      <w:r>
        <w:rPr>
          <w:rFonts w:ascii="仿宋" w:eastAsia="仿宋" w:hAnsi="仿宋" w:hint="eastAsia"/>
          <w:sz w:val="32"/>
          <w:szCs w:val="32"/>
        </w:rPr>
        <w:t>我部门</w:t>
      </w:r>
      <w:proofErr w:type="gramEnd"/>
      <w:r>
        <w:rPr>
          <w:rFonts w:ascii="仿宋" w:eastAsia="仿宋" w:hAnsi="仿宋" w:hint="eastAsia"/>
          <w:sz w:val="32"/>
          <w:szCs w:val="32"/>
        </w:rPr>
        <w:t>本年度无国有资产购置计划，拟购置金额为</w:t>
      </w:r>
      <w:r>
        <w:rPr>
          <w:rFonts w:ascii="仿宋" w:eastAsia="仿宋" w:hAnsi="仿宋"/>
          <w:sz w:val="32"/>
          <w:szCs w:val="32"/>
        </w:rPr>
        <w:t>0</w:t>
      </w:r>
      <w:r>
        <w:rPr>
          <w:rFonts w:ascii="仿宋" w:eastAsia="仿宋" w:hAnsi="仿宋"/>
          <w:sz w:val="32"/>
          <w:szCs w:val="32"/>
        </w:rPr>
        <w:t>。</w:t>
      </w:r>
    </w:p>
    <w:tbl>
      <w:tblPr>
        <w:tblW w:w="10084" w:type="dxa"/>
        <w:jc w:val="center"/>
        <w:tblLayout w:type="fixed"/>
        <w:tblLook w:val="04A0" w:firstRow="1" w:lastRow="0" w:firstColumn="1" w:lastColumn="0" w:noHBand="0" w:noVBand="1"/>
      </w:tblPr>
      <w:tblGrid>
        <w:gridCol w:w="4788"/>
        <w:gridCol w:w="1035"/>
        <w:gridCol w:w="4261"/>
      </w:tblGrid>
      <w:tr w:rsidR="00B25C95" w14:paraId="675C943F" w14:textId="77777777">
        <w:trPr>
          <w:trHeight w:val="510"/>
          <w:jc w:val="center"/>
        </w:trPr>
        <w:tc>
          <w:tcPr>
            <w:tcW w:w="10084" w:type="dxa"/>
            <w:gridSpan w:val="3"/>
            <w:tcBorders>
              <w:top w:val="nil"/>
              <w:left w:val="nil"/>
              <w:bottom w:val="nil"/>
              <w:right w:val="nil"/>
            </w:tcBorders>
            <w:shd w:val="clear" w:color="auto" w:fill="auto"/>
            <w:noWrap/>
            <w:vAlign w:val="center"/>
          </w:tcPr>
          <w:p w14:paraId="120866CD" w14:textId="77777777" w:rsidR="00B25C95" w:rsidRDefault="00AE360C">
            <w:pPr>
              <w:widowControl/>
              <w:jc w:val="center"/>
              <w:rPr>
                <w:rFonts w:ascii="宋体" w:hAnsi="宋体" w:cs="宋体"/>
                <w:kern w:val="0"/>
                <w:sz w:val="28"/>
                <w:szCs w:val="28"/>
              </w:rPr>
            </w:pPr>
            <w:r>
              <w:rPr>
                <w:rFonts w:ascii="宋体" w:hAnsi="宋体" w:hint="eastAsia"/>
                <w:sz w:val="32"/>
                <w:szCs w:val="32"/>
              </w:rPr>
              <w:t>固定资产占用情况表</w:t>
            </w:r>
          </w:p>
        </w:tc>
      </w:tr>
      <w:tr w:rsidR="00B25C95" w14:paraId="3150E34A" w14:textId="77777777">
        <w:trPr>
          <w:trHeight w:val="510"/>
          <w:jc w:val="center"/>
        </w:trPr>
        <w:tc>
          <w:tcPr>
            <w:tcW w:w="10084" w:type="dxa"/>
            <w:gridSpan w:val="3"/>
            <w:tcBorders>
              <w:top w:val="nil"/>
              <w:left w:val="nil"/>
              <w:bottom w:val="single" w:sz="4" w:space="0" w:color="auto"/>
              <w:right w:val="nil"/>
            </w:tcBorders>
            <w:shd w:val="clear" w:color="auto" w:fill="auto"/>
            <w:noWrap/>
            <w:vAlign w:val="center"/>
          </w:tcPr>
          <w:p w14:paraId="65B0238E" w14:textId="77777777" w:rsidR="00B25C95" w:rsidRDefault="00AE360C">
            <w:pPr>
              <w:widowControl/>
              <w:jc w:val="center"/>
              <w:rPr>
                <w:rFonts w:ascii="仿宋_GB2312" w:eastAsia="仿宋_GB2312" w:hAnsi="仿宋" w:cs="宋体"/>
                <w:kern w:val="0"/>
                <w:sz w:val="28"/>
                <w:szCs w:val="28"/>
              </w:rPr>
            </w:pPr>
            <w:r>
              <w:rPr>
                <w:rFonts w:ascii="仿宋_GB2312" w:eastAsia="仿宋_GB2312" w:hAnsi="仿宋" w:cs="宋体" w:hint="eastAsia"/>
                <w:bCs/>
                <w:kern w:val="0"/>
                <w:sz w:val="28"/>
                <w:szCs w:val="28"/>
              </w:rPr>
              <w:t>截止时间：</w:t>
            </w:r>
            <w:r>
              <w:rPr>
                <w:rFonts w:ascii="仿宋_GB2312" w:eastAsia="仿宋_GB2312" w:hAnsi="仿宋" w:cs="宋体"/>
                <w:bCs/>
                <w:color w:val="FF0000"/>
                <w:kern w:val="0"/>
                <w:sz w:val="28"/>
                <w:szCs w:val="28"/>
              </w:rPr>
              <w:t>2020</w:t>
            </w:r>
            <w:r>
              <w:rPr>
                <w:rFonts w:ascii="仿宋_GB2312" w:eastAsia="仿宋_GB2312" w:hAnsi="仿宋" w:cs="宋体" w:hint="eastAsia"/>
                <w:bCs/>
                <w:color w:val="FF0000"/>
                <w:kern w:val="0"/>
                <w:sz w:val="28"/>
                <w:szCs w:val="28"/>
              </w:rPr>
              <w:t>年</w:t>
            </w:r>
            <w:r>
              <w:rPr>
                <w:rFonts w:ascii="仿宋_GB2312" w:eastAsia="仿宋_GB2312" w:hAnsi="仿宋" w:cs="宋体" w:hint="eastAsia"/>
                <w:bCs/>
                <w:color w:val="FF0000"/>
                <w:kern w:val="0"/>
                <w:sz w:val="28"/>
                <w:szCs w:val="28"/>
              </w:rPr>
              <w:t>12</w:t>
            </w:r>
            <w:r>
              <w:rPr>
                <w:rFonts w:ascii="仿宋_GB2312" w:eastAsia="仿宋_GB2312" w:hAnsi="仿宋" w:cs="宋体" w:hint="eastAsia"/>
                <w:bCs/>
                <w:color w:val="FF0000"/>
                <w:kern w:val="0"/>
                <w:sz w:val="28"/>
                <w:szCs w:val="28"/>
              </w:rPr>
              <w:t>月</w:t>
            </w:r>
            <w:r>
              <w:rPr>
                <w:rFonts w:ascii="仿宋_GB2312" w:eastAsia="仿宋_GB2312" w:hAnsi="仿宋" w:cs="宋体" w:hint="eastAsia"/>
                <w:bCs/>
                <w:color w:val="FF0000"/>
                <w:kern w:val="0"/>
                <w:sz w:val="28"/>
                <w:szCs w:val="28"/>
              </w:rPr>
              <w:t>31</w:t>
            </w:r>
            <w:r>
              <w:rPr>
                <w:rFonts w:ascii="仿宋_GB2312" w:eastAsia="仿宋_GB2312" w:hAnsi="仿宋" w:cs="宋体" w:hint="eastAsia"/>
                <w:bCs/>
                <w:color w:val="FF0000"/>
                <w:kern w:val="0"/>
                <w:sz w:val="28"/>
                <w:szCs w:val="28"/>
              </w:rPr>
              <w:t>日</w:t>
            </w:r>
          </w:p>
        </w:tc>
      </w:tr>
      <w:tr w:rsidR="00B25C95" w14:paraId="27A2D731"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072C6C85" w14:textId="77777777" w:rsidR="00B25C95" w:rsidRDefault="00AE360C">
            <w:pPr>
              <w:widowControl/>
              <w:jc w:val="center"/>
              <w:rPr>
                <w:rFonts w:ascii="仿宋_GB2312" w:eastAsia="仿宋_GB2312" w:hAnsi="仿宋" w:cs="宋体"/>
                <w:b/>
                <w:bCs/>
                <w:kern w:val="0"/>
                <w:sz w:val="24"/>
                <w:szCs w:val="24"/>
              </w:rPr>
            </w:pPr>
            <w:proofErr w:type="gramStart"/>
            <w:r>
              <w:rPr>
                <w:rFonts w:ascii="仿宋_GB2312" w:eastAsia="仿宋_GB2312" w:hAnsi="仿宋" w:cs="宋体" w:hint="eastAsia"/>
                <w:b/>
                <w:bCs/>
                <w:kern w:val="0"/>
                <w:sz w:val="24"/>
                <w:szCs w:val="24"/>
              </w:rPr>
              <w:t xml:space="preserve">项　　</w:t>
            </w:r>
            <w:proofErr w:type="gramEnd"/>
            <w:r>
              <w:rPr>
                <w:rFonts w:ascii="仿宋_GB2312" w:eastAsia="仿宋_GB2312" w:hAnsi="仿宋" w:cs="宋体" w:hint="eastAsia"/>
                <w:b/>
                <w:bCs/>
                <w:kern w:val="0"/>
                <w:sz w:val="24"/>
                <w:szCs w:val="24"/>
              </w:rPr>
              <w:t>目</w:t>
            </w:r>
          </w:p>
        </w:tc>
        <w:tc>
          <w:tcPr>
            <w:tcW w:w="1035" w:type="dxa"/>
            <w:tcBorders>
              <w:top w:val="nil"/>
              <w:left w:val="nil"/>
              <w:bottom w:val="single" w:sz="4" w:space="0" w:color="auto"/>
              <w:right w:val="single" w:sz="4" w:space="0" w:color="auto"/>
            </w:tcBorders>
            <w:shd w:val="clear" w:color="auto" w:fill="auto"/>
            <w:noWrap/>
            <w:vAlign w:val="center"/>
          </w:tcPr>
          <w:p w14:paraId="4E4BED9A" w14:textId="77777777" w:rsidR="00B25C95" w:rsidRDefault="00AE360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数量</w:t>
            </w:r>
          </w:p>
        </w:tc>
        <w:tc>
          <w:tcPr>
            <w:tcW w:w="4261" w:type="dxa"/>
            <w:tcBorders>
              <w:top w:val="nil"/>
              <w:left w:val="nil"/>
              <w:bottom w:val="single" w:sz="4" w:space="0" w:color="auto"/>
              <w:right w:val="single" w:sz="4" w:space="0" w:color="auto"/>
            </w:tcBorders>
            <w:shd w:val="clear" w:color="auto" w:fill="auto"/>
            <w:noWrap/>
            <w:vAlign w:val="center"/>
          </w:tcPr>
          <w:p w14:paraId="51E70B21" w14:textId="77777777" w:rsidR="00B25C95" w:rsidRDefault="00AE360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价值（单位：万元）</w:t>
            </w:r>
          </w:p>
        </w:tc>
      </w:tr>
      <w:tr w:rsidR="00B25C95" w14:paraId="660201A9"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2D26435A" w14:textId="77777777" w:rsidR="00B25C95" w:rsidRDefault="00AE360C">
            <w:pPr>
              <w:widowControl/>
              <w:jc w:val="center"/>
              <w:rPr>
                <w:rFonts w:ascii="仿宋_GB2312" w:eastAsia="仿宋_GB2312" w:hAnsi="仿宋" w:cs="宋体"/>
                <w:b/>
                <w:bCs/>
                <w:kern w:val="0"/>
                <w:sz w:val="24"/>
                <w:szCs w:val="24"/>
              </w:rPr>
            </w:pPr>
            <w:r>
              <w:rPr>
                <w:rFonts w:ascii="仿宋_GB2312" w:eastAsia="仿宋_GB2312" w:hAnsi="仿宋" w:cs="宋体" w:hint="eastAsia"/>
                <w:b/>
                <w:bCs/>
                <w:kern w:val="0"/>
                <w:sz w:val="24"/>
                <w:szCs w:val="24"/>
              </w:rPr>
              <w:t>固定资产总额</w:t>
            </w:r>
          </w:p>
        </w:tc>
        <w:tc>
          <w:tcPr>
            <w:tcW w:w="1035" w:type="dxa"/>
            <w:tcBorders>
              <w:top w:val="nil"/>
              <w:left w:val="nil"/>
              <w:bottom w:val="single" w:sz="4" w:space="0" w:color="auto"/>
              <w:right w:val="single" w:sz="4" w:space="0" w:color="auto"/>
            </w:tcBorders>
            <w:shd w:val="clear" w:color="auto" w:fill="auto"/>
            <w:noWrap/>
            <w:vAlign w:val="center"/>
          </w:tcPr>
          <w:p w14:paraId="2FF2914A" w14:textId="77777777" w:rsidR="00B25C95" w:rsidRDefault="00AE360C">
            <w:pPr>
              <w:widowControl/>
              <w:jc w:val="center"/>
              <w:rPr>
                <w:rFonts w:ascii="仿宋_GB2312" w:eastAsia="仿宋_GB2312" w:hAnsi="仿宋" w:cs="宋体"/>
                <w:b/>
                <w:kern w:val="0"/>
                <w:sz w:val="24"/>
                <w:szCs w:val="24"/>
              </w:rPr>
            </w:pPr>
            <w:r>
              <w:rPr>
                <w:rFonts w:ascii="仿宋_GB2312" w:eastAsia="仿宋_GB2312" w:hAnsi="仿宋" w:cs="宋体" w:hint="eastAsia"/>
                <w:b/>
                <w:kern w:val="0"/>
                <w:sz w:val="24"/>
                <w:szCs w:val="24"/>
              </w:rPr>
              <w:t>--</w:t>
            </w:r>
          </w:p>
        </w:tc>
        <w:tc>
          <w:tcPr>
            <w:tcW w:w="4261" w:type="dxa"/>
            <w:tcBorders>
              <w:top w:val="nil"/>
              <w:left w:val="nil"/>
              <w:bottom w:val="single" w:sz="4" w:space="0" w:color="auto"/>
              <w:right w:val="single" w:sz="4" w:space="0" w:color="auto"/>
            </w:tcBorders>
            <w:shd w:val="clear" w:color="auto" w:fill="auto"/>
            <w:noWrap/>
            <w:vAlign w:val="center"/>
          </w:tcPr>
          <w:p w14:paraId="07BC8333" w14:textId="77777777" w:rsidR="00B25C95" w:rsidRDefault="00B25C95">
            <w:pPr>
              <w:widowControl/>
              <w:jc w:val="center"/>
              <w:rPr>
                <w:rFonts w:ascii="仿宋_GB2312" w:eastAsia="仿宋_GB2312" w:hAnsi="仿宋" w:cs="宋体"/>
                <w:b/>
                <w:kern w:val="0"/>
                <w:sz w:val="24"/>
                <w:szCs w:val="24"/>
              </w:rPr>
            </w:pPr>
          </w:p>
        </w:tc>
      </w:tr>
      <w:tr w:rsidR="00B25C95" w14:paraId="1A291037"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76068AD4" w14:textId="77777777" w:rsidR="00B25C95" w:rsidRDefault="00AE360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1</w:t>
            </w:r>
            <w:r>
              <w:rPr>
                <w:rFonts w:ascii="仿宋_GB2312" w:eastAsia="仿宋_GB2312" w:hAnsi="仿宋" w:cs="宋体" w:hint="eastAsia"/>
                <w:kern w:val="0"/>
                <w:sz w:val="24"/>
                <w:szCs w:val="24"/>
              </w:rPr>
              <w:t>、房屋（平方米）</w:t>
            </w:r>
          </w:p>
        </w:tc>
        <w:tc>
          <w:tcPr>
            <w:tcW w:w="1035" w:type="dxa"/>
            <w:tcBorders>
              <w:top w:val="nil"/>
              <w:left w:val="nil"/>
              <w:bottom w:val="single" w:sz="4" w:space="0" w:color="auto"/>
              <w:right w:val="single" w:sz="4" w:space="0" w:color="auto"/>
            </w:tcBorders>
            <w:shd w:val="clear" w:color="auto" w:fill="auto"/>
            <w:noWrap/>
            <w:vAlign w:val="center"/>
          </w:tcPr>
          <w:p w14:paraId="7408F06E"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3274</w:t>
            </w:r>
          </w:p>
        </w:tc>
        <w:tc>
          <w:tcPr>
            <w:tcW w:w="4261" w:type="dxa"/>
            <w:tcBorders>
              <w:top w:val="nil"/>
              <w:left w:val="nil"/>
              <w:bottom w:val="single" w:sz="4" w:space="0" w:color="auto"/>
              <w:right w:val="single" w:sz="4" w:space="0" w:color="auto"/>
            </w:tcBorders>
            <w:shd w:val="clear" w:color="auto" w:fill="auto"/>
            <w:noWrap/>
            <w:vAlign w:val="center"/>
          </w:tcPr>
          <w:p w14:paraId="15FCB143"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718.37</w:t>
            </w:r>
          </w:p>
        </w:tc>
      </w:tr>
      <w:tr w:rsidR="00B25C95" w14:paraId="370CCCE5"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FBC4A" w14:textId="77777777" w:rsidR="00B25C95" w:rsidRDefault="00AE360C">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其中：办公用房（平方米）</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57C72019" w14:textId="77777777" w:rsidR="00B25C95" w:rsidRDefault="00AE360C">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3274</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0D274849" w14:textId="77777777" w:rsidR="00B25C95" w:rsidRDefault="00AE360C">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718.37</w:t>
            </w:r>
          </w:p>
        </w:tc>
      </w:tr>
      <w:tr w:rsidR="00B25C95" w14:paraId="6EC496C5"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011D45C3" w14:textId="77777777" w:rsidR="00B25C95" w:rsidRDefault="00AE360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2</w:t>
            </w:r>
            <w:r>
              <w:rPr>
                <w:rFonts w:ascii="仿宋_GB2312" w:eastAsia="仿宋_GB2312" w:hAnsi="仿宋" w:cs="宋体" w:hint="eastAsia"/>
                <w:kern w:val="0"/>
                <w:sz w:val="24"/>
                <w:szCs w:val="24"/>
              </w:rPr>
              <w:t>、车辆（台、辆）</w:t>
            </w:r>
          </w:p>
        </w:tc>
        <w:tc>
          <w:tcPr>
            <w:tcW w:w="1035" w:type="dxa"/>
            <w:tcBorders>
              <w:top w:val="nil"/>
              <w:left w:val="nil"/>
              <w:bottom w:val="single" w:sz="4" w:space="0" w:color="auto"/>
              <w:right w:val="single" w:sz="4" w:space="0" w:color="auto"/>
            </w:tcBorders>
            <w:shd w:val="clear" w:color="auto" w:fill="auto"/>
            <w:noWrap/>
            <w:vAlign w:val="center"/>
          </w:tcPr>
          <w:p w14:paraId="5B09F1C6"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26</w:t>
            </w:r>
          </w:p>
        </w:tc>
        <w:tc>
          <w:tcPr>
            <w:tcW w:w="4261" w:type="dxa"/>
            <w:tcBorders>
              <w:top w:val="nil"/>
              <w:left w:val="nil"/>
              <w:bottom w:val="single" w:sz="4" w:space="0" w:color="auto"/>
              <w:right w:val="single" w:sz="4" w:space="0" w:color="auto"/>
            </w:tcBorders>
            <w:shd w:val="clear" w:color="auto" w:fill="auto"/>
            <w:noWrap/>
            <w:vAlign w:val="center"/>
          </w:tcPr>
          <w:p w14:paraId="278D3204"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261.15</w:t>
            </w:r>
          </w:p>
        </w:tc>
      </w:tr>
      <w:tr w:rsidR="00B25C95" w14:paraId="2E9F1EB8" w14:textId="77777777">
        <w:trPr>
          <w:trHeight w:val="510"/>
          <w:jc w:val="center"/>
        </w:trPr>
        <w:tc>
          <w:tcPr>
            <w:tcW w:w="4788" w:type="dxa"/>
            <w:tcBorders>
              <w:top w:val="nil"/>
              <w:left w:val="single" w:sz="4" w:space="0" w:color="auto"/>
              <w:bottom w:val="single" w:sz="4" w:space="0" w:color="auto"/>
              <w:right w:val="single" w:sz="4" w:space="0" w:color="auto"/>
            </w:tcBorders>
            <w:shd w:val="clear" w:color="auto" w:fill="auto"/>
            <w:noWrap/>
            <w:vAlign w:val="center"/>
          </w:tcPr>
          <w:p w14:paraId="06D9032C" w14:textId="77777777" w:rsidR="00B25C95" w:rsidRDefault="00AE360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3</w:t>
            </w:r>
            <w:r>
              <w:rPr>
                <w:rFonts w:ascii="仿宋_GB2312" w:eastAsia="仿宋_GB2312" w:hAnsi="仿宋" w:cs="宋体" w:hint="eastAsia"/>
                <w:kern w:val="0"/>
                <w:sz w:val="24"/>
                <w:szCs w:val="24"/>
              </w:rPr>
              <w:t>、单价在</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万元以上的设备</w:t>
            </w:r>
            <w:r>
              <w:rPr>
                <w:rFonts w:ascii="仿宋_GB2312" w:eastAsia="仿宋_GB2312" w:hAnsi="仿宋" w:cs="宋体" w:hint="eastAsia"/>
                <w:kern w:val="0"/>
                <w:sz w:val="24"/>
                <w:szCs w:val="24"/>
              </w:rPr>
              <w:t>(</w:t>
            </w:r>
            <w:r>
              <w:rPr>
                <w:rFonts w:ascii="仿宋_GB2312" w:eastAsia="仿宋_GB2312" w:hAnsi="仿宋" w:cs="宋体" w:hint="eastAsia"/>
                <w:kern w:val="0"/>
                <w:sz w:val="24"/>
                <w:szCs w:val="24"/>
              </w:rPr>
              <w:t>台、套</w:t>
            </w:r>
            <w:r>
              <w:rPr>
                <w:rFonts w:ascii="仿宋_GB2312" w:eastAsia="仿宋_GB2312" w:hAnsi="仿宋" w:cs="宋体" w:hint="eastAsia"/>
                <w:kern w:val="0"/>
                <w:sz w:val="24"/>
                <w:szCs w:val="24"/>
              </w:rPr>
              <w:t>)</w:t>
            </w:r>
          </w:p>
        </w:tc>
        <w:tc>
          <w:tcPr>
            <w:tcW w:w="1035" w:type="dxa"/>
            <w:tcBorders>
              <w:top w:val="nil"/>
              <w:left w:val="nil"/>
              <w:bottom w:val="single" w:sz="4" w:space="0" w:color="auto"/>
              <w:right w:val="single" w:sz="4" w:space="0" w:color="auto"/>
            </w:tcBorders>
            <w:shd w:val="clear" w:color="auto" w:fill="auto"/>
            <w:noWrap/>
            <w:vAlign w:val="center"/>
          </w:tcPr>
          <w:p w14:paraId="4E5B6F59"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nil"/>
              <w:left w:val="nil"/>
              <w:bottom w:val="single" w:sz="4" w:space="0" w:color="auto"/>
              <w:right w:val="single" w:sz="4" w:space="0" w:color="auto"/>
            </w:tcBorders>
            <w:shd w:val="clear" w:color="auto" w:fill="auto"/>
            <w:noWrap/>
            <w:vAlign w:val="center"/>
          </w:tcPr>
          <w:p w14:paraId="24CB844C"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B25C95" w14:paraId="73FEA07C"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A3AC8" w14:textId="77777777" w:rsidR="00B25C95" w:rsidRDefault="00AE360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其中：单价</w:t>
            </w:r>
            <w:r>
              <w:rPr>
                <w:rFonts w:ascii="仿宋_GB2312" w:eastAsia="仿宋_GB2312" w:hAnsi="仿宋" w:cs="宋体" w:hint="eastAsia"/>
                <w:kern w:val="0"/>
                <w:sz w:val="24"/>
                <w:szCs w:val="24"/>
              </w:rPr>
              <w:t>50</w:t>
            </w:r>
            <w:r>
              <w:rPr>
                <w:rFonts w:ascii="仿宋_GB2312" w:eastAsia="仿宋_GB2312" w:hAnsi="仿宋" w:cs="宋体" w:hint="eastAsia"/>
                <w:kern w:val="0"/>
                <w:sz w:val="24"/>
                <w:szCs w:val="24"/>
              </w:rPr>
              <w:t>万元（含）以上的通用设备</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DDE80"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DB828"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B25C95" w14:paraId="4EF2FECF"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F999B" w14:textId="77777777" w:rsidR="00B25C95" w:rsidRDefault="00AE360C">
            <w:pPr>
              <w:widowControl/>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w:t>
            </w:r>
            <w:r>
              <w:rPr>
                <w:rFonts w:ascii="仿宋_GB2312" w:eastAsia="仿宋_GB2312" w:hAnsi="仿宋" w:cs="宋体" w:hint="eastAsia"/>
                <w:kern w:val="0"/>
                <w:sz w:val="24"/>
                <w:szCs w:val="24"/>
              </w:rPr>
              <w:t>单价</w:t>
            </w:r>
            <w:r>
              <w:rPr>
                <w:rFonts w:ascii="仿宋_GB2312" w:eastAsia="仿宋_GB2312" w:hAnsi="仿宋" w:cs="宋体" w:hint="eastAsia"/>
                <w:kern w:val="0"/>
                <w:sz w:val="24"/>
                <w:szCs w:val="24"/>
              </w:rPr>
              <w:t>100</w:t>
            </w:r>
            <w:r>
              <w:rPr>
                <w:rFonts w:ascii="仿宋_GB2312" w:eastAsia="仿宋_GB2312" w:hAnsi="仿宋" w:cs="宋体" w:hint="eastAsia"/>
                <w:kern w:val="0"/>
                <w:sz w:val="24"/>
                <w:szCs w:val="24"/>
              </w:rPr>
              <w:t>万元（含）以上的专用设备</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109479CC"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2B113A36" w14:textId="77777777" w:rsidR="00B25C95" w:rsidRDefault="00AE360C">
            <w:pPr>
              <w:widowControl/>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0</w:t>
            </w:r>
          </w:p>
        </w:tc>
      </w:tr>
      <w:tr w:rsidR="00B25C95" w14:paraId="614A0B57" w14:textId="77777777">
        <w:trPr>
          <w:trHeight w:val="510"/>
          <w:jc w:val="center"/>
        </w:trPr>
        <w:tc>
          <w:tcPr>
            <w:tcW w:w="47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63931" w14:textId="77777777" w:rsidR="00B25C95" w:rsidRDefault="00AE360C">
            <w:pPr>
              <w:jc w:val="left"/>
              <w:rPr>
                <w:rFonts w:ascii="仿宋_GB2312" w:eastAsia="仿宋_GB2312" w:hAnsi="仿宋" w:cs="宋体"/>
                <w:kern w:val="0"/>
                <w:sz w:val="24"/>
                <w:szCs w:val="24"/>
              </w:rPr>
            </w:pPr>
            <w:r>
              <w:rPr>
                <w:rFonts w:ascii="仿宋_GB2312" w:eastAsia="仿宋_GB2312" w:hAnsi="仿宋" w:cs="宋体" w:hint="eastAsia"/>
                <w:kern w:val="0"/>
                <w:sz w:val="24"/>
                <w:szCs w:val="24"/>
              </w:rPr>
              <w:t xml:space="preserve">  4</w:t>
            </w:r>
            <w:r>
              <w:rPr>
                <w:rFonts w:ascii="仿宋_GB2312" w:eastAsia="仿宋_GB2312" w:hAnsi="仿宋" w:cs="宋体" w:hint="eastAsia"/>
                <w:kern w:val="0"/>
                <w:sz w:val="24"/>
                <w:szCs w:val="24"/>
              </w:rPr>
              <w:t>、其他固定资产</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646CFF84" w14:textId="77777777" w:rsidR="00B25C95" w:rsidRDefault="00AE360C">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2533</w:t>
            </w:r>
          </w:p>
        </w:tc>
        <w:tc>
          <w:tcPr>
            <w:tcW w:w="4261" w:type="dxa"/>
            <w:tcBorders>
              <w:top w:val="single" w:sz="4" w:space="0" w:color="auto"/>
              <w:left w:val="nil"/>
              <w:bottom w:val="single" w:sz="4" w:space="0" w:color="auto"/>
              <w:right w:val="single" w:sz="4" w:space="0" w:color="auto"/>
            </w:tcBorders>
            <w:shd w:val="clear" w:color="auto" w:fill="auto"/>
            <w:noWrap/>
            <w:vAlign w:val="center"/>
          </w:tcPr>
          <w:p w14:paraId="44934850" w14:textId="77777777" w:rsidR="00B25C95" w:rsidRDefault="00AE360C">
            <w:pPr>
              <w:jc w:val="center"/>
              <w:rPr>
                <w:rFonts w:ascii="仿宋_GB2312" w:eastAsia="仿宋_GB2312" w:hAnsi="仿宋" w:cs="宋体"/>
                <w:kern w:val="0"/>
                <w:sz w:val="24"/>
                <w:szCs w:val="24"/>
              </w:rPr>
            </w:pPr>
            <w:r>
              <w:rPr>
                <w:rFonts w:ascii="仿宋_GB2312" w:eastAsia="仿宋_GB2312" w:hAnsi="仿宋" w:cs="宋体" w:hint="eastAsia"/>
                <w:kern w:val="0"/>
                <w:sz w:val="24"/>
                <w:szCs w:val="24"/>
              </w:rPr>
              <w:t>74.97</w:t>
            </w:r>
          </w:p>
        </w:tc>
      </w:tr>
    </w:tbl>
    <w:p w14:paraId="70A1E01E" w14:textId="77777777" w:rsidR="00B25C95" w:rsidRDefault="00B25C95">
      <w:pPr>
        <w:spacing w:line="360" w:lineRule="auto"/>
        <w:rPr>
          <w:rFonts w:ascii="黑体" w:eastAsia="黑体" w:hAnsi="黑体" w:cs="Times New Roman"/>
          <w:sz w:val="32"/>
          <w:szCs w:val="32"/>
        </w:rPr>
      </w:pPr>
    </w:p>
    <w:p w14:paraId="0D1FE519" w14:textId="77777777" w:rsidR="00B25C95" w:rsidRDefault="00B25C95">
      <w:pPr>
        <w:jc w:val="center"/>
        <w:outlineLvl w:val="0"/>
        <w:rPr>
          <w:rFonts w:ascii="方正小标宋_GBK" w:eastAsia="方正小标宋_GBK"/>
          <w:sz w:val="44"/>
        </w:rPr>
      </w:pPr>
    </w:p>
    <w:p w14:paraId="1BA4AFD9" w14:textId="77777777" w:rsidR="00B25C95" w:rsidRDefault="00B25C95">
      <w:pPr>
        <w:jc w:val="center"/>
        <w:outlineLvl w:val="0"/>
        <w:rPr>
          <w:rFonts w:ascii="方正小标宋_GBK" w:eastAsia="方正小标宋_GBK"/>
          <w:sz w:val="44"/>
        </w:rPr>
      </w:pPr>
    </w:p>
    <w:p w14:paraId="17FAE16A"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t>第八部分：名词解释</w:t>
      </w:r>
    </w:p>
    <w:p w14:paraId="0EA66139"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lastRenderedPageBreak/>
        <w:t>1</w:t>
      </w:r>
      <w:r>
        <w:rPr>
          <w:rFonts w:ascii="仿宋" w:eastAsia="仿宋" w:hAnsi="仿宋"/>
          <w:sz w:val="32"/>
          <w:szCs w:val="32"/>
        </w:rPr>
        <w:t>、一般公共预算财政拨款收入：指区级财政当年拨付的资金。</w:t>
      </w:r>
    </w:p>
    <w:p w14:paraId="1FEC86A6"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sz w:val="32"/>
          <w:szCs w:val="32"/>
        </w:rPr>
        <w:t>、其他收入：指除上述</w:t>
      </w:r>
      <w:r>
        <w:rPr>
          <w:rFonts w:ascii="仿宋" w:eastAsia="仿宋" w:hAnsi="仿宋"/>
          <w:sz w:val="32"/>
          <w:szCs w:val="32"/>
        </w:rPr>
        <w:t>“</w:t>
      </w:r>
      <w:r>
        <w:rPr>
          <w:rFonts w:ascii="仿宋" w:eastAsia="仿宋" w:hAnsi="仿宋"/>
          <w:sz w:val="32"/>
          <w:szCs w:val="32"/>
        </w:rPr>
        <w:t>财政拨款收入</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事业收入</w:t>
      </w:r>
      <w:r>
        <w:rPr>
          <w:rFonts w:ascii="仿宋" w:eastAsia="仿宋" w:hAnsi="仿宋"/>
          <w:sz w:val="32"/>
          <w:szCs w:val="32"/>
        </w:rPr>
        <w:t>”</w:t>
      </w:r>
      <w:r>
        <w:rPr>
          <w:rFonts w:ascii="仿宋" w:eastAsia="仿宋" w:hAnsi="仿宋"/>
          <w:sz w:val="32"/>
          <w:szCs w:val="32"/>
        </w:rPr>
        <w:t>等以外的收入。</w:t>
      </w:r>
    </w:p>
    <w:p w14:paraId="4FF657F5"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sz w:val="32"/>
          <w:szCs w:val="32"/>
        </w:rPr>
        <w:t>、基本支出：指为保障机构正常运转、完成日常工作任务而发生的人员支出和公用支出。</w:t>
      </w:r>
    </w:p>
    <w:p w14:paraId="3899410C"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sz w:val="32"/>
          <w:szCs w:val="32"/>
        </w:rPr>
        <w:t>、项目支出：指在基本支出之外为完成特定行政任务和事业发展目标所发生的支出。</w:t>
      </w:r>
    </w:p>
    <w:p w14:paraId="6A614A8A"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sz w:val="32"/>
          <w:szCs w:val="32"/>
        </w:rPr>
        <w:t>、</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经费：纳入区级财政预算管理的</w:t>
      </w:r>
      <w:r>
        <w:rPr>
          <w:rFonts w:ascii="仿宋" w:eastAsia="仿宋" w:hAnsi="仿宋"/>
          <w:sz w:val="32"/>
          <w:szCs w:val="32"/>
        </w:rPr>
        <w:t>“</w:t>
      </w:r>
      <w:r>
        <w:rPr>
          <w:rFonts w:ascii="仿宋" w:eastAsia="仿宋" w:hAnsi="仿宋"/>
          <w:sz w:val="32"/>
          <w:szCs w:val="32"/>
        </w:rPr>
        <w:t>三公</w:t>
      </w:r>
      <w:r>
        <w:rPr>
          <w:rFonts w:ascii="仿宋" w:eastAsia="仿宋" w:hAnsi="仿宋"/>
          <w:sz w:val="32"/>
          <w:szCs w:val="32"/>
        </w:rPr>
        <w:t>”</w:t>
      </w:r>
      <w:r>
        <w:rPr>
          <w:rFonts w:ascii="仿宋" w:eastAsia="仿宋" w:hAnsi="仿宋"/>
          <w:sz w:val="32"/>
          <w:szCs w:val="32"/>
        </w:rPr>
        <w:t>经费，是指区级部门用财政拨款安排的因公出国（境）费、公务用车购置及运行费和公务接待费。其中，因公出国（境）</w:t>
      </w:r>
      <w:proofErr w:type="gramStart"/>
      <w:r>
        <w:rPr>
          <w:rFonts w:ascii="仿宋" w:eastAsia="仿宋" w:hAnsi="仿宋"/>
          <w:sz w:val="32"/>
          <w:szCs w:val="32"/>
        </w:rPr>
        <w:t>费反映</w:t>
      </w:r>
      <w:proofErr w:type="gramEnd"/>
      <w:r>
        <w:rPr>
          <w:rFonts w:ascii="仿宋" w:eastAsia="仿宋" w:hAnsi="仿宋"/>
          <w:sz w:val="32"/>
          <w:szCs w:val="32"/>
        </w:rPr>
        <w:t>单位公务出国（境）的住宿费、旅费、伙食补助费、杂费、培训费等支出；公务用车购置及运行</w:t>
      </w:r>
      <w:proofErr w:type="gramStart"/>
      <w:r>
        <w:rPr>
          <w:rFonts w:ascii="仿宋" w:eastAsia="仿宋" w:hAnsi="仿宋"/>
          <w:sz w:val="32"/>
          <w:szCs w:val="32"/>
        </w:rPr>
        <w:t>费反映</w:t>
      </w:r>
      <w:proofErr w:type="gramEnd"/>
      <w:r>
        <w:rPr>
          <w:rFonts w:ascii="仿宋" w:eastAsia="仿宋" w:hAnsi="仿宋"/>
          <w:sz w:val="32"/>
          <w:szCs w:val="32"/>
        </w:rPr>
        <w:t>单位公务用车购置费及租用费、燃料费、维修费、过路过桥费、保险费、安全奖励费用等支出；公务接待</w:t>
      </w:r>
      <w:proofErr w:type="gramStart"/>
      <w:r>
        <w:rPr>
          <w:rFonts w:ascii="仿宋" w:eastAsia="仿宋" w:hAnsi="仿宋"/>
          <w:sz w:val="32"/>
          <w:szCs w:val="32"/>
        </w:rPr>
        <w:t>费反映</w:t>
      </w:r>
      <w:proofErr w:type="gramEnd"/>
      <w:r>
        <w:rPr>
          <w:rFonts w:ascii="仿宋" w:eastAsia="仿宋" w:hAnsi="仿宋"/>
          <w:sz w:val="32"/>
          <w:szCs w:val="32"/>
        </w:rPr>
        <w:t>单位按规定开支的各类公务接待（含外宾接待）支出。</w:t>
      </w:r>
    </w:p>
    <w:p w14:paraId="31758087" w14:textId="77777777" w:rsidR="00B25C95" w:rsidRDefault="00AE360C">
      <w:pPr>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3D08035" w14:textId="77777777" w:rsidR="00B25C95" w:rsidRDefault="00B25C95">
      <w:pPr>
        <w:spacing w:line="360" w:lineRule="auto"/>
        <w:jc w:val="center"/>
        <w:rPr>
          <w:rFonts w:ascii="黑体" w:eastAsia="黑体" w:hAnsi="黑体" w:cs="Times New Roman"/>
          <w:sz w:val="32"/>
          <w:szCs w:val="32"/>
        </w:rPr>
      </w:pPr>
    </w:p>
    <w:p w14:paraId="70D31777" w14:textId="77777777" w:rsidR="00B25C95" w:rsidRDefault="00AE360C">
      <w:pPr>
        <w:jc w:val="center"/>
        <w:outlineLvl w:val="0"/>
        <w:rPr>
          <w:rFonts w:ascii="方正小标宋_GBK" w:eastAsia="方正小标宋_GBK"/>
          <w:sz w:val="44"/>
        </w:rPr>
      </w:pPr>
      <w:r>
        <w:rPr>
          <w:rFonts w:ascii="方正小标宋_GBK" w:eastAsia="方正小标宋_GBK" w:hint="eastAsia"/>
          <w:sz w:val="44"/>
        </w:rPr>
        <w:t>第九部分：其他需说明的事项</w:t>
      </w:r>
    </w:p>
    <w:p w14:paraId="6D38227E" w14:textId="77777777" w:rsidR="00B25C95" w:rsidRDefault="00AE360C">
      <w:pPr>
        <w:spacing w:line="360" w:lineRule="auto"/>
        <w:ind w:firstLineChars="200" w:firstLine="640"/>
        <w:rPr>
          <w:rFonts w:ascii="仿宋" w:eastAsia="仿宋" w:hAnsi="仿宋"/>
          <w:sz w:val="32"/>
          <w:szCs w:val="32"/>
        </w:rPr>
      </w:pPr>
      <w:proofErr w:type="gramStart"/>
      <w:r>
        <w:rPr>
          <w:rFonts w:ascii="仿宋" w:eastAsia="仿宋" w:hAnsi="仿宋" w:hint="eastAsia"/>
          <w:sz w:val="32"/>
          <w:szCs w:val="32"/>
        </w:rPr>
        <w:t>我部门</w:t>
      </w:r>
      <w:proofErr w:type="gramEnd"/>
      <w:r>
        <w:rPr>
          <w:rFonts w:ascii="仿宋" w:eastAsia="仿宋" w:hAnsi="仿宋" w:hint="eastAsia"/>
          <w:sz w:val="32"/>
          <w:szCs w:val="32"/>
        </w:rPr>
        <w:t>无其他需说明的事项。</w:t>
      </w:r>
    </w:p>
    <w:sectPr w:rsidR="00B25C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9E02" w14:textId="77777777" w:rsidR="00AE360C" w:rsidRDefault="00AE360C">
      <w:r>
        <w:separator/>
      </w:r>
    </w:p>
  </w:endnote>
  <w:endnote w:type="continuationSeparator" w:id="0">
    <w:p w14:paraId="4240BD4C" w14:textId="77777777" w:rsidR="00AE360C" w:rsidRDefault="00AE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roman"/>
    <w:pitch w:val="default"/>
    <w:sig w:usb0="00000001" w:usb1="080E0000" w:usb2="00000000" w:usb3="00000000" w:csb0="00040000" w:csb1="00000000"/>
  </w:font>
  <w:font w:name="方正仿宋_GBK">
    <w:altName w:val="微软雅黑"/>
    <w:charset w:val="86"/>
    <w:family w:val="roma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书宋_GBK">
    <w:altName w:val="微软雅黑"/>
    <w:charset w:val="86"/>
    <w:family w:val="roman"/>
    <w:pitch w:val="default"/>
  </w:font>
  <w:font w:name="方正黑体_GBK">
    <w:altName w:val="宋体"/>
    <w:charset w:val="86"/>
    <w:family w:val="roma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172596"/>
      <w:docPartObj>
        <w:docPartGallery w:val="AutoText"/>
      </w:docPartObj>
    </w:sdtPr>
    <w:sdtEndPr/>
    <w:sdtContent>
      <w:p w14:paraId="1B8FB0D3" w14:textId="77777777" w:rsidR="00B25C95" w:rsidRDefault="00AE360C">
        <w:pPr>
          <w:pStyle w:val="a5"/>
          <w:jc w:val="center"/>
        </w:pPr>
        <w:r>
          <w:fldChar w:fldCharType="begin"/>
        </w:r>
        <w:r>
          <w:instrText>PAGE   \* MERGEFORMAT</w:instrText>
        </w:r>
        <w:r>
          <w:fldChar w:fldCharType="separate"/>
        </w:r>
        <w:r>
          <w:rPr>
            <w:lang w:val="zh-CN"/>
          </w:rPr>
          <w:t>10</w:t>
        </w:r>
        <w:r>
          <w:fldChar w:fldCharType="end"/>
        </w:r>
      </w:p>
    </w:sdtContent>
  </w:sdt>
  <w:p w14:paraId="727F5AA0" w14:textId="77777777" w:rsidR="00B25C95" w:rsidRDefault="00B25C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6D345" w14:textId="77777777" w:rsidR="00AE360C" w:rsidRDefault="00AE360C">
      <w:r>
        <w:separator/>
      </w:r>
    </w:p>
  </w:footnote>
  <w:footnote w:type="continuationSeparator" w:id="0">
    <w:p w14:paraId="5F4D92D6" w14:textId="77777777" w:rsidR="00AE360C" w:rsidRDefault="00AE3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C2F67"/>
    <w:rsid w:val="001C75A7"/>
    <w:rsid w:val="001F4875"/>
    <w:rsid w:val="001F65AB"/>
    <w:rsid w:val="00212335"/>
    <w:rsid w:val="002918C6"/>
    <w:rsid w:val="00296524"/>
    <w:rsid w:val="002D20A7"/>
    <w:rsid w:val="002E01F6"/>
    <w:rsid w:val="002F1ACB"/>
    <w:rsid w:val="002F530F"/>
    <w:rsid w:val="00305E97"/>
    <w:rsid w:val="00310532"/>
    <w:rsid w:val="0032782B"/>
    <w:rsid w:val="00340B3D"/>
    <w:rsid w:val="00342468"/>
    <w:rsid w:val="0034253A"/>
    <w:rsid w:val="003669CF"/>
    <w:rsid w:val="00367A30"/>
    <w:rsid w:val="003A06D2"/>
    <w:rsid w:val="003A4557"/>
    <w:rsid w:val="003A6366"/>
    <w:rsid w:val="003B2547"/>
    <w:rsid w:val="003C2317"/>
    <w:rsid w:val="003C442E"/>
    <w:rsid w:val="003D1092"/>
    <w:rsid w:val="003D37CD"/>
    <w:rsid w:val="003E5531"/>
    <w:rsid w:val="003E6AF3"/>
    <w:rsid w:val="0040243C"/>
    <w:rsid w:val="00406BD1"/>
    <w:rsid w:val="00415D85"/>
    <w:rsid w:val="00426C19"/>
    <w:rsid w:val="00450FD9"/>
    <w:rsid w:val="00453CE0"/>
    <w:rsid w:val="004638CB"/>
    <w:rsid w:val="00470736"/>
    <w:rsid w:val="00470BBB"/>
    <w:rsid w:val="004809AE"/>
    <w:rsid w:val="00481E2B"/>
    <w:rsid w:val="0048611E"/>
    <w:rsid w:val="004B6929"/>
    <w:rsid w:val="004E2F43"/>
    <w:rsid w:val="004E3572"/>
    <w:rsid w:val="004F3C52"/>
    <w:rsid w:val="00510A1E"/>
    <w:rsid w:val="005158E2"/>
    <w:rsid w:val="00524204"/>
    <w:rsid w:val="00536769"/>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563C3"/>
    <w:rsid w:val="007657C8"/>
    <w:rsid w:val="00767A77"/>
    <w:rsid w:val="00771E49"/>
    <w:rsid w:val="00782208"/>
    <w:rsid w:val="00785039"/>
    <w:rsid w:val="00791938"/>
    <w:rsid w:val="007A5999"/>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523D"/>
    <w:rsid w:val="009B6368"/>
    <w:rsid w:val="009F63C4"/>
    <w:rsid w:val="00A02521"/>
    <w:rsid w:val="00A03BAE"/>
    <w:rsid w:val="00A162AA"/>
    <w:rsid w:val="00A16957"/>
    <w:rsid w:val="00A6155C"/>
    <w:rsid w:val="00A76F31"/>
    <w:rsid w:val="00A8079E"/>
    <w:rsid w:val="00A90328"/>
    <w:rsid w:val="00A92D66"/>
    <w:rsid w:val="00AA4262"/>
    <w:rsid w:val="00AB5A90"/>
    <w:rsid w:val="00AB7449"/>
    <w:rsid w:val="00AE360C"/>
    <w:rsid w:val="00AE4AA5"/>
    <w:rsid w:val="00AE7FA9"/>
    <w:rsid w:val="00B147EB"/>
    <w:rsid w:val="00B22155"/>
    <w:rsid w:val="00B25C95"/>
    <w:rsid w:val="00B36E05"/>
    <w:rsid w:val="00B76AA9"/>
    <w:rsid w:val="00B80FAB"/>
    <w:rsid w:val="00B81C88"/>
    <w:rsid w:val="00B920F8"/>
    <w:rsid w:val="00BA5C83"/>
    <w:rsid w:val="00BC2DE1"/>
    <w:rsid w:val="00BC6A7D"/>
    <w:rsid w:val="00BD4829"/>
    <w:rsid w:val="00BD6002"/>
    <w:rsid w:val="00BD719F"/>
    <w:rsid w:val="00BF5442"/>
    <w:rsid w:val="00C177A5"/>
    <w:rsid w:val="00C35FEE"/>
    <w:rsid w:val="00C50535"/>
    <w:rsid w:val="00C6153C"/>
    <w:rsid w:val="00C906EF"/>
    <w:rsid w:val="00CC7D74"/>
    <w:rsid w:val="00CF211C"/>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2474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shapelayout>
  </w:shapeDefaults>
  <w:decimalSymbol w:val="."/>
  <w:listSeparator w:val=","/>
  <w14:docId w14:val="4FBF3662"/>
  <w15:docId w15:val="{B6AFBA12-B586-4ABC-AD93-5B1B769D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88237-2390-4CB0-8BE2-460A400A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19</Pages>
  <Words>1372</Words>
  <Characters>7823</Characters>
  <Application>Microsoft Office Word</Application>
  <DocSecurity>0</DocSecurity>
  <Lines>65</Lines>
  <Paragraphs>18</Paragraphs>
  <ScaleCrop>false</ScaleCrop>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182</cp:revision>
  <cp:lastPrinted>2019-02-19T07:03:00Z</cp:lastPrinted>
  <dcterms:created xsi:type="dcterms:W3CDTF">2019-02-15T06:58:00Z</dcterms:created>
  <dcterms:modified xsi:type="dcterms:W3CDTF">2023-11-14T04:37:00Z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