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20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30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0</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319保定市徐水区审计局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420.37</w:t>
            </w:r>
          </w:p>
        </w:tc>
        <w:tc>
          <w:tcPr>
            <w:tcW w:w="4535" w:type="dxa"/>
            <w:vAlign w:val="center"/>
          </w:tcPr>
          <w:p>
            <w:pPr>
              <w:pStyle w:val="14"/>
            </w:pPr>
            <w:r>
              <w:t>一、一般公共服务支出</w:t>
            </w:r>
          </w:p>
        </w:tc>
        <w:tc>
          <w:tcPr>
            <w:tcW w:w="2126" w:type="dxa"/>
            <w:vAlign w:val="center"/>
          </w:tcPr>
          <w:p>
            <w:pPr>
              <w:pStyle w:val="13"/>
            </w:pPr>
            <w:r>
              <w:t>302.67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0.03</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420.41</w:t>
            </w:r>
          </w:p>
        </w:tc>
        <w:tc>
          <w:tcPr>
            <w:tcW w:w="4535" w:type="dxa"/>
            <w:vAlign w:val="center"/>
          </w:tcPr>
          <w:p>
            <w:pPr>
              <w:pStyle w:val="16"/>
            </w:pPr>
            <w:r>
              <w:t>本年支出合计</w:t>
            </w:r>
          </w:p>
        </w:tc>
        <w:tc>
          <w:tcPr>
            <w:tcW w:w="2126" w:type="dxa"/>
            <w:vAlign w:val="center"/>
          </w:tcPr>
          <w:p>
            <w:pPr>
              <w:pStyle w:val="17"/>
            </w:pPr>
            <w:r>
              <w:t>420.41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420.41</w:t>
            </w:r>
          </w:p>
        </w:tc>
        <w:tc>
          <w:tcPr>
            <w:tcW w:w="4535" w:type="dxa"/>
            <w:vAlign w:val="center"/>
          </w:tcPr>
          <w:p>
            <w:pPr>
              <w:pStyle w:val="16"/>
            </w:pPr>
            <w:r>
              <w:t>支出总计</w:t>
            </w:r>
          </w:p>
        </w:tc>
        <w:tc>
          <w:tcPr>
            <w:tcW w:w="2126" w:type="dxa"/>
            <w:vAlign w:val="center"/>
          </w:tcPr>
          <w:p>
            <w:pPr>
              <w:pStyle w:val="17"/>
            </w:pPr>
            <w:r>
              <w:t>420.41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319保定市徐水区审计局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420.41</w:t>
            </w:r>
          </w:p>
        </w:tc>
        <w:tc>
          <w:tcPr>
            <w:tcW w:w="1134" w:type="dxa"/>
            <w:vAlign w:val="center"/>
          </w:tcPr>
          <w:p>
            <w:pPr>
              <w:pStyle w:val="17"/>
            </w:pPr>
            <w:r>
              <w:t>420.41</w:t>
            </w:r>
          </w:p>
        </w:tc>
        <w:tc>
          <w:tcPr>
            <w:tcW w:w="1134" w:type="dxa"/>
            <w:vAlign w:val="center"/>
          </w:tcPr>
          <w:p>
            <w:pPr>
              <w:pStyle w:val="17"/>
            </w:pPr>
            <w:r>
              <w:t>420.37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0.03</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302.67</w:t>
            </w:r>
          </w:p>
        </w:tc>
        <w:tc>
          <w:tcPr>
            <w:tcW w:w="1134" w:type="dxa"/>
            <w:vAlign w:val="center"/>
          </w:tcPr>
          <w:p>
            <w:pPr>
              <w:pStyle w:val="13"/>
            </w:pPr>
            <w:r>
              <w:t>302.67</w:t>
            </w:r>
          </w:p>
        </w:tc>
        <w:tc>
          <w:tcPr>
            <w:tcW w:w="1134" w:type="dxa"/>
            <w:vAlign w:val="center"/>
          </w:tcPr>
          <w:p>
            <w:pPr>
              <w:pStyle w:val="13"/>
            </w:pPr>
            <w:r>
              <w:t>302.63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0.03</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302.67</w:t>
            </w:r>
          </w:p>
        </w:tc>
        <w:tc>
          <w:tcPr>
            <w:tcW w:w="1134" w:type="dxa"/>
            <w:vAlign w:val="center"/>
          </w:tcPr>
          <w:p>
            <w:pPr>
              <w:pStyle w:val="13"/>
            </w:pPr>
            <w:r>
              <w:t>302.67</w:t>
            </w:r>
          </w:p>
        </w:tc>
        <w:tc>
          <w:tcPr>
            <w:tcW w:w="1134" w:type="dxa"/>
            <w:vAlign w:val="center"/>
          </w:tcPr>
          <w:p>
            <w:pPr>
              <w:pStyle w:val="13"/>
            </w:pPr>
            <w:r>
              <w:t>302.63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0.03</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167.75</w:t>
            </w:r>
          </w:p>
        </w:tc>
        <w:tc>
          <w:tcPr>
            <w:tcW w:w="1134" w:type="dxa"/>
            <w:vAlign w:val="center"/>
          </w:tcPr>
          <w:p>
            <w:pPr>
              <w:pStyle w:val="13"/>
            </w:pPr>
            <w:r>
              <w:t>167.75</w:t>
            </w:r>
          </w:p>
        </w:tc>
        <w:tc>
          <w:tcPr>
            <w:tcW w:w="1134" w:type="dxa"/>
            <w:vAlign w:val="center"/>
          </w:tcPr>
          <w:p>
            <w:pPr>
              <w:pStyle w:val="13"/>
            </w:pPr>
            <w:r>
              <w:t>167.72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0.03</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19.88</w:t>
            </w:r>
          </w:p>
        </w:tc>
        <w:tc>
          <w:tcPr>
            <w:tcW w:w="1134" w:type="dxa"/>
            <w:vAlign w:val="center"/>
          </w:tcPr>
          <w:p>
            <w:pPr>
              <w:pStyle w:val="13"/>
            </w:pPr>
            <w:r>
              <w:t>19.88</w:t>
            </w:r>
          </w:p>
        </w:tc>
        <w:tc>
          <w:tcPr>
            <w:tcW w:w="1134" w:type="dxa"/>
            <w:vAlign w:val="center"/>
          </w:tcPr>
          <w:p>
            <w:pPr>
              <w:pStyle w:val="13"/>
            </w:pPr>
            <w:r>
              <w:t>19.88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2010850</w:t>
            </w:r>
          </w:p>
        </w:tc>
        <w:tc>
          <w:tcPr>
            <w:tcW w:w="1559" w:type="dxa"/>
            <w:vAlign w:val="center"/>
          </w:tcPr>
          <w:p>
            <w:pPr>
              <w:pStyle w:val="14"/>
            </w:pPr>
            <w:r>
              <w:t>事业运行</w:t>
            </w:r>
          </w:p>
        </w:tc>
        <w:tc>
          <w:tcPr>
            <w:tcW w:w="1134" w:type="dxa"/>
            <w:vAlign w:val="center"/>
          </w:tcPr>
          <w:p>
            <w:pPr>
              <w:pStyle w:val="13"/>
            </w:pPr>
            <w:r>
              <w:t>115.03</w:t>
            </w:r>
          </w:p>
        </w:tc>
        <w:tc>
          <w:tcPr>
            <w:tcW w:w="1134" w:type="dxa"/>
            <w:vAlign w:val="center"/>
          </w:tcPr>
          <w:p>
            <w:pPr>
              <w:pStyle w:val="13"/>
            </w:pPr>
            <w:r>
              <w:t>115.03</w:t>
            </w:r>
          </w:p>
        </w:tc>
        <w:tc>
          <w:tcPr>
            <w:tcW w:w="1134" w:type="dxa"/>
            <w:vAlign w:val="center"/>
          </w:tcPr>
          <w:p>
            <w:pPr>
              <w:pStyle w:val="13"/>
            </w:pPr>
            <w:r>
              <w:t>115.03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80.24</w:t>
            </w:r>
          </w:p>
        </w:tc>
        <w:tc>
          <w:tcPr>
            <w:tcW w:w="1134" w:type="dxa"/>
            <w:vAlign w:val="center"/>
          </w:tcPr>
          <w:p>
            <w:pPr>
              <w:pStyle w:val="13"/>
            </w:pPr>
            <w:r>
              <w:t>80.24</w:t>
            </w:r>
          </w:p>
        </w:tc>
        <w:tc>
          <w:tcPr>
            <w:tcW w:w="1134" w:type="dxa"/>
            <w:vAlign w:val="center"/>
          </w:tcPr>
          <w:p>
            <w:pPr>
              <w:pStyle w:val="13"/>
            </w:pPr>
            <w:r>
              <w:t>80.24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80.24</w:t>
            </w:r>
          </w:p>
        </w:tc>
        <w:tc>
          <w:tcPr>
            <w:tcW w:w="1134" w:type="dxa"/>
            <w:vAlign w:val="center"/>
          </w:tcPr>
          <w:p>
            <w:pPr>
              <w:pStyle w:val="13"/>
            </w:pPr>
            <w:r>
              <w:t>80.24</w:t>
            </w:r>
          </w:p>
        </w:tc>
        <w:tc>
          <w:tcPr>
            <w:tcW w:w="1134" w:type="dxa"/>
            <w:vAlign w:val="center"/>
          </w:tcPr>
          <w:p>
            <w:pPr>
              <w:pStyle w:val="13"/>
            </w:pPr>
            <w:r>
              <w:t>80.24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45.52</w:t>
            </w:r>
          </w:p>
        </w:tc>
        <w:tc>
          <w:tcPr>
            <w:tcW w:w="1134" w:type="dxa"/>
            <w:vAlign w:val="center"/>
          </w:tcPr>
          <w:p>
            <w:pPr>
              <w:pStyle w:val="13"/>
            </w:pPr>
            <w:r>
              <w:t>45.52</w:t>
            </w:r>
          </w:p>
        </w:tc>
        <w:tc>
          <w:tcPr>
            <w:tcW w:w="1134" w:type="dxa"/>
            <w:vAlign w:val="center"/>
          </w:tcPr>
          <w:p>
            <w:pPr>
              <w:pStyle w:val="13"/>
            </w:pPr>
            <w:r>
              <w:t>45.52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28.46</w:t>
            </w:r>
          </w:p>
        </w:tc>
        <w:tc>
          <w:tcPr>
            <w:tcW w:w="1134" w:type="dxa"/>
            <w:vAlign w:val="center"/>
          </w:tcPr>
          <w:p>
            <w:pPr>
              <w:pStyle w:val="13"/>
            </w:pPr>
            <w:r>
              <w:t>28.46</w:t>
            </w:r>
          </w:p>
        </w:tc>
        <w:tc>
          <w:tcPr>
            <w:tcW w:w="1134" w:type="dxa"/>
            <w:vAlign w:val="center"/>
          </w:tcPr>
          <w:p>
            <w:pPr>
              <w:pStyle w:val="13"/>
            </w:pPr>
            <w:r>
              <w:t>28.46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6.26</w:t>
            </w:r>
          </w:p>
        </w:tc>
        <w:tc>
          <w:tcPr>
            <w:tcW w:w="1134" w:type="dxa"/>
            <w:vAlign w:val="center"/>
          </w:tcPr>
          <w:p>
            <w:pPr>
              <w:pStyle w:val="13"/>
            </w:pPr>
            <w:r>
              <w:t>6.26</w:t>
            </w:r>
          </w:p>
        </w:tc>
        <w:tc>
          <w:tcPr>
            <w:tcW w:w="1134" w:type="dxa"/>
            <w:vAlign w:val="center"/>
          </w:tcPr>
          <w:p>
            <w:pPr>
              <w:pStyle w:val="13"/>
            </w:pPr>
            <w:r>
              <w:t>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r>
              <w:t>14.14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23.36</w:t>
            </w:r>
          </w:p>
        </w:tc>
        <w:tc>
          <w:tcPr>
            <w:tcW w:w="1134" w:type="dxa"/>
            <w:vAlign w:val="center"/>
          </w:tcPr>
          <w:p>
            <w:pPr>
              <w:pStyle w:val="13"/>
            </w:pPr>
            <w:r>
              <w:t>23.36</w:t>
            </w:r>
          </w:p>
        </w:tc>
        <w:tc>
          <w:tcPr>
            <w:tcW w:w="1134" w:type="dxa"/>
            <w:vAlign w:val="center"/>
          </w:tcPr>
          <w:p>
            <w:pPr>
              <w:pStyle w:val="13"/>
            </w:pPr>
            <w:r>
              <w:t>23.36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23.36</w:t>
            </w:r>
          </w:p>
        </w:tc>
        <w:tc>
          <w:tcPr>
            <w:tcW w:w="1134" w:type="dxa"/>
            <w:vAlign w:val="center"/>
          </w:tcPr>
          <w:p>
            <w:pPr>
              <w:pStyle w:val="13"/>
            </w:pPr>
            <w:r>
              <w:t>23.36</w:t>
            </w:r>
          </w:p>
        </w:tc>
        <w:tc>
          <w:tcPr>
            <w:tcW w:w="1134" w:type="dxa"/>
            <w:vAlign w:val="center"/>
          </w:tcPr>
          <w:p>
            <w:pPr>
              <w:pStyle w:val="13"/>
            </w:pPr>
            <w:r>
              <w:t>23.36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23.36</w:t>
            </w:r>
          </w:p>
        </w:tc>
        <w:tc>
          <w:tcPr>
            <w:tcW w:w="1134" w:type="dxa"/>
            <w:vAlign w:val="center"/>
          </w:tcPr>
          <w:p>
            <w:pPr>
              <w:pStyle w:val="13"/>
            </w:pPr>
            <w:r>
              <w:t>23.36</w:t>
            </w:r>
          </w:p>
        </w:tc>
        <w:tc>
          <w:tcPr>
            <w:tcW w:w="1134" w:type="dxa"/>
            <w:vAlign w:val="center"/>
          </w:tcPr>
          <w:p>
            <w:pPr>
              <w:pStyle w:val="13"/>
            </w:pPr>
            <w:r>
              <w:t>23.36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420.41</w:t>
            </w:r>
          </w:p>
        </w:tc>
        <w:tc>
          <w:tcPr>
            <w:tcW w:w="1361" w:type="dxa"/>
            <w:vAlign w:val="center"/>
          </w:tcPr>
          <w:p>
            <w:pPr>
              <w:pStyle w:val="17"/>
            </w:pPr>
            <w:r>
              <w:t>400.49</w:t>
            </w:r>
          </w:p>
        </w:tc>
        <w:tc>
          <w:tcPr>
            <w:tcW w:w="1361" w:type="dxa"/>
            <w:vAlign w:val="center"/>
          </w:tcPr>
          <w:p>
            <w:pPr>
              <w:pStyle w:val="17"/>
            </w:pPr>
            <w:r>
              <w:t>19.91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302.67</w:t>
            </w:r>
          </w:p>
        </w:tc>
        <w:tc>
          <w:tcPr>
            <w:tcW w:w="1361" w:type="dxa"/>
            <w:vAlign w:val="center"/>
          </w:tcPr>
          <w:p>
            <w:pPr>
              <w:pStyle w:val="13"/>
            </w:pPr>
            <w:r>
              <w:t>282.75</w:t>
            </w:r>
          </w:p>
        </w:tc>
        <w:tc>
          <w:tcPr>
            <w:tcW w:w="1361" w:type="dxa"/>
            <w:vAlign w:val="center"/>
          </w:tcPr>
          <w:p>
            <w:pPr>
              <w:pStyle w:val="13"/>
            </w:pPr>
            <w:r>
              <w:t>19.91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302.67</w:t>
            </w:r>
          </w:p>
        </w:tc>
        <w:tc>
          <w:tcPr>
            <w:tcW w:w="1361" w:type="dxa"/>
            <w:vAlign w:val="center"/>
          </w:tcPr>
          <w:p>
            <w:pPr>
              <w:pStyle w:val="13"/>
            </w:pPr>
            <w:r>
              <w:t>282.75</w:t>
            </w:r>
          </w:p>
        </w:tc>
        <w:tc>
          <w:tcPr>
            <w:tcW w:w="1361" w:type="dxa"/>
            <w:vAlign w:val="center"/>
          </w:tcPr>
          <w:p>
            <w:pPr>
              <w:pStyle w:val="13"/>
            </w:pPr>
            <w:r>
              <w:t>19.91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167.75</w:t>
            </w:r>
          </w:p>
        </w:tc>
        <w:tc>
          <w:tcPr>
            <w:tcW w:w="1361" w:type="dxa"/>
            <w:vAlign w:val="center"/>
          </w:tcPr>
          <w:p>
            <w:pPr>
              <w:pStyle w:val="13"/>
            </w:pPr>
            <w:r>
              <w:t>167.72</w:t>
            </w:r>
          </w:p>
        </w:tc>
        <w:tc>
          <w:tcPr>
            <w:tcW w:w="1361" w:type="dxa"/>
            <w:vAlign w:val="center"/>
          </w:tcPr>
          <w:p>
            <w:pPr>
              <w:pStyle w:val="13"/>
            </w:pPr>
            <w:r>
              <w:t>0.03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19.88</w:t>
            </w:r>
          </w:p>
        </w:tc>
        <w:tc>
          <w:tcPr>
            <w:tcW w:w="1361" w:type="dxa"/>
            <w:vAlign w:val="center"/>
          </w:tcPr>
          <w:p>
            <w:pPr>
              <w:pStyle w:val="13"/>
            </w:pPr>
          </w:p>
        </w:tc>
        <w:tc>
          <w:tcPr>
            <w:tcW w:w="1361" w:type="dxa"/>
            <w:vAlign w:val="center"/>
          </w:tcPr>
          <w:p>
            <w:pPr>
              <w:pStyle w:val="13"/>
            </w:pPr>
            <w:r>
              <w:t>19.88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2010850</w:t>
            </w:r>
          </w:p>
        </w:tc>
        <w:tc>
          <w:tcPr>
            <w:tcW w:w="4535" w:type="dxa"/>
            <w:vAlign w:val="center"/>
          </w:tcPr>
          <w:p>
            <w:pPr>
              <w:pStyle w:val="14"/>
            </w:pPr>
            <w:r>
              <w:t>事业运行</w:t>
            </w:r>
          </w:p>
        </w:tc>
        <w:tc>
          <w:tcPr>
            <w:tcW w:w="1361" w:type="dxa"/>
            <w:vAlign w:val="center"/>
          </w:tcPr>
          <w:p>
            <w:pPr>
              <w:pStyle w:val="13"/>
            </w:pPr>
            <w:r>
              <w:t>115.03</w:t>
            </w:r>
          </w:p>
        </w:tc>
        <w:tc>
          <w:tcPr>
            <w:tcW w:w="1361" w:type="dxa"/>
            <w:vAlign w:val="center"/>
          </w:tcPr>
          <w:p>
            <w:pPr>
              <w:pStyle w:val="13"/>
            </w:pPr>
            <w:r>
              <w:t>115.03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80.24</w:t>
            </w:r>
          </w:p>
        </w:tc>
        <w:tc>
          <w:tcPr>
            <w:tcW w:w="1361" w:type="dxa"/>
            <w:vAlign w:val="center"/>
          </w:tcPr>
          <w:p>
            <w:pPr>
              <w:pStyle w:val="13"/>
            </w:pPr>
            <w:r>
              <w:t>80.24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80.24</w:t>
            </w:r>
          </w:p>
        </w:tc>
        <w:tc>
          <w:tcPr>
            <w:tcW w:w="1361" w:type="dxa"/>
            <w:vAlign w:val="center"/>
          </w:tcPr>
          <w:p>
            <w:pPr>
              <w:pStyle w:val="13"/>
            </w:pPr>
            <w:r>
              <w:t>80.24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45.52</w:t>
            </w:r>
          </w:p>
        </w:tc>
        <w:tc>
          <w:tcPr>
            <w:tcW w:w="1361" w:type="dxa"/>
            <w:vAlign w:val="center"/>
          </w:tcPr>
          <w:p>
            <w:pPr>
              <w:pStyle w:val="13"/>
            </w:pPr>
            <w:r>
              <w:t>45.52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28.46</w:t>
            </w:r>
          </w:p>
        </w:tc>
        <w:tc>
          <w:tcPr>
            <w:tcW w:w="1361" w:type="dxa"/>
            <w:vAlign w:val="center"/>
          </w:tcPr>
          <w:p>
            <w:pPr>
              <w:pStyle w:val="13"/>
            </w:pPr>
            <w:r>
              <w:t>28.46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6.26</w:t>
            </w:r>
          </w:p>
        </w:tc>
        <w:tc>
          <w:tcPr>
            <w:tcW w:w="1361" w:type="dxa"/>
            <w:vAlign w:val="center"/>
          </w:tcPr>
          <w:p>
            <w:pPr>
              <w:pStyle w:val="13"/>
            </w:pPr>
            <w:r>
              <w:t>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14.14</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14.14</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14.14</w:t>
            </w:r>
          </w:p>
        </w:tc>
        <w:tc>
          <w:tcPr>
            <w:tcW w:w="1361" w:type="dxa"/>
            <w:vAlign w:val="center"/>
          </w:tcPr>
          <w:p>
            <w:pPr>
              <w:pStyle w:val="13"/>
            </w:pPr>
            <w:r>
              <w:t>14.14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23.36</w:t>
            </w:r>
          </w:p>
        </w:tc>
        <w:tc>
          <w:tcPr>
            <w:tcW w:w="1361" w:type="dxa"/>
            <w:vAlign w:val="center"/>
          </w:tcPr>
          <w:p>
            <w:pPr>
              <w:pStyle w:val="13"/>
            </w:pPr>
            <w:r>
              <w:t>23.36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23.36</w:t>
            </w:r>
          </w:p>
        </w:tc>
        <w:tc>
          <w:tcPr>
            <w:tcW w:w="1361" w:type="dxa"/>
            <w:vAlign w:val="center"/>
          </w:tcPr>
          <w:p>
            <w:pPr>
              <w:pStyle w:val="13"/>
            </w:pPr>
            <w:r>
              <w:t>23.36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23.36</w:t>
            </w:r>
          </w:p>
        </w:tc>
        <w:tc>
          <w:tcPr>
            <w:tcW w:w="1361" w:type="dxa"/>
            <w:vAlign w:val="center"/>
          </w:tcPr>
          <w:p>
            <w:pPr>
              <w:pStyle w:val="13"/>
            </w:pPr>
            <w:r>
              <w:t>23.36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420.37</w:t>
            </w:r>
          </w:p>
        </w:tc>
        <w:tc>
          <w:tcPr>
            <w:tcW w:w="3402" w:type="dxa"/>
            <w:vAlign w:val="center"/>
          </w:tcPr>
          <w:p>
            <w:pPr>
              <w:pStyle w:val="14"/>
            </w:pPr>
            <w:r>
              <w:t>一、一般公共服务支出</w:t>
            </w:r>
          </w:p>
        </w:tc>
        <w:tc>
          <w:tcPr>
            <w:tcW w:w="1474" w:type="dxa"/>
            <w:vAlign w:val="center"/>
          </w:tcPr>
          <w:p>
            <w:pPr>
              <w:pStyle w:val="13"/>
            </w:pPr>
            <w:r>
              <w:t>302.63</w:t>
            </w:r>
          </w:p>
        </w:tc>
        <w:tc>
          <w:tcPr>
            <w:tcW w:w="1474" w:type="dxa"/>
            <w:vAlign w:val="center"/>
          </w:tcPr>
          <w:p>
            <w:pPr>
              <w:pStyle w:val="13"/>
            </w:pPr>
            <w:r>
              <w:t>302.63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80.24</w:t>
            </w:r>
          </w:p>
        </w:tc>
        <w:tc>
          <w:tcPr>
            <w:tcW w:w="1474" w:type="dxa"/>
            <w:vAlign w:val="center"/>
          </w:tcPr>
          <w:p>
            <w:pPr>
              <w:pStyle w:val="13"/>
            </w:pPr>
            <w:r>
              <w:t>80.24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14.14</w:t>
            </w:r>
          </w:p>
        </w:tc>
        <w:tc>
          <w:tcPr>
            <w:tcW w:w="1474" w:type="dxa"/>
            <w:vAlign w:val="center"/>
          </w:tcPr>
          <w:p>
            <w:pPr>
              <w:pStyle w:val="13"/>
            </w:pPr>
            <w:r>
              <w:t>14.14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23.36</w:t>
            </w:r>
          </w:p>
        </w:tc>
        <w:tc>
          <w:tcPr>
            <w:tcW w:w="1474" w:type="dxa"/>
            <w:vAlign w:val="center"/>
          </w:tcPr>
          <w:p>
            <w:pPr>
              <w:pStyle w:val="13"/>
            </w:pPr>
            <w:r>
              <w:t>23.36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420.37</w:t>
            </w:r>
          </w:p>
        </w:tc>
        <w:tc>
          <w:tcPr>
            <w:tcW w:w="3402" w:type="dxa"/>
            <w:vAlign w:val="center"/>
          </w:tcPr>
          <w:p>
            <w:pPr>
              <w:pStyle w:val="16"/>
            </w:pPr>
            <w:r>
              <w:t>本年支出合计</w:t>
            </w:r>
          </w:p>
        </w:tc>
        <w:tc>
          <w:tcPr>
            <w:tcW w:w="1474" w:type="dxa"/>
            <w:vAlign w:val="center"/>
          </w:tcPr>
          <w:p>
            <w:pPr>
              <w:pStyle w:val="17"/>
            </w:pPr>
            <w:r>
              <w:t>420.37</w:t>
            </w:r>
          </w:p>
        </w:tc>
        <w:tc>
          <w:tcPr>
            <w:tcW w:w="1474" w:type="dxa"/>
            <w:vAlign w:val="center"/>
          </w:tcPr>
          <w:p>
            <w:pPr>
              <w:pStyle w:val="17"/>
            </w:pPr>
            <w:r>
              <w:t>420.37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420.37</w:t>
            </w:r>
          </w:p>
        </w:tc>
        <w:tc>
          <w:tcPr>
            <w:tcW w:w="3402" w:type="dxa"/>
            <w:vAlign w:val="center"/>
          </w:tcPr>
          <w:p>
            <w:pPr>
              <w:pStyle w:val="16"/>
            </w:pPr>
            <w:r>
              <w:t>支出总计</w:t>
            </w:r>
          </w:p>
        </w:tc>
        <w:tc>
          <w:tcPr>
            <w:tcW w:w="1474" w:type="dxa"/>
            <w:vAlign w:val="center"/>
          </w:tcPr>
          <w:p>
            <w:pPr>
              <w:pStyle w:val="17"/>
            </w:pPr>
            <w:r>
              <w:t>420.37</w:t>
            </w:r>
          </w:p>
        </w:tc>
        <w:tc>
          <w:tcPr>
            <w:tcW w:w="1474" w:type="dxa"/>
            <w:vAlign w:val="center"/>
          </w:tcPr>
          <w:p>
            <w:pPr>
              <w:pStyle w:val="17"/>
            </w:pPr>
            <w:r>
              <w:t>420.37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420.37</w:t>
            </w:r>
          </w:p>
        </w:tc>
        <w:tc>
          <w:tcPr>
            <w:tcW w:w="2551" w:type="dxa"/>
            <w:vAlign w:val="center"/>
          </w:tcPr>
          <w:p>
            <w:pPr>
              <w:pStyle w:val="17"/>
            </w:pPr>
            <w:r>
              <w:t>400.49</w:t>
            </w:r>
          </w:p>
        </w:tc>
        <w:tc>
          <w:tcPr>
            <w:tcW w:w="2551" w:type="dxa"/>
            <w:vAlign w:val="center"/>
          </w:tcPr>
          <w:p>
            <w:pPr>
              <w:pStyle w:val="17"/>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302.63</w:t>
            </w:r>
          </w:p>
        </w:tc>
        <w:tc>
          <w:tcPr>
            <w:tcW w:w="2551" w:type="dxa"/>
            <w:vAlign w:val="center"/>
          </w:tcPr>
          <w:p>
            <w:pPr>
              <w:pStyle w:val="13"/>
            </w:pPr>
            <w:r>
              <w:t>282.75</w:t>
            </w:r>
          </w:p>
        </w:tc>
        <w:tc>
          <w:tcPr>
            <w:tcW w:w="2551" w:type="dxa"/>
            <w:vAlign w:val="center"/>
          </w:tcPr>
          <w:p>
            <w:pPr>
              <w:pStyle w:val="13"/>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302.63</w:t>
            </w:r>
          </w:p>
        </w:tc>
        <w:tc>
          <w:tcPr>
            <w:tcW w:w="2551" w:type="dxa"/>
            <w:vAlign w:val="center"/>
          </w:tcPr>
          <w:p>
            <w:pPr>
              <w:pStyle w:val="13"/>
            </w:pPr>
            <w:r>
              <w:t>282.75</w:t>
            </w:r>
          </w:p>
        </w:tc>
        <w:tc>
          <w:tcPr>
            <w:tcW w:w="2551" w:type="dxa"/>
            <w:vAlign w:val="center"/>
          </w:tcPr>
          <w:p>
            <w:pPr>
              <w:pStyle w:val="13"/>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167.72</w:t>
            </w:r>
          </w:p>
        </w:tc>
        <w:tc>
          <w:tcPr>
            <w:tcW w:w="2551" w:type="dxa"/>
            <w:vAlign w:val="center"/>
          </w:tcPr>
          <w:p>
            <w:pPr>
              <w:pStyle w:val="13"/>
            </w:pPr>
            <w:r>
              <w:t>167.72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19.88</w:t>
            </w:r>
          </w:p>
        </w:tc>
        <w:tc>
          <w:tcPr>
            <w:tcW w:w="2551" w:type="dxa"/>
            <w:vAlign w:val="center"/>
          </w:tcPr>
          <w:p>
            <w:pPr>
              <w:pStyle w:val="13"/>
            </w:pPr>
          </w:p>
        </w:tc>
        <w:tc>
          <w:tcPr>
            <w:tcW w:w="2551" w:type="dxa"/>
            <w:vAlign w:val="center"/>
          </w:tcPr>
          <w:p>
            <w:pPr>
              <w:pStyle w:val="13"/>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2010850</w:t>
            </w:r>
          </w:p>
        </w:tc>
        <w:tc>
          <w:tcPr>
            <w:tcW w:w="4535" w:type="dxa"/>
            <w:vAlign w:val="center"/>
          </w:tcPr>
          <w:p>
            <w:pPr>
              <w:pStyle w:val="14"/>
            </w:pPr>
            <w:r>
              <w:t>事业运行</w:t>
            </w:r>
          </w:p>
        </w:tc>
        <w:tc>
          <w:tcPr>
            <w:tcW w:w="2551" w:type="dxa"/>
            <w:vAlign w:val="center"/>
          </w:tcPr>
          <w:p>
            <w:pPr>
              <w:pStyle w:val="13"/>
            </w:pPr>
            <w:r>
              <w:t>115.03</w:t>
            </w:r>
          </w:p>
        </w:tc>
        <w:tc>
          <w:tcPr>
            <w:tcW w:w="2551" w:type="dxa"/>
            <w:vAlign w:val="center"/>
          </w:tcPr>
          <w:p>
            <w:pPr>
              <w:pStyle w:val="13"/>
            </w:pPr>
            <w:r>
              <w:t>115.03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80.24</w:t>
            </w:r>
          </w:p>
        </w:tc>
        <w:tc>
          <w:tcPr>
            <w:tcW w:w="2551" w:type="dxa"/>
            <w:vAlign w:val="center"/>
          </w:tcPr>
          <w:p>
            <w:pPr>
              <w:pStyle w:val="13"/>
            </w:pPr>
            <w:r>
              <w:t>80.24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80.24</w:t>
            </w:r>
          </w:p>
        </w:tc>
        <w:tc>
          <w:tcPr>
            <w:tcW w:w="2551" w:type="dxa"/>
            <w:vAlign w:val="center"/>
          </w:tcPr>
          <w:p>
            <w:pPr>
              <w:pStyle w:val="13"/>
            </w:pPr>
            <w:r>
              <w:t>80.24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45.52</w:t>
            </w:r>
          </w:p>
        </w:tc>
        <w:tc>
          <w:tcPr>
            <w:tcW w:w="2551" w:type="dxa"/>
            <w:vAlign w:val="center"/>
          </w:tcPr>
          <w:p>
            <w:pPr>
              <w:pStyle w:val="13"/>
            </w:pPr>
            <w:r>
              <w:t>45.52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28.46</w:t>
            </w:r>
          </w:p>
        </w:tc>
        <w:tc>
          <w:tcPr>
            <w:tcW w:w="2551" w:type="dxa"/>
            <w:vAlign w:val="center"/>
          </w:tcPr>
          <w:p>
            <w:pPr>
              <w:pStyle w:val="13"/>
            </w:pPr>
            <w:r>
              <w:t>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6.26</w:t>
            </w:r>
          </w:p>
        </w:tc>
        <w:tc>
          <w:tcPr>
            <w:tcW w:w="2551" w:type="dxa"/>
            <w:vAlign w:val="center"/>
          </w:tcPr>
          <w:p>
            <w:pPr>
              <w:pStyle w:val="13"/>
            </w:pPr>
            <w:r>
              <w:t>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14.14</w:t>
            </w:r>
          </w:p>
        </w:tc>
        <w:tc>
          <w:tcPr>
            <w:tcW w:w="2551" w:type="dxa"/>
            <w:vAlign w:val="center"/>
          </w:tcPr>
          <w:p>
            <w:pPr>
              <w:pStyle w:val="13"/>
            </w:pPr>
            <w:r>
              <w:t>14.14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14.14</w:t>
            </w:r>
          </w:p>
        </w:tc>
        <w:tc>
          <w:tcPr>
            <w:tcW w:w="2551" w:type="dxa"/>
            <w:vAlign w:val="center"/>
          </w:tcPr>
          <w:p>
            <w:pPr>
              <w:pStyle w:val="13"/>
            </w:pPr>
            <w:r>
              <w:t>14.14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14.14</w:t>
            </w:r>
          </w:p>
        </w:tc>
        <w:tc>
          <w:tcPr>
            <w:tcW w:w="2551" w:type="dxa"/>
            <w:vAlign w:val="center"/>
          </w:tcPr>
          <w:p>
            <w:pPr>
              <w:pStyle w:val="13"/>
            </w:pPr>
            <w:r>
              <w:t>14.14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23.36</w:t>
            </w:r>
          </w:p>
        </w:tc>
        <w:tc>
          <w:tcPr>
            <w:tcW w:w="2551" w:type="dxa"/>
            <w:vAlign w:val="center"/>
          </w:tcPr>
          <w:p>
            <w:pPr>
              <w:pStyle w:val="13"/>
            </w:pPr>
            <w:r>
              <w:t>23.36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23.36</w:t>
            </w:r>
          </w:p>
        </w:tc>
        <w:tc>
          <w:tcPr>
            <w:tcW w:w="2551" w:type="dxa"/>
            <w:vAlign w:val="center"/>
          </w:tcPr>
          <w:p>
            <w:pPr>
              <w:pStyle w:val="13"/>
            </w:pPr>
            <w:r>
              <w:t>23.36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23.36</w:t>
            </w:r>
          </w:p>
        </w:tc>
        <w:tc>
          <w:tcPr>
            <w:tcW w:w="2551" w:type="dxa"/>
            <w:vAlign w:val="center"/>
          </w:tcPr>
          <w:p>
            <w:pPr>
              <w:pStyle w:val="13"/>
            </w:pPr>
            <w:r>
              <w:t>23.36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400.49</w:t>
            </w:r>
          </w:p>
        </w:tc>
        <w:tc>
          <w:tcPr>
            <w:tcW w:w="2551" w:type="dxa"/>
            <w:vAlign w:val="center"/>
          </w:tcPr>
          <w:p>
            <w:pPr>
              <w:pStyle w:val="17"/>
            </w:pPr>
            <w:r>
              <w:t>373.74</w:t>
            </w:r>
          </w:p>
        </w:tc>
        <w:tc>
          <w:tcPr>
            <w:tcW w:w="2551" w:type="dxa"/>
            <w:vAlign w:val="center"/>
          </w:tcPr>
          <w:p>
            <w:pPr>
              <w:pStyle w:val="17"/>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328.88</w:t>
            </w:r>
          </w:p>
        </w:tc>
        <w:tc>
          <w:tcPr>
            <w:tcW w:w="2551" w:type="dxa"/>
            <w:vAlign w:val="center"/>
          </w:tcPr>
          <w:p>
            <w:pPr>
              <w:pStyle w:val="13"/>
            </w:pPr>
            <w:r>
              <w:t>328.88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84.66</w:t>
            </w:r>
          </w:p>
        </w:tc>
        <w:tc>
          <w:tcPr>
            <w:tcW w:w="2551" w:type="dxa"/>
            <w:vAlign w:val="center"/>
          </w:tcPr>
          <w:p>
            <w:pPr>
              <w:pStyle w:val="13"/>
            </w:pPr>
            <w:r>
              <w:t>84.66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47.10</w:t>
            </w:r>
          </w:p>
        </w:tc>
        <w:tc>
          <w:tcPr>
            <w:tcW w:w="2551" w:type="dxa"/>
            <w:vAlign w:val="center"/>
          </w:tcPr>
          <w:p>
            <w:pPr>
              <w:pStyle w:val="13"/>
            </w:pPr>
            <w:r>
              <w:t>47.10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36.56</w:t>
            </w:r>
          </w:p>
        </w:tc>
        <w:tc>
          <w:tcPr>
            <w:tcW w:w="2551" w:type="dxa"/>
            <w:vAlign w:val="center"/>
          </w:tcPr>
          <w:p>
            <w:pPr>
              <w:pStyle w:val="13"/>
            </w:pPr>
            <w:r>
              <w:t>36.56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28.15</w:t>
            </w:r>
          </w:p>
        </w:tc>
        <w:tc>
          <w:tcPr>
            <w:tcW w:w="2551" w:type="dxa"/>
            <w:vAlign w:val="center"/>
          </w:tcPr>
          <w:p>
            <w:pPr>
              <w:pStyle w:val="13"/>
            </w:pPr>
            <w:r>
              <w:t>28.15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28.46</w:t>
            </w:r>
          </w:p>
        </w:tc>
        <w:tc>
          <w:tcPr>
            <w:tcW w:w="2551" w:type="dxa"/>
            <w:vAlign w:val="center"/>
          </w:tcPr>
          <w:p>
            <w:pPr>
              <w:pStyle w:val="13"/>
            </w:pPr>
            <w:r>
              <w:t>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6.26</w:t>
            </w:r>
          </w:p>
        </w:tc>
        <w:tc>
          <w:tcPr>
            <w:tcW w:w="2551" w:type="dxa"/>
            <w:vAlign w:val="center"/>
          </w:tcPr>
          <w:p>
            <w:pPr>
              <w:pStyle w:val="13"/>
            </w:pPr>
            <w:r>
              <w:t>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13.92</w:t>
            </w:r>
          </w:p>
        </w:tc>
        <w:tc>
          <w:tcPr>
            <w:tcW w:w="2551" w:type="dxa"/>
            <w:vAlign w:val="center"/>
          </w:tcPr>
          <w:p>
            <w:pPr>
              <w:pStyle w:val="13"/>
            </w:pPr>
            <w:r>
              <w:t>13.92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1.39</w:t>
            </w:r>
          </w:p>
        </w:tc>
        <w:tc>
          <w:tcPr>
            <w:tcW w:w="2551" w:type="dxa"/>
            <w:vAlign w:val="center"/>
          </w:tcPr>
          <w:p>
            <w:pPr>
              <w:pStyle w:val="13"/>
            </w:pPr>
            <w:r>
              <w:t>1.39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23.36</w:t>
            </w:r>
          </w:p>
        </w:tc>
        <w:tc>
          <w:tcPr>
            <w:tcW w:w="2551" w:type="dxa"/>
            <w:vAlign w:val="center"/>
          </w:tcPr>
          <w:p>
            <w:pPr>
              <w:pStyle w:val="13"/>
            </w:pPr>
            <w:r>
              <w:t>23.36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59.02</w:t>
            </w:r>
          </w:p>
        </w:tc>
        <w:tc>
          <w:tcPr>
            <w:tcW w:w="2551" w:type="dxa"/>
            <w:vAlign w:val="center"/>
          </w:tcPr>
          <w:p>
            <w:pPr>
              <w:pStyle w:val="13"/>
            </w:pPr>
            <w:r>
              <w:t>59.02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26.75</w:t>
            </w:r>
          </w:p>
        </w:tc>
        <w:tc>
          <w:tcPr>
            <w:tcW w:w="2551" w:type="dxa"/>
            <w:vAlign w:val="center"/>
          </w:tcPr>
          <w:p>
            <w:pPr>
              <w:pStyle w:val="13"/>
            </w:pPr>
          </w:p>
        </w:tc>
        <w:tc>
          <w:tcPr>
            <w:tcW w:w="2551" w:type="dxa"/>
            <w:vAlign w:val="center"/>
          </w:tcPr>
          <w:p>
            <w:pPr>
              <w:pStyle w:val="13"/>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5.07</w:t>
            </w:r>
          </w:p>
        </w:tc>
        <w:tc>
          <w:tcPr>
            <w:tcW w:w="2551" w:type="dxa"/>
            <w:vAlign w:val="center"/>
          </w:tcPr>
          <w:p>
            <w:pPr>
              <w:pStyle w:val="13"/>
            </w:pPr>
          </w:p>
        </w:tc>
        <w:tc>
          <w:tcPr>
            <w:tcW w:w="2551" w:type="dxa"/>
            <w:vAlign w:val="center"/>
          </w:tcPr>
          <w:p>
            <w:pPr>
              <w:pStyle w:val="13"/>
            </w:pPr>
            <w: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5.10</w:t>
            </w:r>
          </w:p>
        </w:tc>
        <w:tc>
          <w:tcPr>
            <w:tcW w:w="2551" w:type="dxa"/>
            <w:vAlign w:val="center"/>
          </w:tcPr>
          <w:p>
            <w:pPr>
              <w:pStyle w:val="13"/>
            </w:pPr>
          </w:p>
        </w:tc>
        <w:tc>
          <w:tcPr>
            <w:tcW w:w="2551"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2.91</w:t>
            </w:r>
          </w:p>
        </w:tc>
        <w:tc>
          <w:tcPr>
            <w:tcW w:w="2551" w:type="dxa"/>
            <w:vAlign w:val="center"/>
          </w:tcPr>
          <w:p>
            <w:pPr>
              <w:pStyle w:val="13"/>
            </w:pPr>
          </w:p>
        </w:tc>
        <w:tc>
          <w:tcPr>
            <w:tcW w:w="2551" w:type="dxa"/>
            <w:vAlign w:val="center"/>
          </w:tcPr>
          <w:p>
            <w:pPr>
              <w:pStyle w:val="13"/>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2.12</w:t>
            </w:r>
          </w:p>
        </w:tc>
        <w:tc>
          <w:tcPr>
            <w:tcW w:w="2551" w:type="dxa"/>
            <w:vAlign w:val="center"/>
          </w:tcPr>
          <w:p>
            <w:pPr>
              <w:pStyle w:val="13"/>
            </w:pPr>
          </w:p>
        </w:tc>
        <w:tc>
          <w:tcPr>
            <w:tcW w:w="2551"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6.78</w:t>
            </w:r>
          </w:p>
        </w:tc>
        <w:tc>
          <w:tcPr>
            <w:tcW w:w="2551" w:type="dxa"/>
            <w:vAlign w:val="center"/>
          </w:tcPr>
          <w:p>
            <w:pPr>
              <w:pStyle w:val="13"/>
            </w:pPr>
          </w:p>
        </w:tc>
        <w:tc>
          <w:tcPr>
            <w:tcW w:w="2551" w:type="dxa"/>
            <w:vAlign w:val="center"/>
          </w:tcPr>
          <w:p>
            <w:pPr>
              <w:pStyle w:val="13"/>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2.29</w:t>
            </w:r>
          </w:p>
        </w:tc>
        <w:tc>
          <w:tcPr>
            <w:tcW w:w="2551" w:type="dxa"/>
            <w:vAlign w:val="center"/>
          </w:tcPr>
          <w:p>
            <w:pPr>
              <w:pStyle w:val="13"/>
            </w:pPr>
          </w:p>
        </w:tc>
        <w:tc>
          <w:tcPr>
            <w:tcW w:w="2551" w:type="dxa"/>
            <w:vAlign w:val="center"/>
          </w:tcPr>
          <w:p>
            <w:pPr>
              <w:pStyle w:val="13"/>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44.86</w:t>
            </w:r>
          </w:p>
        </w:tc>
        <w:tc>
          <w:tcPr>
            <w:tcW w:w="2551" w:type="dxa"/>
            <w:vAlign w:val="center"/>
          </w:tcPr>
          <w:p>
            <w:pPr>
              <w:pStyle w:val="13"/>
            </w:pPr>
            <w:r>
              <w:t>44.86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43.37</w:t>
            </w:r>
          </w:p>
        </w:tc>
        <w:tc>
          <w:tcPr>
            <w:tcW w:w="2551" w:type="dxa"/>
            <w:vAlign w:val="center"/>
          </w:tcPr>
          <w:p>
            <w:pPr>
              <w:pStyle w:val="13"/>
            </w:pPr>
            <w:r>
              <w:t>43.37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1.45</w:t>
            </w:r>
          </w:p>
        </w:tc>
        <w:tc>
          <w:tcPr>
            <w:tcW w:w="2551" w:type="dxa"/>
            <w:vAlign w:val="center"/>
          </w:tcPr>
          <w:p>
            <w:pPr>
              <w:pStyle w:val="13"/>
            </w:pPr>
            <w:r>
              <w:t>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319保定市徐水区审计局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2.49</w:t>
            </w:r>
          </w:p>
        </w:tc>
        <w:tc>
          <w:tcPr>
            <w:tcW w:w="1643" w:type="dxa"/>
            <w:vAlign w:val="center"/>
          </w:tcPr>
          <w:p>
            <w:pPr>
              <w:pStyle w:val="17"/>
            </w:pPr>
            <w:r>
              <w:t>2.49</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2.49</w:t>
            </w:r>
          </w:p>
        </w:tc>
        <w:tc>
          <w:tcPr>
            <w:tcW w:w="1643" w:type="dxa"/>
            <w:vAlign w:val="center"/>
          </w:tcPr>
          <w:p>
            <w:pPr>
              <w:pStyle w:val="13"/>
            </w:pPr>
            <w:r>
              <w:t>2.49</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2.43</w:t>
            </w:r>
          </w:p>
        </w:tc>
        <w:tc>
          <w:tcPr>
            <w:tcW w:w="1643" w:type="dxa"/>
            <w:vAlign w:val="center"/>
          </w:tcPr>
          <w:p>
            <w:pPr>
              <w:pStyle w:val="13"/>
            </w:pPr>
            <w:r>
              <w:t>2.43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保定市徐水区审计局2023年部门预算信息公开情况说明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保定市徐水区审计局2023年部门预算信息公开情况说明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预算法》、《地方预决算公开操作规程》和《关于进一步推进预算公开工作的实施意见》规定，现将保定市徐水区审计局2023年部门预算公开如下：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根据《保定市徐水区审计局职能配置、内设机构和人员编制规定》，保定市徐水区审计局的主要职责是：</w:t>
      </w:r>
    </w:p>
    <w:p>
      <w:pPr>
        <w:pStyle w:val="19"/>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19"/>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19"/>
      </w:pPr>
      <w:r>
        <w:t xml:space="preserve">（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    </w:t>
      </w:r>
    </w:p>
    <w:p>
      <w:pPr>
        <w:pStyle w:val="19"/>
      </w:pPr>
      <w:r>
        <w:t>（四）直接审计下列事项，出具审计报告，在法定职权范围内作出审计决定。包括国家、省、市和区有关重大政策措施贯彻落实情况。</w:t>
      </w:r>
    </w:p>
    <w:p>
      <w:pPr>
        <w:pStyle w:val="19"/>
      </w:pPr>
      <w:r>
        <w:t>1.区本级预算执行情况和其他财政收支，区直各部门（含所属单位）预算执行情况、决算草案和其他财政收支。</w:t>
      </w:r>
    </w:p>
    <w:p>
      <w:pPr>
        <w:pStyle w:val="19"/>
      </w:pPr>
      <w:r>
        <w:t>2.乡镇政府预算执行情况、决算和其他财政收支。</w:t>
      </w:r>
    </w:p>
    <w:p>
      <w:pPr>
        <w:pStyle w:val="19"/>
      </w:pPr>
      <w:r>
        <w:t>3.使用区级财政资金的事业单位和社会团体的财务收支。</w:t>
      </w:r>
    </w:p>
    <w:p>
      <w:pPr>
        <w:pStyle w:val="19"/>
      </w:pPr>
      <w:r>
        <w:t>4.区投资和以区投资为主的建设项目的预算执行情况和决算，区公共工程项目的资金管理使用和建设运营情况。</w:t>
      </w:r>
    </w:p>
    <w:p>
      <w:pPr>
        <w:pStyle w:val="19"/>
      </w:pPr>
      <w:r>
        <w:t>5.自然资源管理、污染防治和生态保护与修复情况。</w:t>
      </w:r>
    </w:p>
    <w:p>
      <w:pPr>
        <w:pStyle w:val="19"/>
      </w:pPr>
      <w:r>
        <w:t>6.区属国有和国有资本占控股或者主导地位的企业和境内外资产、负债和损益，区驻外非经营性机构的财务收支。</w:t>
      </w:r>
    </w:p>
    <w:p>
      <w:pPr>
        <w:pStyle w:val="19"/>
      </w:pPr>
      <w:r>
        <w:t>7.有关社会保障基金、社会捐赠资金和其他基金、资金的财务收支；国际组织和外国政府援助、贷款项目。</w:t>
      </w:r>
    </w:p>
    <w:p>
      <w:pPr>
        <w:pStyle w:val="19"/>
      </w:pPr>
      <w:r>
        <w:t>8.法律法规规定的其他事项。</w:t>
      </w:r>
    </w:p>
    <w:p>
      <w:pPr>
        <w:pStyle w:val="19"/>
      </w:pPr>
      <w:r>
        <w:t>（五）按规定对区管党政主要领导干部、区属国有及国有控股企业领导人及依法属于区级审计机构审计监督对象的其他单位主要负责人实施经济责任审计和自然资源资产离任审计。</w:t>
      </w:r>
    </w:p>
    <w:p>
      <w:pPr>
        <w:pStyle w:val="19"/>
      </w:pPr>
      <w:r>
        <w:t>（六）组织实施对财经法律法规、规章、政策和宏观调控措施执行情况、财政预算管理及国有资产管理使用、重点建设项目的实施情况、与财政收支有关的特定事项进行专项审计调查或跟踪审计。</w:t>
      </w:r>
    </w:p>
    <w:p>
      <w:pPr>
        <w:pStyle w:val="19"/>
      </w:pPr>
      <w:r>
        <w:t>（七）依法检查审计决定执行情况，督促整改审计查出的问题，依法办理被审计单位对审计决定提请行政复议、行政诉讼或区政府裁决中的有关事项，协助配合有关部门查处相关重大案件。</w:t>
      </w:r>
    </w:p>
    <w:p>
      <w:pPr>
        <w:pStyle w:val="19"/>
      </w:pPr>
      <w:r>
        <w:t>（八）指导和监督内部审计工作，核查社会审计机构对依法属于审计监督对象的单位出具的相关审计报告。</w:t>
      </w:r>
    </w:p>
    <w:p>
      <w:pPr>
        <w:pStyle w:val="19"/>
      </w:pPr>
      <w:r>
        <w:t>（九）完成区委、区政府和上级审计机关交办的其他任务。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按照预算管理有关规定，目前我省部门预算的编制实行综合预算管理，即全部收入和支出都反映在预算中。保定市徐水区审计局机关及所属事业单位的收支包含在部门预算中。</w:t>
      </w:r>
    </w:p>
    <w:p>
      <w:pPr>
        <w:pStyle w:val="20"/>
      </w:pPr>
      <w:r>
        <w:t>一、收入说明</w:t>
      </w:r>
    </w:p>
    <w:p>
      <w:pPr>
        <w:pStyle w:val="20"/>
      </w:pPr>
      <w:r>
        <w:t>反映本部门当年全部收入。2023年预算收入420.41万元，其中：一般公共预算收入420.</w:t>
      </w:r>
      <w:r>
        <w:rPr>
          <w:rFonts w:hint="eastAsia"/>
          <w:lang w:val="en-US" w:eastAsia="zh-CN"/>
        </w:rPr>
        <w:t>37</w:t>
      </w:r>
      <w:r>
        <w:t>万元，基金预算收入0万元，国有资本经营预算收入0万元，财政专户核拨收入0万元，单位资金收入0.03万元，上年结转结余0万元。</w:t>
      </w:r>
    </w:p>
    <w:p>
      <w:pPr>
        <w:pStyle w:val="20"/>
      </w:pPr>
      <w:r>
        <w:t>二、支出说明</w:t>
      </w:r>
    </w:p>
    <w:p>
      <w:pPr>
        <w:pStyle w:val="20"/>
      </w:pPr>
      <w:r>
        <w:t>收支预算总表支出栏、基本支出表、项目支出表按经济分类和支出功能分类科目编制，反映审计局年度部门预算中支出预算的总体情况。2023年支出预算420.41万元，其中基本支出400.49万元，包括人员经费373.74万元和日常公用经费26.75万元；项目支出19.91万元，主要为差旅费、劳务费、办公设备购置支出等。</w:t>
      </w:r>
    </w:p>
    <w:p>
      <w:pPr>
        <w:pStyle w:val="20"/>
      </w:pPr>
      <w:r>
        <w:t>三、比上年增减情况</w:t>
      </w:r>
    </w:p>
    <w:p>
      <w:pPr>
        <w:pStyle w:val="20"/>
      </w:pPr>
      <w:r>
        <w:t>本年度预算收支安排420.41万元，较上年增加93.1万元。其中:基本支出增加73.18万元，主要原因是人员经费增加；项目支出增加19.91万元，主要原因是本年新增两个预算项目。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2023年我部门机关运行经费安排26.75万元，其中办公费5.</w:t>
      </w:r>
      <w:r>
        <w:rPr>
          <w:rFonts w:hint="eastAsia"/>
          <w:lang w:val="en-US" w:eastAsia="zh-CN"/>
        </w:rPr>
        <w:t>07</w:t>
      </w:r>
      <w:r>
        <w:t>万元，邮电费5.1万元，工会经费、福利费5.02万元，公务用车运行维护费2.43万元，其他支出0万元。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2.49万元，其中因公出国（境）费0万元；公务用车购置及运维费2.43万元（其中：公务用车购置费为0万元，公务用车运维费2.43万元)；公务接待费0.06万元。与2022年相比增加0万元，增加的主要原因是：无。</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协调推进和督促落实党中央、省委、市委、区委关于审计工作的方针政策和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2023年审计项目计划，提出审计领域坚持党的领导、加强党的建设的政策建议，组织研究全区审计工作发展规划、重大政策和改革方案，建设一支信念坚定、业务精通、作风务实、清正廉洁的高素质专业化审计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大力推进审计全覆盖，加大审计监督力度。</w:t>
      </w:r>
    </w:p>
    <w:p>
      <w:pPr>
        <w:pStyle w:val="24"/>
      </w:pPr>
      <w: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区经济和社会健康发展。</w:t>
      </w:r>
    </w:p>
    <w:p>
      <w:pPr>
        <w:pStyle w:val="24"/>
      </w:pPr>
      <w:r>
        <w:t>绩效指标：审计计划完成率达到90%以上，重大政策落实跟踪审计部署完成率达到100%，保障审计程序合法合规，审计通知书按时送达，审计底稿取证合规，审计报告全部征求意见，审计档案及时归档。</w:t>
      </w:r>
    </w:p>
    <w:p>
      <w:pPr>
        <w:pStyle w:val="24"/>
      </w:pPr>
      <w:r>
        <w:rPr>
          <w:rFonts w:hint="eastAsia"/>
          <w:lang w:val="en-US" w:eastAsia="zh-CN"/>
        </w:rPr>
        <w:t>2、</w:t>
      </w:r>
      <w:r>
        <w:t>大力推进审计工作统筹，提升审计效能。</w:t>
      </w:r>
    </w:p>
    <w:p>
      <w:pPr>
        <w:pStyle w:val="24"/>
      </w:pPr>
      <w:r>
        <w:t>绩效目标：强化上级审计机关对下级审计机关的领导，接受上级审计业务指导。</w:t>
      </w:r>
    </w:p>
    <w:p>
      <w:pPr>
        <w:pStyle w:val="24"/>
      </w:pPr>
      <w:r>
        <w:t>“两统筹”，保障审计项目的质量；优化资源配置，建立健全全区内部审计机构建设，监督内部审计职责履行情况，检查内部审计业务质量；通过向社会购买服务的方式，合理运用内部审计和社会审计力量，形成审计监督合力。</w:t>
      </w:r>
    </w:p>
    <w:p>
      <w:pPr>
        <w:pStyle w:val="24"/>
      </w:pPr>
      <w:r>
        <w:t>绩效指标：审计项目数量达到10个以上。</w:t>
      </w:r>
    </w:p>
    <w:p>
      <w:pPr>
        <w:pStyle w:val="24"/>
      </w:pPr>
      <w:r>
        <w:rPr>
          <w:rFonts w:hint="eastAsia"/>
          <w:lang w:val="en-US" w:eastAsia="zh-CN"/>
        </w:rPr>
        <w:t>3、</w:t>
      </w:r>
      <w:r>
        <w:t>大力推进审计成果应用，彰显审计价值。</w:t>
      </w:r>
    </w:p>
    <w:p>
      <w:pPr>
        <w:pStyle w:val="24"/>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区委、区政府决策提供依据。</w:t>
      </w:r>
    </w:p>
    <w:p>
      <w:pPr>
        <w:pStyle w:val="24"/>
      </w:pPr>
      <w:r>
        <w:t>绩效指标：审计问题整改率达到90%以上。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完善制度建设。</w:t>
      </w:r>
    </w:p>
    <w:p>
      <w:pPr>
        <w:pStyle w:val="25"/>
      </w:pPr>
      <w:r>
        <w:t xml:space="preserve">始终把预算绩效工作列入年度工作计划，将事前评估、目标管理、运行监控、绩效评价、结果应用等有效融入预算管理的全过程。根据部门职责和评价项目特点，对照预算文本和设定的绩效目标，制定预算绩效管理的具体工作方案。成立预算绩效工作领导小组，按照绩效工作实施方案规定的程序和内容，对预算项目绩效目标和绩效指标的完成情况，通过核实数据、现场比对，进行绩效分析和评价，发现问题及时采取措施，明确责任主体。 </w:t>
      </w:r>
    </w:p>
    <w:p>
      <w:pPr>
        <w:pStyle w:val="25"/>
      </w:pPr>
      <w:r>
        <w:rPr>
          <w:rFonts w:hint="eastAsia"/>
          <w:lang w:val="en-US" w:eastAsia="zh-CN"/>
        </w:rPr>
        <w:t>2、</w:t>
      </w:r>
      <w:r>
        <w:t>加强支出管理。</w:t>
      </w:r>
    </w:p>
    <w:p>
      <w:pPr>
        <w:pStyle w:val="25"/>
      </w:pPr>
      <w:r>
        <w:t>优化部门预算支出结构，合理制定支出方式，及时启动预算项目，及时支付资金，加快履行政府采购程序，确保按照时间节点完成支付进度，严格绩效目标考核，更好地发挥财政资金的使用效益。</w:t>
      </w:r>
    </w:p>
    <w:p>
      <w:pPr>
        <w:pStyle w:val="25"/>
      </w:pPr>
      <w:r>
        <w:rPr>
          <w:rFonts w:hint="eastAsia"/>
          <w:lang w:val="en-US" w:eastAsia="zh-CN"/>
        </w:rPr>
        <w:t>3、</w:t>
      </w:r>
      <w:r>
        <w:t>加强绩效运行监控。</w:t>
      </w:r>
    </w:p>
    <w:p>
      <w:pPr>
        <w:pStyle w:val="25"/>
      </w:pPr>
      <w:r>
        <w:t>按要求开展绩效运行监控，对绩效运行情况、重大支出、资产处置及其他重要经济业务事项经党组研究批准后执行，确保财政资金安全有效，发现问题及时采取措施，确保绩效目标如期保质实现。</w:t>
      </w:r>
    </w:p>
    <w:p>
      <w:pPr>
        <w:pStyle w:val="25"/>
      </w:pPr>
      <w:r>
        <w:rPr>
          <w:rFonts w:hint="eastAsia"/>
          <w:lang w:val="en-US" w:eastAsia="zh-CN"/>
        </w:rPr>
        <w:t>4、</w:t>
      </w:r>
      <w:r>
        <w:t>做好绩效自评。</w:t>
      </w:r>
    </w:p>
    <w:p>
      <w:pPr>
        <w:pStyle w:val="25"/>
      </w:pPr>
      <w:r>
        <w:t>按要求开展部门预算绩效自评和重点评价工作。各部门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及时整改，调整优化支出结构，提高财政资金使用效益。</w:t>
      </w:r>
    </w:p>
    <w:p>
      <w:pPr>
        <w:pStyle w:val="25"/>
      </w:pPr>
      <w:r>
        <w:rPr>
          <w:rFonts w:hint="eastAsia"/>
          <w:lang w:val="en-US" w:eastAsia="zh-CN"/>
        </w:rPr>
        <w:t>5、</w:t>
      </w:r>
      <w:r>
        <w:t>规范财务资产管理。</w:t>
      </w:r>
    </w:p>
    <w:p>
      <w:pPr>
        <w:pStyle w:val="25"/>
      </w:pPr>
      <w:r>
        <w:t>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pStyle w:val="25"/>
      </w:pPr>
      <w:r>
        <w:rPr>
          <w:rFonts w:hint="eastAsia"/>
          <w:lang w:val="en-US" w:eastAsia="zh-CN"/>
        </w:rPr>
        <w:t>6、</w:t>
      </w:r>
      <w:r>
        <w:t>加强内部监督。</w:t>
      </w:r>
    </w:p>
    <w:p>
      <w:pPr>
        <w:pStyle w:val="2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rPr>
          <w:rFonts w:hint="eastAsia"/>
          <w:lang w:val="en-US" w:eastAsia="zh-CN"/>
        </w:rPr>
        <w:t>7、</w:t>
      </w:r>
      <w:r>
        <w:t>加强宣传培训调研等。</w:t>
      </w:r>
    </w:p>
    <w:p>
      <w:pPr>
        <w:pStyle w:val="25"/>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1.保障我单位日常行政管理方面工作的运行，维持我单位公务活动的正常开展。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≥95%</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≥95%</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≥95%</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办公费成本</w:t>
            </w:r>
          </w:p>
        </w:tc>
        <w:tc>
          <w:tcPr>
            <w:tcW w:w="2835" w:type="dxa"/>
            <w:vAlign w:val="center"/>
          </w:tcPr>
          <w:p>
            <w:pPr>
              <w:pStyle w:val="14"/>
            </w:pPr>
            <w:r>
              <w:t>办公费成本</w:t>
            </w:r>
          </w:p>
        </w:tc>
        <w:tc>
          <w:tcPr>
            <w:tcW w:w="2551" w:type="dxa"/>
            <w:vAlign w:val="center"/>
          </w:tcPr>
          <w:p>
            <w:pPr>
              <w:pStyle w:val="14"/>
            </w:pPr>
            <w:r>
              <w:t>≥95%</w:t>
            </w:r>
          </w:p>
        </w:tc>
        <w:tc>
          <w:tcPr>
            <w:tcW w:w="2268" w:type="dxa"/>
            <w:vAlign w:val="center"/>
          </w:tcPr>
          <w:p>
            <w:pPr>
              <w:pStyle w:val="14"/>
            </w:pPr>
            <w:r>
              <w:t>依据工作方案</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2、国家建设项目审计绩效目标表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1.对建设项目投资全过程经济活动的真实、合法、效益进行审计。按项目进度支付资金，6月份达到50%，12月份支出完毕。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报告质量合格率</w:t>
            </w:r>
          </w:p>
        </w:tc>
        <w:tc>
          <w:tcPr>
            <w:tcW w:w="2835" w:type="dxa"/>
            <w:vAlign w:val="center"/>
          </w:tcPr>
          <w:p>
            <w:pPr>
              <w:pStyle w:val="14"/>
            </w:pPr>
            <w:r>
              <w:t>反映报告质量合格的情况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问题整改完成及时率</w:t>
            </w:r>
          </w:p>
        </w:tc>
        <w:tc>
          <w:tcPr>
            <w:tcW w:w="2835" w:type="dxa"/>
            <w:vAlign w:val="center"/>
          </w:tcPr>
          <w:p>
            <w:pPr>
              <w:pStyle w:val="14"/>
            </w:pPr>
            <w:r>
              <w:t>反映按要求及时完成问题整改的情况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反映项目资金支付的情况</w:t>
            </w:r>
          </w:p>
        </w:tc>
        <w:tc>
          <w:tcPr>
            <w:tcW w:w="2551" w:type="dxa"/>
            <w:vAlign w:val="center"/>
          </w:tcPr>
          <w:p>
            <w:pPr>
              <w:pStyle w:val="14"/>
            </w:pPr>
            <w:r>
              <w:t>≥90%</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出具报告数量</w:t>
            </w:r>
          </w:p>
        </w:tc>
        <w:tc>
          <w:tcPr>
            <w:tcW w:w="2835" w:type="dxa"/>
            <w:vAlign w:val="center"/>
          </w:tcPr>
          <w:p>
            <w:pPr>
              <w:pStyle w:val="14"/>
            </w:pPr>
            <w:r>
              <w:t>反映出具报告的数量情况</w:t>
            </w:r>
          </w:p>
        </w:tc>
        <w:tc>
          <w:tcPr>
            <w:tcW w:w="2551" w:type="dxa"/>
            <w:vAlign w:val="center"/>
          </w:tcPr>
          <w:p>
            <w:pPr>
              <w:pStyle w:val="14"/>
            </w:pPr>
            <w:r>
              <w:t>≥1个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查出问题整改率</w:t>
            </w:r>
          </w:p>
        </w:tc>
        <w:tc>
          <w:tcPr>
            <w:tcW w:w="2835" w:type="dxa"/>
            <w:vAlign w:val="center"/>
          </w:tcPr>
          <w:p>
            <w:pPr>
              <w:pStyle w:val="14"/>
            </w:pPr>
            <w:r>
              <w:t>反映查出问题的整改情况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反映接受审计监督的相关单位和部门对审计工作的满意程度</w:t>
            </w:r>
          </w:p>
        </w:tc>
        <w:tc>
          <w:tcPr>
            <w:tcW w:w="2551" w:type="dxa"/>
            <w:vAlign w:val="center"/>
          </w:tcPr>
          <w:p>
            <w:pPr>
              <w:pStyle w:val="14"/>
            </w:pPr>
            <w:r>
              <w:t>≥90%</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3、经济责任审计绩效目标表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1.维护国家财政经济秩序，促进廉政建设，保障国民经济的健康发展。按项目进度支付资金，6月份达到50%，12月份支出完毕。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报告质量合格率</w:t>
            </w:r>
          </w:p>
        </w:tc>
        <w:tc>
          <w:tcPr>
            <w:tcW w:w="2835" w:type="dxa"/>
            <w:vAlign w:val="center"/>
          </w:tcPr>
          <w:p>
            <w:pPr>
              <w:pStyle w:val="14"/>
            </w:pPr>
            <w:r>
              <w:t>反映报告质量合格的情况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问题整改完成及时率</w:t>
            </w:r>
          </w:p>
        </w:tc>
        <w:tc>
          <w:tcPr>
            <w:tcW w:w="2835" w:type="dxa"/>
            <w:vAlign w:val="center"/>
          </w:tcPr>
          <w:p>
            <w:pPr>
              <w:pStyle w:val="14"/>
            </w:pPr>
            <w:r>
              <w:t>反映按要求及时完成问题整改的情况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反映项目资金支付的情况</w:t>
            </w:r>
          </w:p>
        </w:tc>
        <w:tc>
          <w:tcPr>
            <w:tcW w:w="2551" w:type="dxa"/>
            <w:vAlign w:val="center"/>
          </w:tcPr>
          <w:p>
            <w:pPr>
              <w:pStyle w:val="14"/>
            </w:pPr>
            <w:r>
              <w:t>≥90%</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出具报告数量</w:t>
            </w:r>
          </w:p>
        </w:tc>
        <w:tc>
          <w:tcPr>
            <w:tcW w:w="2835" w:type="dxa"/>
            <w:vAlign w:val="center"/>
          </w:tcPr>
          <w:p>
            <w:pPr>
              <w:pStyle w:val="14"/>
            </w:pPr>
            <w:r>
              <w:t>反映出具报告的数量情况</w:t>
            </w:r>
          </w:p>
        </w:tc>
        <w:tc>
          <w:tcPr>
            <w:tcW w:w="2551" w:type="dxa"/>
            <w:vAlign w:val="center"/>
          </w:tcPr>
          <w:p>
            <w:pPr>
              <w:pStyle w:val="14"/>
            </w:pPr>
            <w:r>
              <w:t>≥10个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查出问题整改率</w:t>
            </w:r>
          </w:p>
        </w:tc>
        <w:tc>
          <w:tcPr>
            <w:tcW w:w="2835" w:type="dxa"/>
            <w:vAlign w:val="center"/>
          </w:tcPr>
          <w:p>
            <w:pPr>
              <w:pStyle w:val="14"/>
            </w:pPr>
            <w:r>
              <w:t>反映查出问题的整改情况</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反映接受审计监督的相关单位和部门对审计工作的满意程度</w:t>
            </w:r>
          </w:p>
        </w:tc>
        <w:tc>
          <w:tcPr>
            <w:tcW w:w="2551" w:type="dxa"/>
            <w:vAlign w:val="center"/>
          </w:tcPr>
          <w:p>
            <w:pPr>
              <w:pStyle w:val="14"/>
            </w:pPr>
            <w:r>
              <w:t>≥90%</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2023年，保定市徐水区审计局安排政府采购预算0.00万元。具体内容见下表。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319保定市徐水区审计局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保定市徐水区审计局（含所属单位）上年末固定资产金额为57.55万元（详见下表）。本年度拟购置固定资产总额为0.00万元，已按要求列入政府采购预算，详见政府采购预算表。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319保定市徐水区审计局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tabs>
          <w:tab w:val="left" w:pos="343"/>
          <w:tab w:val="center" w:pos="7525"/>
        </w:tabs>
        <w:spacing w:before="0" w:after="0" w:line="240" w:lineRule="auto"/>
        <w:ind w:firstLine="0"/>
        <w:jc w:val="left"/>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E2NWQyY2NmMzNmMDcwMzdiOWFkMzJjZDZiOTEzNzUifQ=="/>
  </w:docVars>
  <w:rsids>
    <w:rsidRoot w:val="00000000"/>
    <w:rsid w:val="01A00089"/>
    <w:rsid w:val="05F36491"/>
    <w:rsid w:val="076E747F"/>
    <w:rsid w:val="092D370C"/>
    <w:rsid w:val="0A0D39BE"/>
    <w:rsid w:val="0AEF6013"/>
    <w:rsid w:val="14035DC4"/>
    <w:rsid w:val="20607F5C"/>
    <w:rsid w:val="236C1428"/>
    <w:rsid w:val="27F136D9"/>
    <w:rsid w:val="3509652C"/>
    <w:rsid w:val="3E442382"/>
    <w:rsid w:val="425D711E"/>
    <w:rsid w:val="50CA5B65"/>
    <w:rsid w:val="5B3D14EA"/>
    <w:rsid w:val="620E3A4B"/>
    <w:rsid w:val="665A43DD"/>
    <w:rsid w:val="70F13180"/>
    <w:rsid w:val="73190C6B"/>
    <w:rsid w:val="7A8A3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2023-02-28T11:16:49Z</dcterms:created>
  <dcterms:modified xsi:type="dcterms:W3CDTF">2023-02-28T03:16:49Z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2023-02-28T11:16:49Z</dcterms:created>
  <dcterms:modified xsi:type="dcterms:W3CDTF">2023-02-28T03:16:49Z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2023-02-28T11:16:49Z</dcterms:created>
  <dcterms:modified xsi:type="dcterms:W3CDTF">2023-02-28T03:16:49Z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2023-02-28T11:16:48Z</dcterms:created>
  <dcterms:modified xsi:type="dcterms:W3CDTF">2023-02-28T03:16:47Z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2023-02-28T11:16:45Z</dcterms:created>
  <dcterms:modified xsi:type="dcterms:W3CDTF">2023-02-28T03:16:45Z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2023-02-28T11:16:41Z</dcterms:created>
  <dcterms:modified xsi:type="dcterms:W3CDTF">2023-02-28T03:16:41Z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2023-02-28T11:16:44Z</dcterms:created>
  <dcterms:modified xsi:type="dcterms:W3CDTF">2023-02-28T03:16:44Z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2023-02-28T11:16:50Z</dcterms:created>
  <dcterms:modified xsi:type="dcterms:W3CDTF">2023-02-28T03:16:50Z</dcterms:modified>
</cp:coreProperties>
</file>

<file path=customXml/itemProps1.xml><?xml version="1.0" encoding="utf-8"?>
<ds:datastoreItem xmlns:ds="http://schemas.openxmlformats.org/officeDocument/2006/customXml" ds:itemID="{e2bc062e-f183-4d48-9de1-c283254eb2db}">
  <ds:schemaRefs/>
</ds:datastoreItem>
</file>

<file path=customXml/itemProps10.xml><?xml version="1.0" encoding="utf-8"?>
<ds:datastoreItem xmlns:ds="http://schemas.openxmlformats.org/officeDocument/2006/customXml" ds:itemID="{4c3f9eea-9413-4ed2-9f82-a5abc5dbad19}">
  <ds:schemaRefs/>
</ds:datastoreItem>
</file>

<file path=customXml/itemProps11.xml><?xml version="1.0" encoding="utf-8"?>
<ds:datastoreItem xmlns:ds="http://schemas.openxmlformats.org/officeDocument/2006/customXml" ds:itemID="{6565be26-d741-48fe-8292-4f8afba7050b}">
  <ds:schemaRefs/>
</ds:datastoreItem>
</file>

<file path=customXml/itemProps12.xml><?xml version="1.0" encoding="utf-8"?>
<ds:datastoreItem xmlns:ds="http://schemas.openxmlformats.org/officeDocument/2006/customXml" ds:itemID="{a9239a92-bcbd-4639-b7e0-4a845bd86604}">
  <ds:schemaRefs/>
</ds:datastoreItem>
</file>

<file path=customXml/itemProps13.xml><?xml version="1.0" encoding="utf-8"?>
<ds:datastoreItem xmlns:ds="http://schemas.openxmlformats.org/officeDocument/2006/customXml" ds:itemID="{cfdbc654-f29b-4200-b402-f1957f407998}">
  <ds:schemaRefs/>
</ds:datastoreItem>
</file>

<file path=customXml/itemProps14.xml><?xml version="1.0" encoding="utf-8"?>
<ds:datastoreItem xmlns:ds="http://schemas.openxmlformats.org/officeDocument/2006/customXml" ds:itemID="{2448b8c1-8527-46e5-9550-9031931e72d0}">
  <ds:schemaRefs/>
</ds:datastoreItem>
</file>

<file path=customXml/itemProps15.xml><?xml version="1.0" encoding="utf-8"?>
<ds:datastoreItem xmlns:ds="http://schemas.openxmlformats.org/officeDocument/2006/customXml" ds:itemID="{99abb2e1-06b2-4cef-a8f4-be08de5aa18e}">
  <ds:schemaRefs/>
</ds:datastoreItem>
</file>

<file path=customXml/itemProps16.xml><?xml version="1.0" encoding="utf-8"?>
<ds:datastoreItem xmlns:ds="http://schemas.openxmlformats.org/officeDocument/2006/customXml" ds:itemID="{991fb954-00ce-40f9-be6b-94c13252af6b}">
  <ds:schemaRefs/>
</ds:datastoreItem>
</file>

<file path=customXml/itemProps17.xml><?xml version="1.0" encoding="utf-8"?>
<ds:datastoreItem xmlns:ds="http://schemas.openxmlformats.org/officeDocument/2006/customXml" ds:itemID="{60ad251d-5246-4ddc-99e8-0cbecf3f68a6}">
  <ds:schemaRefs/>
</ds:datastoreItem>
</file>

<file path=customXml/itemProps18.xml><?xml version="1.0" encoding="utf-8"?>
<ds:datastoreItem xmlns:ds="http://schemas.openxmlformats.org/officeDocument/2006/customXml" ds:itemID="{20987c5d-820f-4dc4-9140-4bd40e4d6af5}">
  <ds:schemaRefs/>
</ds:datastoreItem>
</file>

<file path=customXml/itemProps19.xml><?xml version="1.0" encoding="utf-8"?>
<ds:datastoreItem xmlns:ds="http://schemas.openxmlformats.org/officeDocument/2006/customXml" ds:itemID="{6d175811-d5c0-45a8-a32a-60302d717080}">
  <ds:schemaRefs/>
</ds:datastoreItem>
</file>

<file path=customXml/itemProps2.xml><?xml version="1.0" encoding="utf-8"?>
<ds:datastoreItem xmlns:ds="http://schemas.openxmlformats.org/officeDocument/2006/customXml" ds:itemID="{421e5cab-e2c2-465e-9512-83c2dfd0256c}">
  <ds:schemaRefs/>
</ds:datastoreItem>
</file>

<file path=customXml/itemProps20.xml><?xml version="1.0" encoding="utf-8"?>
<ds:datastoreItem xmlns:ds="http://schemas.openxmlformats.org/officeDocument/2006/customXml" ds:itemID="{3b77a2af-3bba-4292-8242-6433f6fad02d}">
  <ds:schemaRefs/>
</ds:datastoreItem>
</file>

<file path=customXml/itemProps21.xml><?xml version="1.0" encoding="utf-8"?>
<ds:datastoreItem xmlns:ds="http://schemas.openxmlformats.org/officeDocument/2006/customXml" ds:itemID="{b0e937fe-1f05-4558-bb11-3b9d16020fc4}">
  <ds:schemaRefs/>
</ds:datastoreItem>
</file>

<file path=customXml/itemProps22.xml><?xml version="1.0" encoding="utf-8"?>
<ds:datastoreItem xmlns:ds="http://schemas.openxmlformats.org/officeDocument/2006/customXml" ds:itemID="{9585bfa4-fe85-4a1e-bf65-b07ae5f70da6}">
  <ds:schemaRefs/>
</ds:datastoreItem>
</file>

<file path=customXml/itemProps3.xml><?xml version="1.0" encoding="utf-8"?>
<ds:datastoreItem xmlns:ds="http://schemas.openxmlformats.org/officeDocument/2006/customXml" ds:itemID="{bec5e614-59c6-4a94-ac9d-b709f54bd91e}">
  <ds:schemaRefs/>
</ds:datastoreItem>
</file>

<file path=customXml/itemProps4.xml><?xml version="1.0" encoding="utf-8"?>
<ds:datastoreItem xmlns:ds="http://schemas.openxmlformats.org/officeDocument/2006/customXml" ds:itemID="{43c03c9c-13ce-426d-989d-fd9d1c84128a}">
  <ds:schemaRefs/>
</ds:datastoreItem>
</file>

<file path=customXml/itemProps5.xml><?xml version="1.0" encoding="utf-8"?>
<ds:datastoreItem xmlns:ds="http://schemas.openxmlformats.org/officeDocument/2006/customXml" ds:itemID="{e9bda269-7beb-4419-907c-581bdeae3203}">
  <ds:schemaRefs/>
</ds:datastoreItem>
</file>

<file path=customXml/itemProps6.xml><?xml version="1.0" encoding="utf-8"?>
<ds:datastoreItem xmlns:ds="http://schemas.openxmlformats.org/officeDocument/2006/customXml" ds:itemID="{6f1e9110-34d1-4dc0-b676-291b87d81673}">
  <ds:schemaRefs/>
</ds:datastoreItem>
</file>

<file path=customXml/itemProps7.xml><?xml version="1.0" encoding="utf-8"?>
<ds:datastoreItem xmlns:ds="http://schemas.openxmlformats.org/officeDocument/2006/customXml" ds:itemID="{b5264e74-f51f-4a10-985e-946b2d66f5aa}">
  <ds:schemaRefs/>
</ds:datastoreItem>
</file>

<file path=customXml/itemProps8.xml><?xml version="1.0" encoding="utf-8"?>
<ds:datastoreItem xmlns:ds="http://schemas.openxmlformats.org/officeDocument/2006/customXml" ds:itemID="{ea8de23d-2883-4fdb-b726-1bdab5a0ed55}">
  <ds:schemaRefs/>
</ds:datastoreItem>
</file>

<file path=customXml/itemProps9.xml><?xml version="1.0" encoding="utf-8"?>
<ds:datastoreItem xmlns:ds="http://schemas.openxmlformats.org/officeDocument/2006/customXml" ds:itemID="{cdb5c968-1207-48bb-b793-a20d39ea2baf}">
  <ds:schemaRefs/>
</ds:datastoreItem>
</file>

<file path=docProps/app.xml><?xml version="1.0" encoding="utf-8"?>
<Properties xmlns="http://schemas.openxmlformats.org/officeDocument/2006/extended-properties" xmlns:vt="http://schemas.openxmlformats.org/officeDocument/2006/docPropsVTypes">
  <Pages>41</Pages>
  <Words>8948</Words>
  <Characters>10493</Characters>
  <TotalTime>49</TotalTime>
  <ScaleCrop>false</ScaleCrop>
  <LinksUpToDate>false</LinksUpToDate>
  <CharactersWithSpaces>10672</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2023-02-28T11:16:00Z</dcterms:created>
  <dc:creator>Administrator</dc:creator>
  <cp:lastModifiedBy>Administrator</cp:lastModifiedBy>
  <dcterms:modified xsi:type="dcterms:W3CDTF">2023-11-14T03:33:43Z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7D54C02AA99548B6A2EBC720D3ADB8A2</vt:lpwstr>
  </property>
</Properties>
</file>